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17" w:rsidRDefault="00DF1BDF">
      <w:pPr>
        <w:widowControl/>
        <w:spacing w:line="579" w:lineRule="exact"/>
        <w:jc w:val="left"/>
        <w:rPr>
          <w:rFonts w:ascii="黑体" w:eastAsia="黑体" w:hAnsi="黑体"/>
          <w:szCs w:val="32"/>
        </w:rPr>
      </w:pPr>
      <w:r>
        <w:rPr>
          <w:rFonts w:ascii="黑体" w:eastAsia="黑体" w:hAnsi="黑体" w:hint="eastAsia"/>
          <w:szCs w:val="32"/>
        </w:rPr>
        <w:t>附件2</w:t>
      </w:r>
    </w:p>
    <w:p w:rsidR="00751E17" w:rsidRDefault="00DF1BDF">
      <w:pPr>
        <w:spacing w:line="500" w:lineRule="exact"/>
        <w:jc w:val="center"/>
        <w:rPr>
          <w:rFonts w:ascii="方正小标宋简体" w:eastAsia="方正小标宋简体"/>
          <w:szCs w:val="32"/>
        </w:rPr>
      </w:pPr>
      <w:r>
        <w:rPr>
          <w:rFonts w:ascii="方正小标宋简体" w:eastAsia="方正小标宋简体" w:hint="eastAsia"/>
          <w:szCs w:val="32"/>
        </w:rPr>
        <w:t>技术参数确认书（软件类项目用）</w:t>
      </w:r>
    </w:p>
    <w:p w:rsidR="00751E17" w:rsidRDefault="00751E17">
      <w:pPr>
        <w:spacing w:line="500" w:lineRule="exact"/>
        <w:jc w:val="center"/>
        <w:rPr>
          <w:rFonts w:ascii="方正小标宋简体" w:eastAsia="方正小标宋简体"/>
          <w:szCs w:val="32"/>
        </w:rPr>
      </w:pPr>
    </w:p>
    <w:p w:rsidR="00751E17" w:rsidRDefault="00DF1BDF">
      <w:pPr>
        <w:spacing w:line="500" w:lineRule="exact"/>
        <w:ind w:firstLineChars="200" w:firstLine="560"/>
        <w:rPr>
          <w:rFonts w:ascii="仿宋_GB2312" w:hAnsi="黑体" w:cs="仿宋_GB2312"/>
          <w:sz w:val="28"/>
          <w:szCs w:val="28"/>
        </w:rPr>
      </w:pPr>
      <w:r>
        <w:rPr>
          <w:rFonts w:ascii="仿宋_GB2312" w:hAnsi="黑体" w:cs="仿宋_GB2312" w:hint="eastAsia"/>
          <w:sz w:val="28"/>
          <w:szCs w:val="28"/>
        </w:rPr>
        <w:t>项目名称：</w:t>
      </w:r>
      <w:r>
        <w:rPr>
          <w:rFonts w:ascii="仿宋_GB2312" w:hAnsi="黑体" w:cs="仿宋_GB2312" w:hint="eastAsia"/>
          <w:sz w:val="28"/>
          <w:szCs w:val="28"/>
          <w:u w:val="single"/>
        </w:rPr>
        <w:t xml:space="preserve">              临床诊疗知识平台升级            </w:t>
      </w:r>
    </w:p>
    <w:p w:rsidR="00751E17" w:rsidRDefault="00DF1BDF">
      <w:pPr>
        <w:spacing w:line="500" w:lineRule="exact"/>
        <w:ind w:firstLine="570"/>
        <w:rPr>
          <w:rFonts w:ascii="黑体" w:eastAsia="黑体" w:hAnsi="黑体" w:cs="仿宋_GB2312"/>
          <w:sz w:val="28"/>
          <w:szCs w:val="28"/>
        </w:rPr>
      </w:pPr>
      <w:r>
        <w:rPr>
          <w:rFonts w:ascii="黑体" w:eastAsia="黑体" w:hAnsi="黑体" w:cs="仿宋_GB2312" w:hint="eastAsia"/>
          <w:sz w:val="28"/>
          <w:szCs w:val="28"/>
        </w:rPr>
        <w:t>一、项目总体需求与项目概述</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临床诊疗知识</w:t>
      </w:r>
      <w:r w:rsidR="00DA53F9">
        <w:rPr>
          <w:rFonts w:ascii="仿宋_GB2312" w:cs="仿宋_GB2312" w:hint="eastAsia"/>
          <w:sz w:val="28"/>
          <w:szCs w:val="28"/>
        </w:rPr>
        <w:t>平台</w:t>
      </w:r>
      <w:bookmarkStart w:id="0" w:name="_GoBack"/>
      <w:bookmarkEnd w:id="0"/>
      <w:r>
        <w:rPr>
          <w:rFonts w:ascii="仿宋_GB2312" w:cs="仿宋_GB2312" w:hint="eastAsia"/>
          <w:sz w:val="28"/>
          <w:szCs w:val="28"/>
        </w:rPr>
        <w:t>应收录国际权威外文循证医学文献，具有检索功能便捷等优势，其中应包含“诊断、病因、治疗、预后、护理”等不同环节诊疗寻证模块；发现功能：具有开放式发现、闭合式发现、同属模块和问题式功能。方便临床医生在面临诊断、治疗、病因、预后等不同临床问题时，能快速检索、获取到相对应的证据答案，从而实现快速查证、用证，极大地缩短研究证据到临床的时间。方便采购单位临床医生进行高效便捷的查证用证，为临床医生进行诊疗活动提供科学的证据支持，有效提高临床医生的循证诊疗水平，为患者制定出科学准确的诊疗方案。</w:t>
      </w:r>
    </w:p>
    <w:p w:rsidR="00751E17" w:rsidRDefault="00DF1BDF">
      <w:pPr>
        <w:spacing w:line="500" w:lineRule="exact"/>
        <w:ind w:firstLine="570"/>
        <w:rPr>
          <w:rFonts w:ascii="黑体" w:eastAsia="黑体" w:hAnsi="黑体" w:cs="仿宋_GB2312"/>
          <w:color w:val="FF0000"/>
          <w:sz w:val="28"/>
          <w:szCs w:val="28"/>
        </w:rPr>
      </w:pPr>
      <w:r>
        <w:rPr>
          <w:rFonts w:ascii="黑体" w:eastAsia="黑体" w:hAnsi="黑体" w:cs="仿宋_GB2312" w:hint="eastAsia"/>
          <w:sz w:val="28"/>
          <w:szCs w:val="28"/>
        </w:rPr>
        <w:t>二、具体业务需求</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1.版权证书：要求具有版权相关证书，违反国家相关法律所引起的任何法律纠纷，由中标人负责。</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2.证据资源：要求收录国际权威外文循证医学文献，Clinical Evidence数据库、Evidence-based Guidelines数据库、ACP Journal Club数据库、Cochrane数据库、POEMs和PubMed的循证资源等等。</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3.诊疗循证功能“要求具备诊疗询证检索功能，包括：诊断寻证、治疗寻证、病因寻证、预测寻证、预后寻证、护理寻证”等这些功能模块。</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4.发现功能：具备开放式发现、闭合式发现、同属模型和问题式发现功能。</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5.翻译功能：具有中文检索界面，题名、文摘的机器翻译功能，中英文主题词对照功能，PDF全文的翻译功能。</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lastRenderedPageBreak/>
        <w:t>6.可视化功能：通过可视化图形展示关联关系及提炼相应知识信息。</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7.聚类关联功能：能够自动提取检索结果中关键药物的有效性及可应用于临床决策的循证证据，并对所提取的结果按照相关性进行归类和排序（如相关疾病、相关药物、相关诊断方法、相关治疗方法、相关化合物、相关中药、代谢分析等），帮助医生进行知识发现，持续跟踪本专业研究前沿和热点，深入挖掘和获取创新灵感。</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8.专业检索功能：要求支持二次文献和一次文献检索、具备文本词、主题词、PICO、临床查询、资源检索等专业检索功能。</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9.导航检索功能：提供ICD-10疾病分类导航检索、MESH疾病导航检索和药物导航检索功能。</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10.排序功能：要求具备针对检索结果文献的排序功能，按证据级别、期刊分区、相关度、影响因子、出版日期等不同需求进行证据文献的排序。</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11.证据过滤：要求具备指南、Mata分析、系统综述、会议共识、RCT、队列研究、病理报告证据类型等过滤</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12.题录输出：要求具备在题录输出对话框里，用户能够选择不同的字段、格式、字体、字号等，进行相关下载与打印的操作，方便灵活。</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13.数据更新：要求具备互联网数据每周更新。</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14.服务模式：提供互联网、个人账号两种服务模式。要求同时在线读者并发数不限，读者注册个人帐号数量不限。</w:t>
      </w:r>
    </w:p>
    <w:p w:rsidR="00751E17" w:rsidRDefault="00FF75E5">
      <w:pPr>
        <w:spacing w:line="500" w:lineRule="exact"/>
        <w:ind w:firstLine="570"/>
        <w:rPr>
          <w:rFonts w:ascii="黑体" w:eastAsia="黑体" w:hAnsi="黑体" w:cs="仿宋_GB2312"/>
          <w:sz w:val="28"/>
          <w:szCs w:val="28"/>
        </w:rPr>
      </w:pPr>
      <w:r>
        <w:rPr>
          <w:rFonts w:ascii="黑体" w:eastAsia="黑体" w:hAnsi="黑体" w:cs="仿宋_GB2312" w:hint="eastAsia"/>
          <w:sz w:val="28"/>
          <w:szCs w:val="28"/>
        </w:rPr>
        <w:t>三</w:t>
      </w:r>
      <w:r w:rsidR="00DF1BDF">
        <w:rPr>
          <w:rFonts w:ascii="黑体" w:eastAsia="黑体" w:hAnsi="黑体" w:cs="仿宋_GB2312" w:hint="eastAsia"/>
          <w:sz w:val="28"/>
          <w:szCs w:val="28"/>
        </w:rPr>
        <w:t>、售后服务需求</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1.实施周期</w:t>
      </w:r>
    </w:p>
    <w:p w:rsidR="00751E17" w:rsidRDefault="00DF1BDF">
      <w:pPr>
        <w:spacing w:line="500" w:lineRule="exact"/>
        <w:ind w:firstLine="570"/>
        <w:rPr>
          <w:rFonts w:ascii="仿宋_GB2312" w:cs="仿宋_GB2312"/>
          <w:sz w:val="28"/>
          <w:szCs w:val="28"/>
        </w:rPr>
      </w:pPr>
      <w:r>
        <w:rPr>
          <w:rFonts w:ascii="仿宋_GB2312" w:cs="仿宋_GB2312" w:hint="eastAsia"/>
          <w:sz w:val="28"/>
          <w:szCs w:val="28"/>
        </w:rPr>
        <w:t>中标人应在采购合同签署并经采购人通知送货后5天内发货到采购人指定地点，并在10天内完成安装、调试，交付采购人正常使用。</w:t>
      </w:r>
    </w:p>
    <w:p w:rsidR="00751E17" w:rsidRPr="00FF75E5" w:rsidRDefault="00FF75E5" w:rsidP="00FF75E5">
      <w:pPr>
        <w:spacing w:line="500" w:lineRule="exact"/>
        <w:ind w:firstLine="570"/>
        <w:rPr>
          <w:rFonts w:ascii="仿宋_GB2312" w:cs="仿宋_GB2312"/>
          <w:sz w:val="28"/>
          <w:szCs w:val="28"/>
        </w:rPr>
      </w:pPr>
      <w:r>
        <w:rPr>
          <w:rFonts w:ascii="仿宋_GB2312" w:cs="仿宋_GB2312" w:hint="eastAsia"/>
          <w:sz w:val="28"/>
          <w:szCs w:val="28"/>
        </w:rPr>
        <w:t>2</w:t>
      </w:r>
      <w:r w:rsidR="00DF1BDF">
        <w:rPr>
          <w:rFonts w:ascii="仿宋_GB2312" w:cs="仿宋_GB2312" w:hint="eastAsia"/>
          <w:sz w:val="28"/>
          <w:szCs w:val="28"/>
        </w:rPr>
        <w:t>.服务周期：合同签订之日起二年。</w:t>
      </w:r>
    </w:p>
    <w:sectPr w:rsidR="00751E17" w:rsidRPr="00FF75E5">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EC" w:rsidRDefault="00FA2EEC" w:rsidP="00FF75E5">
      <w:r>
        <w:separator/>
      </w:r>
    </w:p>
  </w:endnote>
  <w:endnote w:type="continuationSeparator" w:id="0">
    <w:p w:rsidR="00FA2EEC" w:rsidRDefault="00FA2EEC" w:rsidP="00FF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EC" w:rsidRDefault="00FA2EEC" w:rsidP="00FF75E5">
      <w:r>
        <w:separator/>
      </w:r>
    </w:p>
  </w:footnote>
  <w:footnote w:type="continuationSeparator" w:id="0">
    <w:p w:rsidR="00FA2EEC" w:rsidRDefault="00FA2EEC" w:rsidP="00FF7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jA0ODQyZGM2Y2QwNTM0ODI5MWE0ZWM3NzA2MTEifQ=="/>
  </w:docVars>
  <w:rsids>
    <w:rsidRoot w:val="1708103B"/>
    <w:rsid w:val="00030631"/>
    <w:rsid w:val="0004075A"/>
    <w:rsid w:val="00274CBC"/>
    <w:rsid w:val="002F7346"/>
    <w:rsid w:val="00436C40"/>
    <w:rsid w:val="00577F69"/>
    <w:rsid w:val="00691454"/>
    <w:rsid w:val="00751E17"/>
    <w:rsid w:val="00763044"/>
    <w:rsid w:val="00C37297"/>
    <w:rsid w:val="00DA53F9"/>
    <w:rsid w:val="00DF1BDF"/>
    <w:rsid w:val="00FA2EEC"/>
    <w:rsid w:val="00FF75E5"/>
    <w:rsid w:val="11D87B34"/>
    <w:rsid w:val="1708103B"/>
    <w:rsid w:val="53946A30"/>
    <w:rsid w:val="54A8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6A36B1-F1B9-4DE2-B31F-3B829E9B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autoRedefine/>
    <w:qFormat/>
    <w:rPr>
      <w:sz w:val="18"/>
      <w:szCs w:val="18"/>
    </w:rPr>
  </w:style>
  <w:style w:type="paragraph" w:styleId="a5">
    <w:name w:val="footer"/>
    <w:basedOn w:val="a"/>
    <w:link w:val="Char1"/>
    <w:autoRedefine/>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qFormat/>
    <w:rPr>
      <w:b/>
      <w:bCs/>
    </w:rPr>
  </w:style>
  <w:style w:type="character" w:styleId="a8">
    <w:name w:val="annotation reference"/>
    <w:basedOn w:val="a0"/>
    <w:autoRedefine/>
    <w:qFormat/>
    <w:rPr>
      <w:sz w:val="21"/>
      <w:szCs w:val="21"/>
    </w:rPr>
  </w:style>
  <w:style w:type="character" w:customStyle="1" w:styleId="Char2">
    <w:name w:val="页眉 Char"/>
    <w:basedOn w:val="a0"/>
    <w:link w:val="a6"/>
    <w:autoRedefine/>
    <w:qFormat/>
    <w:rPr>
      <w:rFonts w:ascii="Times New Roman" w:eastAsia="仿宋_GB2312" w:hAnsi="Times New Roman" w:cs="Times New Roman"/>
      <w:kern w:val="2"/>
      <w:sz w:val="18"/>
      <w:szCs w:val="18"/>
    </w:rPr>
  </w:style>
  <w:style w:type="character" w:customStyle="1" w:styleId="Char1">
    <w:name w:val="页脚 Char"/>
    <w:basedOn w:val="a0"/>
    <w:link w:val="a5"/>
    <w:autoRedefine/>
    <w:qFormat/>
    <w:rPr>
      <w:rFonts w:ascii="Times New Roman" w:eastAsia="仿宋_GB2312" w:hAnsi="Times New Roman" w:cs="Times New Roman"/>
      <w:kern w:val="2"/>
      <w:sz w:val="18"/>
      <w:szCs w:val="18"/>
    </w:rPr>
  </w:style>
  <w:style w:type="character" w:customStyle="1" w:styleId="Char0">
    <w:name w:val="批注框文本 Char"/>
    <w:basedOn w:val="a0"/>
    <w:link w:val="a4"/>
    <w:autoRedefine/>
    <w:qFormat/>
    <w:rPr>
      <w:rFonts w:ascii="Times New Roman" w:eastAsia="仿宋_GB2312" w:hAnsi="Times New Roman" w:cs="Times New Roman"/>
      <w:kern w:val="2"/>
      <w:sz w:val="18"/>
      <w:szCs w:val="18"/>
    </w:rPr>
  </w:style>
  <w:style w:type="paragraph" w:customStyle="1" w:styleId="p0">
    <w:name w:val="p0"/>
    <w:basedOn w:val="a"/>
    <w:autoRedefine/>
    <w:qFormat/>
    <w:pPr>
      <w:widowControl/>
    </w:pPr>
    <w:rPr>
      <w:rFonts w:ascii="Calibri" w:eastAsia="宋体" w:hAnsi="Calibri" w:cs="宋体"/>
      <w:kern w:val="0"/>
      <w:sz w:val="21"/>
      <w:szCs w:val="21"/>
    </w:rPr>
  </w:style>
  <w:style w:type="character" w:customStyle="1" w:styleId="Char">
    <w:name w:val="批注文字 Char"/>
    <w:basedOn w:val="a0"/>
    <w:link w:val="a3"/>
    <w:autoRedefine/>
    <w:qFormat/>
    <w:rPr>
      <w:rFonts w:ascii="Times New Roman" w:eastAsia="仿宋_GB2312" w:hAnsi="Times New Roman" w:cs="Times New Roman"/>
      <w:kern w:val="2"/>
      <w:sz w:val="32"/>
      <w:szCs w:val="24"/>
    </w:rPr>
  </w:style>
  <w:style w:type="character" w:customStyle="1" w:styleId="Char3">
    <w:name w:val="批注主题 Char"/>
    <w:basedOn w:val="Char"/>
    <w:link w:val="a7"/>
    <w:autoRedefine/>
    <w:qFormat/>
    <w:rPr>
      <w:rFonts w:ascii="Times New Roman" w:eastAsia="仿宋_GB2312"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647</Words>
  <Characters>647</Characters>
  <Application>Microsoft Office Word</Application>
  <DocSecurity>0</DocSecurity>
  <Lines>20</Lines>
  <Paragraphs>5</Paragraphs>
  <ScaleCrop>false</ScaleCrop>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liujunlin</dc:creator>
  <cp:lastModifiedBy>keyanzhuli_2019</cp:lastModifiedBy>
  <cp:revision>6</cp:revision>
  <dcterms:created xsi:type="dcterms:W3CDTF">2024-02-06T02:25:00Z</dcterms:created>
  <dcterms:modified xsi:type="dcterms:W3CDTF">2024-02-26T07:40:00Z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2A4B76B34C5E47E591B4A89E89D90874_11</vt:lpwstr>
  </property>
</Properties>
</file>