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3D09C03">
      <w:pPr>
        <w:spacing w:before="1560" w:beforeLines="650" w:line="480" w:lineRule="auto"/>
        <w:jc w:val="center"/>
        <w:rPr>
          <w:rFonts w:ascii="方正小标宋简体" w:eastAsia="方正小标宋简体"/>
          <w:bCs/>
          <w:sz w:val="48"/>
          <w:szCs w:val="48"/>
          <w:highlight w:val="none"/>
        </w:rPr>
      </w:pPr>
      <w:r>
        <w:rPr>
          <w:rFonts w:hint="eastAsia" w:ascii="方正小标宋简体" w:eastAsia="方正小标宋简体"/>
          <w:sz w:val="48"/>
          <w:szCs w:val="48"/>
          <w:highlight w:val="none"/>
        </w:rPr>
        <w:t>军队物资类项目竞争性谈判文件（2</w:t>
      </w:r>
      <w:r>
        <w:rPr>
          <w:rFonts w:ascii="方正小标宋简体" w:eastAsia="方正小标宋简体"/>
          <w:sz w:val="48"/>
          <w:szCs w:val="48"/>
          <w:highlight w:val="none"/>
        </w:rPr>
        <w:t>.0</w:t>
      </w:r>
      <w:r>
        <w:rPr>
          <w:rFonts w:hint="eastAsia" w:ascii="方正小标宋简体" w:eastAsia="方正小标宋简体"/>
          <w:sz w:val="48"/>
          <w:szCs w:val="48"/>
          <w:highlight w:val="none"/>
        </w:rPr>
        <w:t>版）</w:t>
      </w:r>
    </w:p>
    <w:p w14:paraId="7E4DD061">
      <w:pPr>
        <w:pStyle w:val="3"/>
        <w:jc w:val="both"/>
        <w:rPr>
          <w:rFonts w:hint="eastAsia" w:ascii="方正小标宋简体" w:eastAsia="方正小标宋简体"/>
          <w:b w:val="0"/>
          <w:sz w:val="84"/>
          <w:szCs w:val="84"/>
          <w:highlight w:val="none"/>
        </w:rPr>
      </w:pPr>
      <w:bookmarkStart w:id="0" w:name="_Toc22312"/>
      <w:bookmarkStart w:id="1" w:name="_Toc128150016"/>
      <w:bookmarkStart w:id="2" w:name="_Toc150421207"/>
      <w:bookmarkStart w:id="3" w:name="_Toc150421095"/>
      <w:bookmarkStart w:id="4" w:name="_Toc30382"/>
      <w:bookmarkStart w:id="5" w:name="_Toc152058250"/>
      <w:bookmarkStart w:id="6" w:name="_Toc132190594"/>
      <w:bookmarkStart w:id="7" w:name="_Toc128397940"/>
      <w:bookmarkStart w:id="8" w:name="_Toc130887460"/>
      <w:bookmarkStart w:id="9" w:name="_Toc17896"/>
    </w:p>
    <w:p w14:paraId="5D752281">
      <w:pPr>
        <w:pStyle w:val="3"/>
        <w:rPr>
          <w:rFonts w:ascii="方正小标宋简体" w:eastAsia="方正小标宋简体"/>
          <w:b w:val="0"/>
          <w:sz w:val="84"/>
          <w:szCs w:val="84"/>
          <w:highlight w:val="none"/>
        </w:rPr>
      </w:pPr>
      <w:bookmarkStart w:id="10" w:name="_Toc15670"/>
      <w:bookmarkStart w:id="11" w:name="_Toc6493"/>
      <w:bookmarkStart w:id="12" w:name="_Toc10517"/>
      <w:r>
        <w:rPr>
          <w:rFonts w:hint="eastAsia" w:ascii="方正小标宋简体" w:eastAsia="方正小标宋简体"/>
          <w:b w:val="0"/>
          <w:sz w:val="84"/>
          <w:szCs w:val="84"/>
          <w:highlight w:val="none"/>
        </w:rPr>
        <w:t>通用文件</w:t>
      </w:r>
      <w:bookmarkEnd w:id="0"/>
      <w:bookmarkEnd w:id="1"/>
      <w:bookmarkEnd w:id="2"/>
      <w:bookmarkEnd w:id="3"/>
      <w:bookmarkEnd w:id="4"/>
      <w:bookmarkEnd w:id="5"/>
      <w:bookmarkEnd w:id="6"/>
      <w:bookmarkEnd w:id="7"/>
      <w:bookmarkEnd w:id="8"/>
      <w:bookmarkEnd w:id="9"/>
      <w:bookmarkEnd w:id="10"/>
      <w:bookmarkEnd w:id="11"/>
      <w:bookmarkEnd w:id="12"/>
    </w:p>
    <w:p w14:paraId="1FE2CCA3">
      <w:pPr>
        <w:rPr>
          <w:highlight w:val="none"/>
        </w:rPr>
      </w:pPr>
    </w:p>
    <w:p w14:paraId="1DF01835">
      <w:pPr>
        <w:pStyle w:val="17"/>
        <w:rPr>
          <w:highlight w:val="none"/>
        </w:rPr>
      </w:pPr>
    </w:p>
    <w:p w14:paraId="371FE354">
      <w:pPr>
        <w:rPr>
          <w:highlight w:val="none"/>
        </w:rPr>
      </w:pPr>
    </w:p>
    <w:p w14:paraId="1582833D">
      <w:pPr>
        <w:pStyle w:val="17"/>
        <w:rPr>
          <w:highlight w:val="none"/>
        </w:rPr>
      </w:pPr>
    </w:p>
    <w:p w14:paraId="43E808E9">
      <w:pPr>
        <w:rPr>
          <w:highlight w:val="none"/>
        </w:rPr>
      </w:pPr>
    </w:p>
    <w:p w14:paraId="22E11A20">
      <w:pPr>
        <w:spacing w:line="560" w:lineRule="exact"/>
        <w:rPr>
          <w:rFonts w:hint="eastAsia" w:ascii="方正小标宋简体" w:eastAsia="方正小标宋简体"/>
          <w:bCs/>
          <w:sz w:val="36"/>
          <w:szCs w:val="36"/>
          <w:highlight w:val="none"/>
        </w:rPr>
      </w:pPr>
    </w:p>
    <w:p w14:paraId="40A0B169">
      <w:pPr>
        <w:spacing w:line="560" w:lineRule="exact"/>
        <w:jc w:val="center"/>
        <w:rPr>
          <w:rFonts w:hint="eastAsia" w:ascii="方正小标宋简体" w:eastAsia="方正小标宋简体"/>
          <w:bCs/>
          <w:sz w:val="36"/>
          <w:szCs w:val="36"/>
          <w:highlight w:val="none"/>
        </w:rPr>
      </w:pPr>
    </w:p>
    <w:p w14:paraId="452072AE">
      <w:pPr>
        <w:spacing w:line="560" w:lineRule="exact"/>
        <w:jc w:val="center"/>
        <w:rPr>
          <w:rFonts w:hint="eastAsia" w:ascii="方正小标宋简体" w:eastAsia="方正小标宋简体"/>
          <w:bCs/>
          <w:sz w:val="36"/>
          <w:szCs w:val="36"/>
          <w:highlight w:val="none"/>
        </w:rPr>
      </w:pPr>
    </w:p>
    <w:p w14:paraId="6952ECFC">
      <w:pPr>
        <w:spacing w:line="560" w:lineRule="exact"/>
        <w:jc w:val="center"/>
        <w:rPr>
          <w:rFonts w:hint="eastAsia" w:ascii="方正小标宋简体" w:eastAsia="方正小标宋简体"/>
          <w:bCs/>
          <w:sz w:val="36"/>
          <w:szCs w:val="36"/>
          <w:highlight w:val="none"/>
        </w:rPr>
      </w:pPr>
    </w:p>
    <w:p w14:paraId="7E35CCA1">
      <w:pPr>
        <w:spacing w:line="560" w:lineRule="exact"/>
        <w:ind w:firstLine="1800" w:firstLineChars="500"/>
        <w:jc w:val="both"/>
        <w:rPr>
          <w:rFonts w:hint="eastAsia" w:ascii="方正小标宋简体" w:eastAsia="方正小标宋简体"/>
          <w:bCs/>
          <w:sz w:val="36"/>
          <w:szCs w:val="36"/>
          <w:highlight w:val="none"/>
          <w:lang w:eastAsia="zh-CN"/>
        </w:rPr>
      </w:pPr>
      <w:r>
        <w:rPr>
          <w:rFonts w:hint="eastAsia" w:ascii="方正小标宋简体" w:eastAsia="方正小标宋简体"/>
          <w:bCs/>
          <w:sz w:val="36"/>
          <w:szCs w:val="36"/>
          <w:highlight w:val="none"/>
        </w:rPr>
        <w:t>项目名称：</w:t>
      </w:r>
      <w:r>
        <w:rPr>
          <w:rFonts w:hint="eastAsia" w:ascii="方正小标宋简体" w:eastAsia="方正小标宋简体"/>
          <w:bCs/>
          <w:sz w:val="36"/>
          <w:szCs w:val="36"/>
          <w:highlight w:val="none"/>
          <w:u w:val="single"/>
          <w:lang w:eastAsia="zh-CN"/>
        </w:rPr>
        <w:t>细胞能量代谢系统（第三次）</w:t>
      </w:r>
    </w:p>
    <w:p w14:paraId="0BECBDAA">
      <w:pPr>
        <w:spacing w:line="560" w:lineRule="exact"/>
        <w:ind w:firstLine="1800" w:firstLineChars="500"/>
        <w:jc w:val="both"/>
        <w:rPr>
          <w:rFonts w:hint="eastAsia" w:ascii="方正小标宋简体" w:eastAsia="方正小标宋简体"/>
          <w:bCs/>
          <w:sz w:val="36"/>
          <w:szCs w:val="36"/>
          <w:highlight w:val="none"/>
          <w:lang w:eastAsia="zh-CN"/>
        </w:rPr>
      </w:pPr>
      <w:r>
        <w:rPr>
          <w:rFonts w:hint="eastAsia" w:ascii="方正小标宋简体" w:eastAsia="方正小标宋简体"/>
          <w:bCs/>
          <w:sz w:val="36"/>
          <w:szCs w:val="36"/>
          <w:highlight w:val="none"/>
        </w:rPr>
        <w:t>项目编号：</w:t>
      </w:r>
      <w:r>
        <w:rPr>
          <w:rFonts w:hint="eastAsia" w:ascii="方正小标宋简体" w:eastAsia="方正小标宋简体"/>
          <w:bCs/>
          <w:sz w:val="36"/>
          <w:szCs w:val="36"/>
          <w:highlight w:val="none"/>
          <w:u w:val="single"/>
          <w:lang w:eastAsia="zh-CN"/>
        </w:rPr>
        <w:t>2024-JL13(04)-W30041</w:t>
      </w:r>
    </w:p>
    <w:p w14:paraId="68C42B1E">
      <w:pPr>
        <w:pStyle w:val="17"/>
        <w:rPr>
          <w:highlight w:val="none"/>
        </w:rPr>
      </w:pPr>
    </w:p>
    <w:p w14:paraId="1104DABF">
      <w:pPr>
        <w:rPr>
          <w:highlight w:val="none"/>
        </w:rPr>
      </w:pPr>
    </w:p>
    <w:p w14:paraId="21E6EED8">
      <w:pPr>
        <w:pStyle w:val="17"/>
        <w:rPr>
          <w:highlight w:val="none"/>
        </w:rPr>
      </w:pPr>
    </w:p>
    <w:p w14:paraId="7E7FF327">
      <w:pPr>
        <w:rPr>
          <w:highlight w:val="none"/>
        </w:rPr>
      </w:pPr>
    </w:p>
    <w:p w14:paraId="2A037058">
      <w:pPr>
        <w:widowControl/>
        <w:jc w:val="left"/>
        <w:rPr>
          <w:rFonts w:ascii="黑体" w:hAnsi="黑体" w:eastAsia="黑体" w:cs="黑体"/>
          <w:bCs/>
          <w:sz w:val="44"/>
          <w:szCs w:val="44"/>
          <w:highlight w:val="none"/>
        </w:rPr>
      </w:pPr>
      <w:r>
        <w:rPr>
          <w:rFonts w:hint="eastAsia" w:ascii="黑体" w:hAnsi="黑体" w:eastAsia="黑体" w:cs="黑体"/>
          <w:bCs/>
          <w:sz w:val="44"/>
          <w:szCs w:val="44"/>
          <w:highlight w:val="none"/>
        </w:rPr>
        <w:br w:type="page"/>
      </w:r>
    </w:p>
    <w:p w14:paraId="66DE8C04">
      <w:pPr>
        <w:pStyle w:val="21"/>
        <w:tabs>
          <w:tab w:val="right" w:leader="dot" w:pos="9344"/>
        </w:tabs>
        <w:adjustRightInd w:val="0"/>
        <w:snapToGrid w:val="0"/>
        <w:spacing w:line="560" w:lineRule="exact"/>
        <w:ind w:left="42" w:leftChars="20"/>
        <w:jc w:val="center"/>
        <w:rPr>
          <w:rFonts w:hint="eastAsia" w:ascii="黑体" w:hAnsi="黑体" w:eastAsia="黑体" w:cs="黑体"/>
          <w:bCs/>
          <w:sz w:val="44"/>
          <w:szCs w:val="44"/>
          <w:highlight w:val="none"/>
        </w:rPr>
      </w:pPr>
      <w:r>
        <w:rPr>
          <w:rFonts w:hint="eastAsia" w:ascii="黑体" w:hAnsi="黑体" w:eastAsia="黑体" w:cs="黑体"/>
          <w:bCs/>
          <w:sz w:val="44"/>
          <w:szCs w:val="44"/>
          <w:highlight w:val="none"/>
        </w:rPr>
        <w:t>目   录</w:t>
      </w:r>
    </w:p>
    <w:p w14:paraId="36D859AC">
      <w:pPr>
        <w:pStyle w:val="29"/>
        <w:tabs>
          <w:tab w:val="right" w:leader="dot" w:pos="9354"/>
        </w:tabs>
        <w:rPr>
          <w:highlight w:val="none"/>
        </w:rPr>
      </w:pPr>
      <w:r>
        <w:rPr>
          <w:highlight w:val="none"/>
        </w:rPr>
        <w:fldChar w:fldCharType="begin"/>
      </w:r>
      <w:r>
        <w:rPr>
          <w:highlight w:val="none"/>
        </w:rPr>
        <w:instrText xml:space="preserve">TOC \o "1-3" \h \u </w:instrText>
      </w:r>
      <w:r>
        <w:rPr>
          <w:highlight w:val="none"/>
        </w:rPr>
        <w:fldChar w:fldCharType="separate"/>
      </w:r>
      <w:r>
        <w:rPr>
          <w:highlight w:val="none"/>
        </w:rPr>
        <w:fldChar w:fldCharType="begin"/>
      </w:r>
      <w:r>
        <w:rPr>
          <w:highlight w:val="none"/>
        </w:rPr>
        <w:instrText xml:space="preserve"> HYPERLINK \l _Toc6493 </w:instrText>
      </w:r>
      <w:r>
        <w:rPr>
          <w:highlight w:val="none"/>
        </w:rPr>
        <w:fldChar w:fldCharType="separate"/>
      </w:r>
      <w:r>
        <w:rPr>
          <w:rFonts w:hint="eastAsia" w:ascii="方正小标宋简体" w:eastAsia="方正小标宋简体"/>
          <w:szCs w:val="84"/>
          <w:highlight w:val="none"/>
        </w:rPr>
        <w:t>通用文件</w:t>
      </w:r>
      <w:r>
        <w:rPr>
          <w:highlight w:val="none"/>
        </w:rPr>
        <w:tab/>
      </w:r>
      <w:r>
        <w:rPr>
          <w:highlight w:val="none"/>
        </w:rPr>
        <w:fldChar w:fldCharType="begin"/>
      </w:r>
      <w:r>
        <w:rPr>
          <w:highlight w:val="none"/>
        </w:rPr>
        <w:instrText xml:space="preserve"> PAGEREF _Toc6493 \h </w:instrText>
      </w:r>
      <w:r>
        <w:rPr>
          <w:highlight w:val="none"/>
        </w:rPr>
        <w:fldChar w:fldCharType="separate"/>
      </w:r>
      <w:r>
        <w:rPr>
          <w:highlight w:val="none"/>
        </w:rPr>
        <w:t>1</w:t>
      </w:r>
      <w:r>
        <w:rPr>
          <w:highlight w:val="none"/>
        </w:rPr>
        <w:fldChar w:fldCharType="end"/>
      </w:r>
      <w:r>
        <w:rPr>
          <w:highlight w:val="none"/>
        </w:rPr>
        <w:fldChar w:fldCharType="end"/>
      </w:r>
    </w:p>
    <w:p w14:paraId="4C027CF5">
      <w:pPr>
        <w:pStyle w:val="34"/>
        <w:tabs>
          <w:tab w:val="right" w:leader="dot" w:pos="9354"/>
        </w:tabs>
        <w:rPr>
          <w:highlight w:val="none"/>
        </w:rPr>
      </w:pPr>
      <w:r>
        <w:rPr>
          <w:highlight w:val="none"/>
        </w:rPr>
        <w:fldChar w:fldCharType="begin"/>
      </w:r>
      <w:r>
        <w:rPr>
          <w:highlight w:val="none"/>
        </w:rPr>
        <w:instrText xml:space="preserve"> HYPERLINK \l _Toc9986 </w:instrText>
      </w:r>
      <w:r>
        <w:rPr>
          <w:highlight w:val="none"/>
        </w:rPr>
        <w:fldChar w:fldCharType="separate"/>
      </w:r>
      <w:r>
        <w:rPr>
          <w:rFonts w:hint="eastAsia"/>
          <w:szCs w:val="44"/>
          <w:highlight w:val="none"/>
          <w:lang w:val="zh-CN"/>
        </w:rPr>
        <w:t>第一章 谈判须知</w:t>
      </w:r>
      <w:r>
        <w:rPr>
          <w:highlight w:val="none"/>
        </w:rPr>
        <w:tab/>
      </w:r>
      <w:r>
        <w:rPr>
          <w:highlight w:val="none"/>
        </w:rPr>
        <w:fldChar w:fldCharType="begin"/>
      </w:r>
      <w:r>
        <w:rPr>
          <w:highlight w:val="none"/>
        </w:rPr>
        <w:instrText xml:space="preserve"> PAGEREF _Toc9986 \h </w:instrText>
      </w:r>
      <w:r>
        <w:rPr>
          <w:highlight w:val="none"/>
        </w:rPr>
        <w:fldChar w:fldCharType="separate"/>
      </w:r>
      <w:r>
        <w:rPr>
          <w:highlight w:val="none"/>
        </w:rPr>
        <w:t>1</w:t>
      </w:r>
      <w:r>
        <w:rPr>
          <w:highlight w:val="none"/>
        </w:rPr>
        <w:fldChar w:fldCharType="end"/>
      </w:r>
      <w:r>
        <w:rPr>
          <w:highlight w:val="none"/>
        </w:rPr>
        <w:fldChar w:fldCharType="end"/>
      </w:r>
    </w:p>
    <w:p w14:paraId="165C90AF">
      <w:pPr>
        <w:pStyle w:val="21"/>
        <w:tabs>
          <w:tab w:val="right" w:leader="dot" w:pos="9354"/>
        </w:tabs>
        <w:rPr>
          <w:highlight w:val="none"/>
        </w:rPr>
      </w:pPr>
      <w:r>
        <w:rPr>
          <w:highlight w:val="none"/>
        </w:rPr>
        <w:fldChar w:fldCharType="begin"/>
      </w:r>
      <w:r>
        <w:rPr>
          <w:highlight w:val="none"/>
        </w:rPr>
        <w:instrText xml:space="preserve"> HYPERLINK \l _Toc8752 </w:instrText>
      </w:r>
      <w:r>
        <w:rPr>
          <w:highlight w:val="none"/>
        </w:rPr>
        <w:fldChar w:fldCharType="separate"/>
      </w:r>
      <w:r>
        <w:rPr>
          <w:rFonts w:hint="eastAsia"/>
          <w:highlight w:val="none"/>
        </w:rPr>
        <w:t>一、说</w:t>
      </w:r>
      <w:r>
        <w:rPr>
          <w:highlight w:val="none"/>
        </w:rPr>
        <w:t xml:space="preserve">  </w:t>
      </w:r>
      <w:r>
        <w:rPr>
          <w:rFonts w:hint="eastAsia"/>
          <w:highlight w:val="none"/>
        </w:rPr>
        <w:t>明</w:t>
      </w:r>
      <w:r>
        <w:rPr>
          <w:highlight w:val="none"/>
        </w:rPr>
        <w:tab/>
      </w:r>
      <w:r>
        <w:rPr>
          <w:highlight w:val="none"/>
        </w:rPr>
        <w:fldChar w:fldCharType="begin"/>
      </w:r>
      <w:r>
        <w:rPr>
          <w:highlight w:val="none"/>
        </w:rPr>
        <w:instrText xml:space="preserve"> PAGEREF _Toc8752 \h </w:instrText>
      </w:r>
      <w:r>
        <w:rPr>
          <w:highlight w:val="none"/>
        </w:rPr>
        <w:fldChar w:fldCharType="separate"/>
      </w:r>
      <w:r>
        <w:rPr>
          <w:highlight w:val="none"/>
        </w:rPr>
        <w:t>1</w:t>
      </w:r>
      <w:r>
        <w:rPr>
          <w:highlight w:val="none"/>
        </w:rPr>
        <w:fldChar w:fldCharType="end"/>
      </w:r>
      <w:r>
        <w:rPr>
          <w:highlight w:val="none"/>
        </w:rPr>
        <w:fldChar w:fldCharType="end"/>
      </w:r>
    </w:p>
    <w:p w14:paraId="4EE2F09D">
      <w:pPr>
        <w:pStyle w:val="21"/>
        <w:tabs>
          <w:tab w:val="right" w:leader="dot" w:pos="9354"/>
        </w:tabs>
        <w:rPr>
          <w:highlight w:val="none"/>
        </w:rPr>
      </w:pPr>
      <w:r>
        <w:rPr>
          <w:highlight w:val="none"/>
        </w:rPr>
        <w:fldChar w:fldCharType="begin"/>
      </w:r>
      <w:r>
        <w:rPr>
          <w:highlight w:val="none"/>
        </w:rPr>
        <w:instrText xml:space="preserve"> HYPERLINK \l _Toc26450 </w:instrText>
      </w:r>
      <w:r>
        <w:rPr>
          <w:highlight w:val="none"/>
        </w:rPr>
        <w:fldChar w:fldCharType="separate"/>
      </w:r>
      <w:r>
        <w:rPr>
          <w:rFonts w:hint="eastAsia"/>
          <w:highlight w:val="none"/>
        </w:rPr>
        <w:t>二、谈判文件的内容及澄清与修改</w:t>
      </w:r>
      <w:r>
        <w:rPr>
          <w:highlight w:val="none"/>
        </w:rPr>
        <w:tab/>
      </w:r>
      <w:r>
        <w:rPr>
          <w:highlight w:val="none"/>
        </w:rPr>
        <w:fldChar w:fldCharType="begin"/>
      </w:r>
      <w:r>
        <w:rPr>
          <w:highlight w:val="none"/>
        </w:rPr>
        <w:instrText xml:space="preserve"> PAGEREF _Toc26450 \h </w:instrText>
      </w:r>
      <w:r>
        <w:rPr>
          <w:highlight w:val="none"/>
        </w:rPr>
        <w:fldChar w:fldCharType="separate"/>
      </w:r>
      <w:r>
        <w:rPr>
          <w:highlight w:val="none"/>
        </w:rPr>
        <w:t>3</w:t>
      </w:r>
      <w:r>
        <w:rPr>
          <w:highlight w:val="none"/>
        </w:rPr>
        <w:fldChar w:fldCharType="end"/>
      </w:r>
      <w:r>
        <w:rPr>
          <w:highlight w:val="none"/>
        </w:rPr>
        <w:fldChar w:fldCharType="end"/>
      </w:r>
    </w:p>
    <w:p w14:paraId="5DD70A2B">
      <w:pPr>
        <w:pStyle w:val="21"/>
        <w:tabs>
          <w:tab w:val="right" w:leader="dot" w:pos="9354"/>
        </w:tabs>
        <w:rPr>
          <w:highlight w:val="none"/>
        </w:rPr>
      </w:pPr>
      <w:r>
        <w:rPr>
          <w:highlight w:val="none"/>
        </w:rPr>
        <w:fldChar w:fldCharType="begin"/>
      </w:r>
      <w:r>
        <w:rPr>
          <w:highlight w:val="none"/>
        </w:rPr>
        <w:instrText xml:space="preserve"> HYPERLINK \l _Toc15180 </w:instrText>
      </w:r>
      <w:r>
        <w:rPr>
          <w:highlight w:val="none"/>
        </w:rPr>
        <w:fldChar w:fldCharType="separate"/>
      </w:r>
      <w:r>
        <w:rPr>
          <w:rFonts w:hint="eastAsia"/>
          <w:highlight w:val="none"/>
        </w:rPr>
        <w:t>三、报价文件的基本要求</w:t>
      </w:r>
      <w:r>
        <w:rPr>
          <w:highlight w:val="none"/>
        </w:rPr>
        <w:tab/>
      </w:r>
      <w:r>
        <w:rPr>
          <w:highlight w:val="none"/>
        </w:rPr>
        <w:fldChar w:fldCharType="begin"/>
      </w:r>
      <w:r>
        <w:rPr>
          <w:highlight w:val="none"/>
        </w:rPr>
        <w:instrText xml:space="preserve"> PAGEREF _Toc15180 \h </w:instrText>
      </w:r>
      <w:r>
        <w:rPr>
          <w:highlight w:val="none"/>
        </w:rPr>
        <w:fldChar w:fldCharType="separate"/>
      </w:r>
      <w:r>
        <w:rPr>
          <w:highlight w:val="none"/>
        </w:rPr>
        <w:t>4</w:t>
      </w:r>
      <w:r>
        <w:rPr>
          <w:highlight w:val="none"/>
        </w:rPr>
        <w:fldChar w:fldCharType="end"/>
      </w:r>
      <w:r>
        <w:rPr>
          <w:highlight w:val="none"/>
        </w:rPr>
        <w:fldChar w:fldCharType="end"/>
      </w:r>
    </w:p>
    <w:p w14:paraId="56CB27EC">
      <w:pPr>
        <w:pStyle w:val="21"/>
        <w:tabs>
          <w:tab w:val="right" w:leader="dot" w:pos="9354"/>
        </w:tabs>
        <w:rPr>
          <w:highlight w:val="none"/>
        </w:rPr>
      </w:pPr>
      <w:r>
        <w:rPr>
          <w:highlight w:val="none"/>
        </w:rPr>
        <w:fldChar w:fldCharType="begin"/>
      </w:r>
      <w:r>
        <w:rPr>
          <w:highlight w:val="none"/>
        </w:rPr>
        <w:instrText xml:space="preserve"> HYPERLINK \l _Toc20465 </w:instrText>
      </w:r>
      <w:r>
        <w:rPr>
          <w:highlight w:val="none"/>
        </w:rPr>
        <w:fldChar w:fldCharType="separate"/>
      </w:r>
      <w:r>
        <w:rPr>
          <w:rFonts w:hint="eastAsia"/>
          <w:highlight w:val="none"/>
        </w:rPr>
        <w:t>四、报价文件提交</w:t>
      </w:r>
      <w:r>
        <w:rPr>
          <w:highlight w:val="none"/>
        </w:rPr>
        <w:tab/>
      </w:r>
      <w:r>
        <w:rPr>
          <w:highlight w:val="none"/>
        </w:rPr>
        <w:fldChar w:fldCharType="begin"/>
      </w:r>
      <w:r>
        <w:rPr>
          <w:highlight w:val="none"/>
        </w:rPr>
        <w:instrText xml:space="preserve"> PAGEREF _Toc20465 \h </w:instrText>
      </w:r>
      <w:r>
        <w:rPr>
          <w:highlight w:val="none"/>
        </w:rPr>
        <w:fldChar w:fldCharType="separate"/>
      </w:r>
      <w:r>
        <w:rPr>
          <w:highlight w:val="none"/>
        </w:rPr>
        <w:t>7</w:t>
      </w:r>
      <w:r>
        <w:rPr>
          <w:highlight w:val="none"/>
        </w:rPr>
        <w:fldChar w:fldCharType="end"/>
      </w:r>
      <w:r>
        <w:rPr>
          <w:highlight w:val="none"/>
        </w:rPr>
        <w:fldChar w:fldCharType="end"/>
      </w:r>
    </w:p>
    <w:p w14:paraId="12A6DB18">
      <w:pPr>
        <w:pStyle w:val="21"/>
        <w:tabs>
          <w:tab w:val="right" w:leader="dot" w:pos="9354"/>
        </w:tabs>
        <w:rPr>
          <w:highlight w:val="none"/>
        </w:rPr>
      </w:pPr>
      <w:r>
        <w:rPr>
          <w:highlight w:val="none"/>
        </w:rPr>
        <w:fldChar w:fldCharType="begin"/>
      </w:r>
      <w:r>
        <w:rPr>
          <w:highlight w:val="none"/>
        </w:rPr>
        <w:instrText xml:space="preserve"> HYPERLINK \l _Toc12345 </w:instrText>
      </w:r>
      <w:r>
        <w:rPr>
          <w:highlight w:val="none"/>
        </w:rPr>
        <w:fldChar w:fldCharType="separate"/>
      </w:r>
      <w:r>
        <w:rPr>
          <w:rFonts w:hint="eastAsia"/>
          <w:highlight w:val="none"/>
        </w:rPr>
        <w:t>五、谈判与评审</w:t>
      </w:r>
      <w:r>
        <w:rPr>
          <w:highlight w:val="none"/>
        </w:rPr>
        <w:tab/>
      </w:r>
      <w:r>
        <w:rPr>
          <w:highlight w:val="none"/>
        </w:rPr>
        <w:fldChar w:fldCharType="begin"/>
      </w:r>
      <w:r>
        <w:rPr>
          <w:highlight w:val="none"/>
        </w:rPr>
        <w:instrText xml:space="preserve"> PAGEREF _Toc12345 \h </w:instrText>
      </w:r>
      <w:r>
        <w:rPr>
          <w:highlight w:val="none"/>
        </w:rPr>
        <w:fldChar w:fldCharType="separate"/>
      </w:r>
      <w:r>
        <w:rPr>
          <w:highlight w:val="none"/>
        </w:rPr>
        <w:t>8</w:t>
      </w:r>
      <w:r>
        <w:rPr>
          <w:highlight w:val="none"/>
        </w:rPr>
        <w:fldChar w:fldCharType="end"/>
      </w:r>
      <w:r>
        <w:rPr>
          <w:highlight w:val="none"/>
        </w:rPr>
        <w:fldChar w:fldCharType="end"/>
      </w:r>
    </w:p>
    <w:p w14:paraId="6F7B29C2">
      <w:pPr>
        <w:pStyle w:val="21"/>
        <w:tabs>
          <w:tab w:val="right" w:leader="dot" w:pos="9354"/>
        </w:tabs>
        <w:rPr>
          <w:highlight w:val="none"/>
        </w:rPr>
      </w:pPr>
      <w:r>
        <w:rPr>
          <w:highlight w:val="none"/>
        </w:rPr>
        <w:fldChar w:fldCharType="begin"/>
      </w:r>
      <w:r>
        <w:rPr>
          <w:highlight w:val="none"/>
        </w:rPr>
        <w:instrText xml:space="preserve"> HYPERLINK \l _Toc1261 </w:instrText>
      </w:r>
      <w:r>
        <w:rPr>
          <w:highlight w:val="none"/>
        </w:rPr>
        <w:fldChar w:fldCharType="separate"/>
      </w:r>
      <w:r>
        <w:rPr>
          <w:rFonts w:hint="eastAsia"/>
          <w:highlight w:val="none"/>
        </w:rPr>
        <w:t>六、成交</w:t>
      </w:r>
      <w:r>
        <w:rPr>
          <w:highlight w:val="none"/>
        </w:rPr>
        <w:tab/>
      </w:r>
      <w:r>
        <w:rPr>
          <w:highlight w:val="none"/>
        </w:rPr>
        <w:fldChar w:fldCharType="begin"/>
      </w:r>
      <w:r>
        <w:rPr>
          <w:highlight w:val="none"/>
        </w:rPr>
        <w:instrText xml:space="preserve"> PAGEREF _Toc1261 \h </w:instrText>
      </w:r>
      <w:r>
        <w:rPr>
          <w:highlight w:val="none"/>
        </w:rPr>
        <w:fldChar w:fldCharType="separate"/>
      </w:r>
      <w:r>
        <w:rPr>
          <w:highlight w:val="none"/>
        </w:rPr>
        <w:t>22</w:t>
      </w:r>
      <w:r>
        <w:rPr>
          <w:highlight w:val="none"/>
        </w:rPr>
        <w:fldChar w:fldCharType="end"/>
      </w:r>
      <w:r>
        <w:rPr>
          <w:highlight w:val="none"/>
        </w:rPr>
        <w:fldChar w:fldCharType="end"/>
      </w:r>
    </w:p>
    <w:p w14:paraId="77FB7308">
      <w:pPr>
        <w:pStyle w:val="21"/>
        <w:tabs>
          <w:tab w:val="right" w:leader="dot" w:pos="9354"/>
        </w:tabs>
        <w:rPr>
          <w:highlight w:val="none"/>
        </w:rPr>
      </w:pPr>
      <w:r>
        <w:rPr>
          <w:highlight w:val="none"/>
        </w:rPr>
        <w:fldChar w:fldCharType="begin"/>
      </w:r>
      <w:r>
        <w:rPr>
          <w:highlight w:val="none"/>
        </w:rPr>
        <w:instrText xml:space="preserve"> HYPERLINK \l _Toc30106 </w:instrText>
      </w:r>
      <w:r>
        <w:rPr>
          <w:highlight w:val="none"/>
        </w:rPr>
        <w:fldChar w:fldCharType="separate"/>
      </w:r>
      <w:r>
        <w:rPr>
          <w:rFonts w:hint="eastAsia"/>
          <w:highlight w:val="none"/>
        </w:rPr>
        <w:t>七、质疑、投诉和投诉复议</w:t>
      </w:r>
      <w:r>
        <w:rPr>
          <w:highlight w:val="none"/>
        </w:rPr>
        <w:tab/>
      </w:r>
      <w:r>
        <w:rPr>
          <w:highlight w:val="none"/>
        </w:rPr>
        <w:fldChar w:fldCharType="begin"/>
      </w:r>
      <w:r>
        <w:rPr>
          <w:highlight w:val="none"/>
        </w:rPr>
        <w:instrText xml:space="preserve"> PAGEREF _Toc30106 \h </w:instrText>
      </w:r>
      <w:r>
        <w:rPr>
          <w:highlight w:val="none"/>
        </w:rPr>
        <w:fldChar w:fldCharType="separate"/>
      </w:r>
      <w:r>
        <w:rPr>
          <w:highlight w:val="none"/>
        </w:rPr>
        <w:t>24</w:t>
      </w:r>
      <w:r>
        <w:rPr>
          <w:highlight w:val="none"/>
        </w:rPr>
        <w:fldChar w:fldCharType="end"/>
      </w:r>
      <w:r>
        <w:rPr>
          <w:highlight w:val="none"/>
        </w:rPr>
        <w:fldChar w:fldCharType="end"/>
      </w:r>
    </w:p>
    <w:p w14:paraId="4816C7DD">
      <w:pPr>
        <w:pStyle w:val="21"/>
        <w:tabs>
          <w:tab w:val="right" w:leader="dot" w:pos="9354"/>
        </w:tabs>
        <w:rPr>
          <w:highlight w:val="none"/>
        </w:rPr>
      </w:pPr>
      <w:r>
        <w:rPr>
          <w:highlight w:val="none"/>
        </w:rPr>
        <w:fldChar w:fldCharType="begin"/>
      </w:r>
      <w:r>
        <w:rPr>
          <w:highlight w:val="none"/>
        </w:rPr>
        <w:instrText xml:space="preserve"> HYPERLINK \l _Toc10473 </w:instrText>
      </w:r>
      <w:r>
        <w:rPr>
          <w:highlight w:val="none"/>
        </w:rPr>
        <w:fldChar w:fldCharType="separate"/>
      </w:r>
      <w:r>
        <w:rPr>
          <w:rFonts w:hint="eastAsia"/>
          <w:highlight w:val="none"/>
        </w:rPr>
        <w:t>八、签订合同</w:t>
      </w:r>
      <w:r>
        <w:rPr>
          <w:highlight w:val="none"/>
        </w:rPr>
        <w:tab/>
      </w:r>
      <w:r>
        <w:rPr>
          <w:highlight w:val="none"/>
        </w:rPr>
        <w:fldChar w:fldCharType="begin"/>
      </w:r>
      <w:r>
        <w:rPr>
          <w:highlight w:val="none"/>
        </w:rPr>
        <w:instrText xml:space="preserve"> PAGEREF _Toc10473 \h </w:instrText>
      </w:r>
      <w:r>
        <w:rPr>
          <w:highlight w:val="none"/>
        </w:rPr>
        <w:fldChar w:fldCharType="separate"/>
      </w:r>
      <w:r>
        <w:rPr>
          <w:highlight w:val="none"/>
        </w:rPr>
        <w:t>26</w:t>
      </w:r>
      <w:r>
        <w:rPr>
          <w:highlight w:val="none"/>
        </w:rPr>
        <w:fldChar w:fldCharType="end"/>
      </w:r>
      <w:r>
        <w:rPr>
          <w:highlight w:val="none"/>
        </w:rPr>
        <w:fldChar w:fldCharType="end"/>
      </w:r>
    </w:p>
    <w:p w14:paraId="72478F1D">
      <w:pPr>
        <w:pStyle w:val="21"/>
        <w:tabs>
          <w:tab w:val="right" w:leader="dot" w:pos="9354"/>
        </w:tabs>
        <w:rPr>
          <w:highlight w:val="none"/>
        </w:rPr>
      </w:pPr>
      <w:r>
        <w:rPr>
          <w:highlight w:val="none"/>
        </w:rPr>
        <w:fldChar w:fldCharType="begin"/>
      </w:r>
      <w:r>
        <w:rPr>
          <w:highlight w:val="none"/>
        </w:rPr>
        <w:instrText xml:space="preserve"> HYPERLINK \l _Toc18922 </w:instrText>
      </w:r>
      <w:r>
        <w:rPr>
          <w:highlight w:val="none"/>
        </w:rPr>
        <w:fldChar w:fldCharType="separate"/>
      </w:r>
      <w:r>
        <w:rPr>
          <w:rFonts w:hint="eastAsia"/>
          <w:highlight w:val="none"/>
        </w:rPr>
        <w:t>九、解释权限</w:t>
      </w:r>
      <w:r>
        <w:rPr>
          <w:highlight w:val="none"/>
        </w:rPr>
        <w:tab/>
      </w:r>
      <w:r>
        <w:rPr>
          <w:highlight w:val="none"/>
        </w:rPr>
        <w:fldChar w:fldCharType="begin"/>
      </w:r>
      <w:r>
        <w:rPr>
          <w:highlight w:val="none"/>
        </w:rPr>
        <w:instrText xml:space="preserve"> PAGEREF _Toc18922 \h </w:instrText>
      </w:r>
      <w:r>
        <w:rPr>
          <w:highlight w:val="none"/>
        </w:rPr>
        <w:fldChar w:fldCharType="separate"/>
      </w:r>
      <w:r>
        <w:rPr>
          <w:highlight w:val="none"/>
        </w:rPr>
        <w:t>26</w:t>
      </w:r>
      <w:r>
        <w:rPr>
          <w:highlight w:val="none"/>
        </w:rPr>
        <w:fldChar w:fldCharType="end"/>
      </w:r>
      <w:r>
        <w:rPr>
          <w:highlight w:val="none"/>
        </w:rPr>
        <w:fldChar w:fldCharType="end"/>
      </w:r>
    </w:p>
    <w:p w14:paraId="72AFB2A7">
      <w:pPr>
        <w:pStyle w:val="21"/>
        <w:tabs>
          <w:tab w:val="right" w:leader="dot" w:pos="9354"/>
        </w:tabs>
        <w:rPr>
          <w:highlight w:val="none"/>
        </w:rPr>
      </w:pPr>
      <w:r>
        <w:rPr>
          <w:highlight w:val="none"/>
        </w:rPr>
        <w:fldChar w:fldCharType="begin"/>
      </w:r>
      <w:r>
        <w:rPr>
          <w:highlight w:val="none"/>
        </w:rPr>
        <w:instrText xml:space="preserve"> HYPERLINK \l _Toc5452 </w:instrText>
      </w:r>
      <w:r>
        <w:rPr>
          <w:highlight w:val="none"/>
        </w:rPr>
        <w:fldChar w:fldCharType="separate"/>
      </w:r>
      <w:r>
        <w:rPr>
          <w:rFonts w:hint="eastAsia" w:ascii="黑体" w:hAnsi="黑体" w:cs="黑体"/>
          <w:bCs w:val="0"/>
          <w:szCs w:val="28"/>
          <w:highlight w:val="none"/>
        </w:rPr>
        <w:t>附页1 谈判文件更正确认函</w:t>
      </w:r>
      <w:r>
        <w:rPr>
          <w:highlight w:val="none"/>
        </w:rPr>
        <w:tab/>
      </w:r>
      <w:r>
        <w:rPr>
          <w:highlight w:val="none"/>
        </w:rPr>
        <w:fldChar w:fldCharType="begin"/>
      </w:r>
      <w:r>
        <w:rPr>
          <w:highlight w:val="none"/>
        </w:rPr>
        <w:instrText xml:space="preserve"> PAGEREF _Toc5452 \h </w:instrText>
      </w:r>
      <w:r>
        <w:rPr>
          <w:highlight w:val="none"/>
        </w:rPr>
        <w:fldChar w:fldCharType="separate"/>
      </w:r>
      <w:r>
        <w:rPr>
          <w:highlight w:val="none"/>
        </w:rPr>
        <w:t>27</w:t>
      </w:r>
      <w:r>
        <w:rPr>
          <w:highlight w:val="none"/>
        </w:rPr>
        <w:fldChar w:fldCharType="end"/>
      </w:r>
      <w:r>
        <w:rPr>
          <w:highlight w:val="none"/>
        </w:rPr>
        <w:fldChar w:fldCharType="end"/>
      </w:r>
    </w:p>
    <w:p w14:paraId="2E05E4DB">
      <w:pPr>
        <w:pStyle w:val="21"/>
        <w:tabs>
          <w:tab w:val="right" w:leader="dot" w:pos="9354"/>
        </w:tabs>
        <w:rPr>
          <w:highlight w:val="none"/>
        </w:rPr>
      </w:pPr>
      <w:r>
        <w:rPr>
          <w:highlight w:val="none"/>
        </w:rPr>
        <w:fldChar w:fldCharType="begin"/>
      </w:r>
      <w:r>
        <w:rPr>
          <w:highlight w:val="none"/>
        </w:rPr>
        <w:instrText xml:space="preserve"> HYPERLINK \l _Toc19044 </w:instrText>
      </w:r>
      <w:r>
        <w:rPr>
          <w:highlight w:val="none"/>
        </w:rPr>
        <w:fldChar w:fldCharType="separate"/>
      </w:r>
      <w:r>
        <w:rPr>
          <w:rFonts w:hint="eastAsia" w:ascii="黑体" w:hAnsi="黑体" w:cs="黑体"/>
          <w:bCs w:val="0"/>
          <w:szCs w:val="28"/>
          <w:highlight w:val="none"/>
        </w:rPr>
        <w:t>附页2 质疑函（格式）</w:t>
      </w:r>
      <w:r>
        <w:rPr>
          <w:highlight w:val="none"/>
        </w:rPr>
        <w:tab/>
      </w:r>
      <w:r>
        <w:rPr>
          <w:highlight w:val="none"/>
        </w:rPr>
        <w:fldChar w:fldCharType="begin"/>
      </w:r>
      <w:r>
        <w:rPr>
          <w:highlight w:val="none"/>
        </w:rPr>
        <w:instrText xml:space="preserve"> PAGEREF _Toc19044 \h </w:instrText>
      </w:r>
      <w:r>
        <w:rPr>
          <w:highlight w:val="none"/>
        </w:rPr>
        <w:fldChar w:fldCharType="separate"/>
      </w:r>
      <w:r>
        <w:rPr>
          <w:highlight w:val="none"/>
        </w:rPr>
        <w:t>28</w:t>
      </w:r>
      <w:r>
        <w:rPr>
          <w:highlight w:val="none"/>
        </w:rPr>
        <w:fldChar w:fldCharType="end"/>
      </w:r>
      <w:r>
        <w:rPr>
          <w:highlight w:val="none"/>
        </w:rPr>
        <w:fldChar w:fldCharType="end"/>
      </w:r>
    </w:p>
    <w:p w14:paraId="3D3A4E38">
      <w:pPr>
        <w:pStyle w:val="21"/>
        <w:tabs>
          <w:tab w:val="right" w:leader="dot" w:pos="9354"/>
        </w:tabs>
        <w:rPr>
          <w:highlight w:val="none"/>
        </w:rPr>
      </w:pPr>
      <w:r>
        <w:rPr>
          <w:highlight w:val="none"/>
        </w:rPr>
        <w:fldChar w:fldCharType="begin"/>
      </w:r>
      <w:r>
        <w:rPr>
          <w:highlight w:val="none"/>
        </w:rPr>
        <w:instrText xml:space="preserve"> HYPERLINK \l _Toc15888 </w:instrText>
      </w:r>
      <w:r>
        <w:rPr>
          <w:highlight w:val="none"/>
        </w:rPr>
        <w:fldChar w:fldCharType="separate"/>
      </w:r>
      <w:r>
        <w:rPr>
          <w:rFonts w:hint="eastAsia" w:ascii="黑体" w:hAnsi="黑体" w:cs="黑体"/>
          <w:bCs w:val="0"/>
          <w:szCs w:val="28"/>
          <w:highlight w:val="none"/>
        </w:rPr>
        <w:t>附页3 投诉书（格式）</w:t>
      </w:r>
      <w:r>
        <w:rPr>
          <w:highlight w:val="none"/>
        </w:rPr>
        <w:tab/>
      </w:r>
      <w:r>
        <w:rPr>
          <w:highlight w:val="none"/>
        </w:rPr>
        <w:fldChar w:fldCharType="begin"/>
      </w:r>
      <w:r>
        <w:rPr>
          <w:highlight w:val="none"/>
        </w:rPr>
        <w:instrText xml:space="preserve"> PAGEREF _Toc15888 \h </w:instrText>
      </w:r>
      <w:r>
        <w:rPr>
          <w:highlight w:val="none"/>
        </w:rPr>
        <w:fldChar w:fldCharType="separate"/>
      </w:r>
      <w:r>
        <w:rPr>
          <w:highlight w:val="none"/>
        </w:rPr>
        <w:t>29</w:t>
      </w:r>
      <w:r>
        <w:rPr>
          <w:highlight w:val="none"/>
        </w:rPr>
        <w:fldChar w:fldCharType="end"/>
      </w:r>
      <w:r>
        <w:rPr>
          <w:highlight w:val="none"/>
        </w:rPr>
        <w:fldChar w:fldCharType="end"/>
      </w:r>
    </w:p>
    <w:p w14:paraId="60B2E888">
      <w:pPr>
        <w:pStyle w:val="34"/>
        <w:tabs>
          <w:tab w:val="right" w:leader="dot" w:pos="9354"/>
        </w:tabs>
        <w:rPr>
          <w:highlight w:val="none"/>
        </w:rPr>
      </w:pPr>
      <w:r>
        <w:rPr>
          <w:highlight w:val="none"/>
        </w:rPr>
        <w:fldChar w:fldCharType="begin"/>
      </w:r>
      <w:r>
        <w:rPr>
          <w:highlight w:val="none"/>
        </w:rPr>
        <w:instrText xml:space="preserve"> HYPERLINK \l _Toc24607 </w:instrText>
      </w:r>
      <w:r>
        <w:rPr>
          <w:highlight w:val="none"/>
        </w:rPr>
        <w:fldChar w:fldCharType="separate"/>
      </w:r>
      <w:r>
        <w:rPr>
          <w:rFonts w:hint="eastAsia"/>
          <w:szCs w:val="44"/>
          <w:highlight w:val="none"/>
          <w:lang w:val="zh-CN"/>
        </w:rPr>
        <w:t>第二章 合同通用条款</w:t>
      </w:r>
      <w:r>
        <w:rPr>
          <w:highlight w:val="none"/>
        </w:rPr>
        <w:tab/>
      </w:r>
      <w:r>
        <w:rPr>
          <w:highlight w:val="none"/>
        </w:rPr>
        <w:fldChar w:fldCharType="begin"/>
      </w:r>
      <w:r>
        <w:rPr>
          <w:highlight w:val="none"/>
        </w:rPr>
        <w:instrText xml:space="preserve"> PAGEREF _Toc24607 \h </w:instrText>
      </w:r>
      <w:r>
        <w:rPr>
          <w:highlight w:val="none"/>
        </w:rPr>
        <w:fldChar w:fldCharType="separate"/>
      </w:r>
      <w:r>
        <w:rPr>
          <w:highlight w:val="none"/>
        </w:rPr>
        <w:t>30</w:t>
      </w:r>
      <w:r>
        <w:rPr>
          <w:highlight w:val="none"/>
        </w:rPr>
        <w:fldChar w:fldCharType="end"/>
      </w:r>
      <w:r>
        <w:rPr>
          <w:highlight w:val="none"/>
        </w:rPr>
        <w:fldChar w:fldCharType="end"/>
      </w:r>
    </w:p>
    <w:p w14:paraId="3B05EB47">
      <w:pPr>
        <w:pStyle w:val="21"/>
        <w:tabs>
          <w:tab w:val="right" w:leader="dot" w:pos="9354"/>
        </w:tabs>
        <w:rPr>
          <w:highlight w:val="none"/>
        </w:rPr>
      </w:pPr>
      <w:r>
        <w:rPr>
          <w:highlight w:val="none"/>
        </w:rPr>
        <w:fldChar w:fldCharType="begin"/>
      </w:r>
      <w:r>
        <w:rPr>
          <w:highlight w:val="none"/>
        </w:rPr>
        <w:instrText xml:space="preserve"> HYPERLINK \l _Toc8429 </w:instrText>
      </w:r>
      <w:r>
        <w:rPr>
          <w:highlight w:val="none"/>
        </w:rPr>
        <w:fldChar w:fldCharType="separate"/>
      </w:r>
      <w:r>
        <w:rPr>
          <w:rFonts w:hint="eastAsia" w:ascii="黑体" w:hAnsi="黑体" w:cs="黑体"/>
          <w:szCs w:val="28"/>
          <w:highlight w:val="none"/>
        </w:rPr>
        <w:t>一、定义</w:t>
      </w:r>
      <w:r>
        <w:rPr>
          <w:highlight w:val="none"/>
        </w:rPr>
        <w:tab/>
      </w:r>
      <w:r>
        <w:rPr>
          <w:highlight w:val="none"/>
        </w:rPr>
        <w:fldChar w:fldCharType="begin"/>
      </w:r>
      <w:r>
        <w:rPr>
          <w:highlight w:val="none"/>
        </w:rPr>
        <w:instrText xml:space="preserve"> PAGEREF _Toc8429 \h </w:instrText>
      </w:r>
      <w:r>
        <w:rPr>
          <w:highlight w:val="none"/>
        </w:rPr>
        <w:fldChar w:fldCharType="separate"/>
      </w:r>
      <w:r>
        <w:rPr>
          <w:highlight w:val="none"/>
        </w:rPr>
        <w:t>30</w:t>
      </w:r>
      <w:r>
        <w:rPr>
          <w:highlight w:val="none"/>
        </w:rPr>
        <w:fldChar w:fldCharType="end"/>
      </w:r>
      <w:r>
        <w:rPr>
          <w:highlight w:val="none"/>
        </w:rPr>
        <w:fldChar w:fldCharType="end"/>
      </w:r>
    </w:p>
    <w:p w14:paraId="1DB032C6">
      <w:pPr>
        <w:pStyle w:val="21"/>
        <w:tabs>
          <w:tab w:val="right" w:leader="dot" w:pos="9354"/>
        </w:tabs>
        <w:rPr>
          <w:highlight w:val="none"/>
        </w:rPr>
      </w:pPr>
      <w:r>
        <w:rPr>
          <w:highlight w:val="none"/>
        </w:rPr>
        <w:fldChar w:fldCharType="begin"/>
      </w:r>
      <w:r>
        <w:rPr>
          <w:highlight w:val="none"/>
        </w:rPr>
        <w:instrText xml:space="preserve"> HYPERLINK \l _Toc20227 </w:instrText>
      </w:r>
      <w:r>
        <w:rPr>
          <w:highlight w:val="none"/>
        </w:rPr>
        <w:fldChar w:fldCharType="separate"/>
      </w:r>
      <w:r>
        <w:rPr>
          <w:rFonts w:hint="eastAsia" w:ascii="黑体" w:hAnsi="黑体" w:cs="黑体"/>
          <w:szCs w:val="28"/>
          <w:highlight w:val="none"/>
        </w:rPr>
        <w:t>二、质量标准和保证</w:t>
      </w:r>
      <w:r>
        <w:rPr>
          <w:highlight w:val="none"/>
        </w:rPr>
        <w:tab/>
      </w:r>
      <w:r>
        <w:rPr>
          <w:highlight w:val="none"/>
        </w:rPr>
        <w:fldChar w:fldCharType="begin"/>
      </w:r>
      <w:r>
        <w:rPr>
          <w:highlight w:val="none"/>
        </w:rPr>
        <w:instrText xml:space="preserve"> PAGEREF _Toc20227 \h </w:instrText>
      </w:r>
      <w:r>
        <w:rPr>
          <w:highlight w:val="none"/>
        </w:rPr>
        <w:fldChar w:fldCharType="separate"/>
      </w:r>
      <w:r>
        <w:rPr>
          <w:highlight w:val="none"/>
        </w:rPr>
        <w:t>30</w:t>
      </w:r>
      <w:r>
        <w:rPr>
          <w:highlight w:val="none"/>
        </w:rPr>
        <w:fldChar w:fldCharType="end"/>
      </w:r>
      <w:r>
        <w:rPr>
          <w:highlight w:val="none"/>
        </w:rPr>
        <w:fldChar w:fldCharType="end"/>
      </w:r>
    </w:p>
    <w:p w14:paraId="23C557A4">
      <w:pPr>
        <w:pStyle w:val="21"/>
        <w:tabs>
          <w:tab w:val="right" w:leader="dot" w:pos="9354"/>
        </w:tabs>
        <w:rPr>
          <w:highlight w:val="none"/>
        </w:rPr>
      </w:pPr>
      <w:r>
        <w:rPr>
          <w:highlight w:val="none"/>
        </w:rPr>
        <w:fldChar w:fldCharType="begin"/>
      </w:r>
      <w:r>
        <w:rPr>
          <w:highlight w:val="none"/>
        </w:rPr>
        <w:instrText xml:space="preserve"> HYPERLINK \l _Toc752 </w:instrText>
      </w:r>
      <w:r>
        <w:rPr>
          <w:highlight w:val="none"/>
        </w:rPr>
        <w:fldChar w:fldCharType="separate"/>
      </w:r>
      <w:r>
        <w:rPr>
          <w:rFonts w:hint="eastAsia" w:ascii="黑体" w:hAnsi="黑体" w:cs="黑体"/>
          <w:szCs w:val="28"/>
          <w:highlight w:val="none"/>
        </w:rPr>
        <w:t>三、物资编目编码、打码贴签要求</w:t>
      </w:r>
      <w:r>
        <w:rPr>
          <w:highlight w:val="none"/>
        </w:rPr>
        <w:tab/>
      </w:r>
      <w:r>
        <w:rPr>
          <w:highlight w:val="none"/>
        </w:rPr>
        <w:fldChar w:fldCharType="begin"/>
      </w:r>
      <w:r>
        <w:rPr>
          <w:highlight w:val="none"/>
        </w:rPr>
        <w:instrText xml:space="preserve"> PAGEREF _Toc752 \h </w:instrText>
      </w:r>
      <w:r>
        <w:rPr>
          <w:highlight w:val="none"/>
        </w:rPr>
        <w:fldChar w:fldCharType="separate"/>
      </w:r>
      <w:r>
        <w:rPr>
          <w:highlight w:val="none"/>
        </w:rPr>
        <w:t>31</w:t>
      </w:r>
      <w:r>
        <w:rPr>
          <w:highlight w:val="none"/>
        </w:rPr>
        <w:fldChar w:fldCharType="end"/>
      </w:r>
      <w:r>
        <w:rPr>
          <w:highlight w:val="none"/>
        </w:rPr>
        <w:fldChar w:fldCharType="end"/>
      </w:r>
    </w:p>
    <w:p w14:paraId="047B793F">
      <w:pPr>
        <w:pStyle w:val="21"/>
        <w:tabs>
          <w:tab w:val="right" w:leader="dot" w:pos="9354"/>
        </w:tabs>
        <w:rPr>
          <w:highlight w:val="none"/>
        </w:rPr>
      </w:pPr>
      <w:r>
        <w:rPr>
          <w:highlight w:val="none"/>
        </w:rPr>
        <w:fldChar w:fldCharType="begin"/>
      </w:r>
      <w:r>
        <w:rPr>
          <w:highlight w:val="none"/>
        </w:rPr>
        <w:instrText xml:space="preserve"> HYPERLINK \l _Toc15756 </w:instrText>
      </w:r>
      <w:r>
        <w:rPr>
          <w:highlight w:val="none"/>
        </w:rPr>
        <w:fldChar w:fldCharType="separate"/>
      </w:r>
      <w:r>
        <w:rPr>
          <w:rFonts w:hint="eastAsia" w:ascii="黑体" w:hAnsi="黑体" w:cs="黑体"/>
          <w:szCs w:val="28"/>
          <w:highlight w:val="none"/>
        </w:rPr>
        <w:t>四、包装及技术材料</w:t>
      </w:r>
      <w:r>
        <w:rPr>
          <w:highlight w:val="none"/>
        </w:rPr>
        <w:tab/>
      </w:r>
      <w:r>
        <w:rPr>
          <w:highlight w:val="none"/>
        </w:rPr>
        <w:fldChar w:fldCharType="begin"/>
      </w:r>
      <w:r>
        <w:rPr>
          <w:highlight w:val="none"/>
        </w:rPr>
        <w:instrText xml:space="preserve"> PAGEREF _Toc15756 \h </w:instrText>
      </w:r>
      <w:r>
        <w:rPr>
          <w:highlight w:val="none"/>
        </w:rPr>
        <w:fldChar w:fldCharType="separate"/>
      </w:r>
      <w:r>
        <w:rPr>
          <w:highlight w:val="none"/>
        </w:rPr>
        <w:t>31</w:t>
      </w:r>
      <w:r>
        <w:rPr>
          <w:highlight w:val="none"/>
        </w:rPr>
        <w:fldChar w:fldCharType="end"/>
      </w:r>
      <w:r>
        <w:rPr>
          <w:highlight w:val="none"/>
        </w:rPr>
        <w:fldChar w:fldCharType="end"/>
      </w:r>
    </w:p>
    <w:p w14:paraId="4571B23C">
      <w:pPr>
        <w:pStyle w:val="21"/>
        <w:tabs>
          <w:tab w:val="right" w:leader="dot" w:pos="9354"/>
        </w:tabs>
        <w:rPr>
          <w:highlight w:val="none"/>
        </w:rPr>
      </w:pPr>
      <w:r>
        <w:rPr>
          <w:highlight w:val="none"/>
        </w:rPr>
        <w:fldChar w:fldCharType="begin"/>
      </w:r>
      <w:r>
        <w:rPr>
          <w:highlight w:val="none"/>
        </w:rPr>
        <w:instrText xml:space="preserve"> HYPERLINK \l _Toc6081 </w:instrText>
      </w:r>
      <w:r>
        <w:rPr>
          <w:highlight w:val="none"/>
        </w:rPr>
        <w:fldChar w:fldCharType="separate"/>
      </w:r>
      <w:r>
        <w:rPr>
          <w:rFonts w:hint="eastAsia" w:ascii="黑体" w:hAnsi="黑体" w:cs="黑体"/>
          <w:szCs w:val="28"/>
          <w:highlight w:val="none"/>
        </w:rPr>
        <w:t>五、知识产权</w:t>
      </w:r>
      <w:r>
        <w:rPr>
          <w:highlight w:val="none"/>
        </w:rPr>
        <w:tab/>
      </w:r>
      <w:r>
        <w:rPr>
          <w:highlight w:val="none"/>
        </w:rPr>
        <w:fldChar w:fldCharType="begin"/>
      </w:r>
      <w:r>
        <w:rPr>
          <w:highlight w:val="none"/>
        </w:rPr>
        <w:instrText xml:space="preserve"> PAGEREF _Toc6081 \h </w:instrText>
      </w:r>
      <w:r>
        <w:rPr>
          <w:highlight w:val="none"/>
        </w:rPr>
        <w:fldChar w:fldCharType="separate"/>
      </w:r>
      <w:r>
        <w:rPr>
          <w:highlight w:val="none"/>
        </w:rPr>
        <w:t>32</w:t>
      </w:r>
      <w:r>
        <w:rPr>
          <w:highlight w:val="none"/>
        </w:rPr>
        <w:fldChar w:fldCharType="end"/>
      </w:r>
      <w:r>
        <w:rPr>
          <w:highlight w:val="none"/>
        </w:rPr>
        <w:fldChar w:fldCharType="end"/>
      </w:r>
    </w:p>
    <w:p w14:paraId="587DE77E">
      <w:pPr>
        <w:pStyle w:val="21"/>
        <w:tabs>
          <w:tab w:val="right" w:leader="dot" w:pos="9354"/>
        </w:tabs>
        <w:rPr>
          <w:highlight w:val="none"/>
        </w:rPr>
      </w:pPr>
      <w:r>
        <w:rPr>
          <w:highlight w:val="none"/>
        </w:rPr>
        <w:fldChar w:fldCharType="begin"/>
      </w:r>
      <w:r>
        <w:rPr>
          <w:highlight w:val="none"/>
        </w:rPr>
        <w:instrText xml:space="preserve"> HYPERLINK \l _Toc881 </w:instrText>
      </w:r>
      <w:r>
        <w:rPr>
          <w:highlight w:val="none"/>
        </w:rPr>
        <w:fldChar w:fldCharType="separate"/>
      </w:r>
      <w:r>
        <w:rPr>
          <w:rFonts w:hint="eastAsia" w:ascii="黑体" w:hAnsi="黑体" w:cs="黑体"/>
          <w:szCs w:val="28"/>
          <w:highlight w:val="none"/>
        </w:rPr>
        <w:t>六、合同的变更和解除</w:t>
      </w:r>
      <w:r>
        <w:rPr>
          <w:highlight w:val="none"/>
        </w:rPr>
        <w:tab/>
      </w:r>
      <w:r>
        <w:rPr>
          <w:highlight w:val="none"/>
        </w:rPr>
        <w:fldChar w:fldCharType="begin"/>
      </w:r>
      <w:r>
        <w:rPr>
          <w:highlight w:val="none"/>
        </w:rPr>
        <w:instrText xml:space="preserve"> PAGEREF _Toc881 \h </w:instrText>
      </w:r>
      <w:r>
        <w:rPr>
          <w:highlight w:val="none"/>
        </w:rPr>
        <w:fldChar w:fldCharType="separate"/>
      </w:r>
      <w:r>
        <w:rPr>
          <w:highlight w:val="none"/>
        </w:rPr>
        <w:t>32</w:t>
      </w:r>
      <w:r>
        <w:rPr>
          <w:highlight w:val="none"/>
        </w:rPr>
        <w:fldChar w:fldCharType="end"/>
      </w:r>
      <w:r>
        <w:rPr>
          <w:highlight w:val="none"/>
        </w:rPr>
        <w:fldChar w:fldCharType="end"/>
      </w:r>
    </w:p>
    <w:p w14:paraId="7423546F">
      <w:pPr>
        <w:pStyle w:val="21"/>
        <w:tabs>
          <w:tab w:val="right" w:leader="dot" w:pos="9354"/>
        </w:tabs>
        <w:rPr>
          <w:highlight w:val="none"/>
        </w:rPr>
      </w:pPr>
      <w:r>
        <w:rPr>
          <w:highlight w:val="none"/>
        </w:rPr>
        <w:fldChar w:fldCharType="begin"/>
      </w:r>
      <w:r>
        <w:rPr>
          <w:highlight w:val="none"/>
        </w:rPr>
        <w:instrText xml:space="preserve"> HYPERLINK \l _Toc18470 </w:instrText>
      </w:r>
      <w:r>
        <w:rPr>
          <w:highlight w:val="none"/>
        </w:rPr>
        <w:fldChar w:fldCharType="separate"/>
      </w:r>
      <w:r>
        <w:rPr>
          <w:rFonts w:hint="eastAsia" w:ascii="黑体" w:hAnsi="黑体" w:cs="黑体"/>
          <w:szCs w:val="28"/>
          <w:highlight w:val="none"/>
        </w:rPr>
        <w:t>七、履约监督</w:t>
      </w:r>
      <w:r>
        <w:rPr>
          <w:highlight w:val="none"/>
        </w:rPr>
        <w:tab/>
      </w:r>
      <w:r>
        <w:rPr>
          <w:highlight w:val="none"/>
        </w:rPr>
        <w:fldChar w:fldCharType="begin"/>
      </w:r>
      <w:r>
        <w:rPr>
          <w:highlight w:val="none"/>
        </w:rPr>
        <w:instrText xml:space="preserve"> PAGEREF _Toc18470 \h </w:instrText>
      </w:r>
      <w:r>
        <w:rPr>
          <w:highlight w:val="none"/>
        </w:rPr>
        <w:fldChar w:fldCharType="separate"/>
      </w:r>
      <w:r>
        <w:rPr>
          <w:highlight w:val="none"/>
        </w:rPr>
        <w:t>34</w:t>
      </w:r>
      <w:r>
        <w:rPr>
          <w:highlight w:val="none"/>
        </w:rPr>
        <w:fldChar w:fldCharType="end"/>
      </w:r>
      <w:r>
        <w:rPr>
          <w:highlight w:val="none"/>
        </w:rPr>
        <w:fldChar w:fldCharType="end"/>
      </w:r>
    </w:p>
    <w:p w14:paraId="3C33FAF4">
      <w:pPr>
        <w:pStyle w:val="21"/>
        <w:tabs>
          <w:tab w:val="right" w:leader="dot" w:pos="9354"/>
        </w:tabs>
        <w:rPr>
          <w:highlight w:val="none"/>
        </w:rPr>
      </w:pPr>
      <w:r>
        <w:rPr>
          <w:highlight w:val="none"/>
        </w:rPr>
        <w:fldChar w:fldCharType="begin"/>
      </w:r>
      <w:r>
        <w:rPr>
          <w:highlight w:val="none"/>
        </w:rPr>
        <w:instrText xml:space="preserve"> HYPERLINK \l _Toc16037 </w:instrText>
      </w:r>
      <w:r>
        <w:rPr>
          <w:highlight w:val="none"/>
        </w:rPr>
        <w:fldChar w:fldCharType="separate"/>
      </w:r>
      <w:r>
        <w:rPr>
          <w:rFonts w:hint="eastAsia" w:ascii="黑体" w:hAnsi="黑体" w:cs="黑体"/>
          <w:szCs w:val="28"/>
          <w:highlight w:val="none"/>
        </w:rPr>
        <w:t>八、转包与分包</w:t>
      </w:r>
      <w:r>
        <w:rPr>
          <w:highlight w:val="none"/>
        </w:rPr>
        <w:tab/>
      </w:r>
      <w:r>
        <w:rPr>
          <w:highlight w:val="none"/>
        </w:rPr>
        <w:fldChar w:fldCharType="begin"/>
      </w:r>
      <w:r>
        <w:rPr>
          <w:highlight w:val="none"/>
        </w:rPr>
        <w:instrText xml:space="preserve"> PAGEREF _Toc16037 \h </w:instrText>
      </w:r>
      <w:r>
        <w:rPr>
          <w:highlight w:val="none"/>
        </w:rPr>
        <w:fldChar w:fldCharType="separate"/>
      </w:r>
      <w:r>
        <w:rPr>
          <w:highlight w:val="none"/>
        </w:rPr>
        <w:t>35</w:t>
      </w:r>
      <w:r>
        <w:rPr>
          <w:highlight w:val="none"/>
        </w:rPr>
        <w:fldChar w:fldCharType="end"/>
      </w:r>
      <w:r>
        <w:rPr>
          <w:highlight w:val="none"/>
        </w:rPr>
        <w:fldChar w:fldCharType="end"/>
      </w:r>
    </w:p>
    <w:p w14:paraId="61D5EA7A">
      <w:pPr>
        <w:pStyle w:val="21"/>
        <w:tabs>
          <w:tab w:val="right" w:leader="dot" w:pos="9354"/>
        </w:tabs>
        <w:rPr>
          <w:highlight w:val="none"/>
        </w:rPr>
      </w:pPr>
      <w:r>
        <w:rPr>
          <w:highlight w:val="none"/>
        </w:rPr>
        <w:fldChar w:fldCharType="begin"/>
      </w:r>
      <w:r>
        <w:rPr>
          <w:highlight w:val="none"/>
        </w:rPr>
        <w:instrText xml:space="preserve"> HYPERLINK \l _Toc14722 </w:instrText>
      </w:r>
      <w:r>
        <w:rPr>
          <w:highlight w:val="none"/>
        </w:rPr>
        <w:fldChar w:fldCharType="separate"/>
      </w:r>
      <w:r>
        <w:rPr>
          <w:rFonts w:hint="eastAsia" w:ascii="黑体" w:hAnsi="黑体" w:cs="黑体"/>
          <w:szCs w:val="28"/>
          <w:highlight w:val="none"/>
        </w:rPr>
        <w:t>九、争议解决方式</w:t>
      </w:r>
      <w:r>
        <w:rPr>
          <w:highlight w:val="none"/>
        </w:rPr>
        <w:tab/>
      </w:r>
      <w:r>
        <w:rPr>
          <w:highlight w:val="none"/>
        </w:rPr>
        <w:fldChar w:fldCharType="begin"/>
      </w:r>
      <w:r>
        <w:rPr>
          <w:highlight w:val="none"/>
        </w:rPr>
        <w:instrText xml:space="preserve"> PAGEREF _Toc14722 \h </w:instrText>
      </w:r>
      <w:r>
        <w:rPr>
          <w:highlight w:val="none"/>
        </w:rPr>
        <w:fldChar w:fldCharType="separate"/>
      </w:r>
      <w:r>
        <w:rPr>
          <w:highlight w:val="none"/>
        </w:rPr>
        <w:t>35</w:t>
      </w:r>
      <w:r>
        <w:rPr>
          <w:highlight w:val="none"/>
        </w:rPr>
        <w:fldChar w:fldCharType="end"/>
      </w:r>
      <w:r>
        <w:rPr>
          <w:highlight w:val="none"/>
        </w:rPr>
        <w:fldChar w:fldCharType="end"/>
      </w:r>
    </w:p>
    <w:p w14:paraId="136A46B0">
      <w:pPr>
        <w:pStyle w:val="21"/>
        <w:tabs>
          <w:tab w:val="right" w:leader="dot" w:pos="9354"/>
        </w:tabs>
        <w:rPr>
          <w:highlight w:val="none"/>
        </w:rPr>
      </w:pPr>
      <w:r>
        <w:rPr>
          <w:highlight w:val="none"/>
        </w:rPr>
        <w:fldChar w:fldCharType="begin"/>
      </w:r>
      <w:r>
        <w:rPr>
          <w:highlight w:val="none"/>
        </w:rPr>
        <w:instrText xml:space="preserve"> HYPERLINK \l _Toc26961 </w:instrText>
      </w:r>
      <w:r>
        <w:rPr>
          <w:highlight w:val="none"/>
        </w:rPr>
        <w:fldChar w:fldCharType="separate"/>
      </w:r>
      <w:r>
        <w:rPr>
          <w:rFonts w:hint="eastAsia" w:ascii="黑体" w:hAnsi="黑体" w:cs="黑体"/>
          <w:szCs w:val="28"/>
          <w:highlight w:val="none"/>
        </w:rPr>
        <w:t>十、组成合同的文件</w:t>
      </w:r>
      <w:r>
        <w:rPr>
          <w:highlight w:val="none"/>
        </w:rPr>
        <w:tab/>
      </w:r>
      <w:r>
        <w:rPr>
          <w:highlight w:val="none"/>
        </w:rPr>
        <w:fldChar w:fldCharType="begin"/>
      </w:r>
      <w:r>
        <w:rPr>
          <w:highlight w:val="none"/>
        </w:rPr>
        <w:instrText xml:space="preserve"> PAGEREF _Toc26961 \h </w:instrText>
      </w:r>
      <w:r>
        <w:rPr>
          <w:highlight w:val="none"/>
        </w:rPr>
        <w:fldChar w:fldCharType="separate"/>
      </w:r>
      <w:r>
        <w:rPr>
          <w:highlight w:val="none"/>
        </w:rPr>
        <w:t>35</w:t>
      </w:r>
      <w:r>
        <w:rPr>
          <w:highlight w:val="none"/>
        </w:rPr>
        <w:fldChar w:fldCharType="end"/>
      </w:r>
      <w:r>
        <w:rPr>
          <w:highlight w:val="none"/>
        </w:rPr>
        <w:fldChar w:fldCharType="end"/>
      </w:r>
    </w:p>
    <w:p w14:paraId="62AFD902">
      <w:pPr>
        <w:pStyle w:val="21"/>
        <w:tabs>
          <w:tab w:val="right" w:leader="dot" w:pos="9354"/>
        </w:tabs>
        <w:rPr>
          <w:highlight w:val="none"/>
        </w:rPr>
      </w:pPr>
      <w:r>
        <w:rPr>
          <w:highlight w:val="none"/>
        </w:rPr>
        <w:fldChar w:fldCharType="begin"/>
      </w:r>
      <w:r>
        <w:rPr>
          <w:highlight w:val="none"/>
        </w:rPr>
        <w:instrText xml:space="preserve"> HYPERLINK \l _Toc1630 </w:instrText>
      </w:r>
      <w:r>
        <w:rPr>
          <w:highlight w:val="none"/>
        </w:rPr>
        <w:fldChar w:fldCharType="separate"/>
      </w:r>
      <w:r>
        <w:rPr>
          <w:rFonts w:hint="eastAsia" w:ascii="黑体" w:hAnsi="黑体" w:cs="黑体"/>
          <w:szCs w:val="28"/>
          <w:highlight w:val="none"/>
        </w:rPr>
        <w:t>十一、其他</w:t>
      </w:r>
      <w:r>
        <w:rPr>
          <w:highlight w:val="none"/>
        </w:rPr>
        <w:tab/>
      </w:r>
      <w:r>
        <w:rPr>
          <w:highlight w:val="none"/>
        </w:rPr>
        <w:fldChar w:fldCharType="begin"/>
      </w:r>
      <w:r>
        <w:rPr>
          <w:highlight w:val="none"/>
        </w:rPr>
        <w:instrText xml:space="preserve"> PAGEREF _Toc1630 \h </w:instrText>
      </w:r>
      <w:r>
        <w:rPr>
          <w:highlight w:val="none"/>
        </w:rPr>
        <w:fldChar w:fldCharType="separate"/>
      </w:r>
      <w:r>
        <w:rPr>
          <w:highlight w:val="none"/>
        </w:rPr>
        <w:t>35</w:t>
      </w:r>
      <w:r>
        <w:rPr>
          <w:highlight w:val="none"/>
        </w:rPr>
        <w:fldChar w:fldCharType="end"/>
      </w:r>
      <w:r>
        <w:rPr>
          <w:highlight w:val="none"/>
        </w:rPr>
        <w:fldChar w:fldCharType="end"/>
      </w:r>
    </w:p>
    <w:p w14:paraId="41D1FD23">
      <w:pPr>
        <w:pStyle w:val="34"/>
        <w:tabs>
          <w:tab w:val="right" w:leader="dot" w:pos="9354"/>
        </w:tabs>
        <w:rPr>
          <w:highlight w:val="none"/>
        </w:rPr>
      </w:pPr>
      <w:r>
        <w:rPr>
          <w:highlight w:val="none"/>
        </w:rPr>
        <w:fldChar w:fldCharType="begin"/>
      </w:r>
      <w:r>
        <w:rPr>
          <w:highlight w:val="none"/>
        </w:rPr>
        <w:instrText xml:space="preserve"> HYPERLINK \l _Toc16570 </w:instrText>
      </w:r>
      <w:r>
        <w:rPr>
          <w:highlight w:val="none"/>
        </w:rPr>
        <w:fldChar w:fldCharType="separate"/>
      </w:r>
      <w:r>
        <w:rPr>
          <w:rFonts w:hint="eastAsia"/>
          <w:szCs w:val="44"/>
          <w:highlight w:val="none"/>
          <w:lang w:val="zh-CN"/>
        </w:rPr>
        <w:t>第三章</w:t>
      </w:r>
      <w:r>
        <w:rPr>
          <w:szCs w:val="44"/>
          <w:highlight w:val="none"/>
          <w:lang w:val="zh-CN"/>
        </w:rPr>
        <w:t xml:space="preserve"> </w:t>
      </w:r>
      <w:r>
        <w:rPr>
          <w:rFonts w:hint="eastAsia"/>
          <w:szCs w:val="44"/>
          <w:highlight w:val="none"/>
          <w:lang w:val="zh-CN"/>
        </w:rPr>
        <w:t>报价文件内容及格式</w:t>
      </w:r>
      <w:r>
        <w:rPr>
          <w:highlight w:val="none"/>
        </w:rPr>
        <w:tab/>
      </w:r>
      <w:r>
        <w:rPr>
          <w:highlight w:val="none"/>
        </w:rPr>
        <w:fldChar w:fldCharType="begin"/>
      </w:r>
      <w:r>
        <w:rPr>
          <w:highlight w:val="none"/>
        </w:rPr>
        <w:instrText xml:space="preserve"> PAGEREF _Toc16570 \h </w:instrText>
      </w:r>
      <w:r>
        <w:rPr>
          <w:highlight w:val="none"/>
        </w:rPr>
        <w:fldChar w:fldCharType="separate"/>
      </w:r>
      <w:r>
        <w:rPr>
          <w:highlight w:val="none"/>
        </w:rPr>
        <w:t>37</w:t>
      </w:r>
      <w:r>
        <w:rPr>
          <w:highlight w:val="none"/>
        </w:rPr>
        <w:fldChar w:fldCharType="end"/>
      </w:r>
      <w:r>
        <w:rPr>
          <w:highlight w:val="none"/>
        </w:rPr>
        <w:fldChar w:fldCharType="end"/>
      </w:r>
    </w:p>
    <w:p w14:paraId="7C3C8E89">
      <w:pPr>
        <w:pStyle w:val="21"/>
        <w:tabs>
          <w:tab w:val="right" w:leader="dot" w:pos="9354"/>
        </w:tabs>
        <w:rPr>
          <w:highlight w:val="none"/>
        </w:rPr>
      </w:pPr>
      <w:r>
        <w:rPr>
          <w:highlight w:val="none"/>
        </w:rPr>
        <w:fldChar w:fldCharType="begin"/>
      </w:r>
      <w:r>
        <w:rPr>
          <w:highlight w:val="none"/>
        </w:rPr>
        <w:instrText xml:space="preserve"> HYPERLINK \l _Toc22599 </w:instrText>
      </w:r>
      <w:r>
        <w:rPr>
          <w:highlight w:val="none"/>
        </w:rPr>
        <w:fldChar w:fldCharType="separate"/>
      </w:r>
      <w:r>
        <w:rPr>
          <w:rFonts w:hint="eastAsia" w:ascii="方正小标宋简体" w:eastAsia="方正小标宋简体"/>
          <w:bCs/>
          <w:szCs w:val="52"/>
          <w:highlight w:val="none"/>
        </w:rPr>
        <w:t>一、价格文件</w:t>
      </w:r>
      <w:r>
        <w:rPr>
          <w:highlight w:val="none"/>
        </w:rPr>
        <w:tab/>
      </w:r>
      <w:r>
        <w:rPr>
          <w:highlight w:val="none"/>
        </w:rPr>
        <w:fldChar w:fldCharType="begin"/>
      </w:r>
      <w:r>
        <w:rPr>
          <w:highlight w:val="none"/>
        </w:rPr>
        <w:instrText xml:space="preserve"> PAGEREF _Toc22599 \h </w:instrText>
      </w:r>
      <w:r>
        <w:rPr>
          <w:highlight w:val="none"/>
        </w:rPr>
        <w:fldChar w:fldCharType="separate"/>
      </w:r>
      <w:r>
        <w:rPr>
          <w:highlight w:val="none"/>
        </w:rPr>
        <w:t>38</w:t>
      </w:r>
      <w:r>
        <w:rPr>
          <w:highlight w:val="none"/>
        </w:rPr>
        <w:fldChar w:fldCharType="end"/>
      </w:r>
      <w:r>
        <w:rPr>
          <w:highlight w:val="none"/>
        </w:rPr>
        <w:fldChar w:fldCharType="end"/>
      </w:r>
    </w:p>
    <w:p w14:paraId="695FC4D7">
      <w:pPr>
        <w:pStyle w:val="21"/>
        <w:tabs>
          <w:tab w:val="right" w:leader="dot" w:pos="9354"/>
        </w:tabs>
        <w:rPr>
          <w:highlight w:val="none"/>
        </w:rPr>
      </w:pPr>
      <w:r>
        <w:rPr>
          <w:highlight w:val="none"/>
        </w:rPr>
        <w:fldChar w:fldCharType="begin"/>
      </w:r>
      <w:r>
        <w:rPr>
          <w:highlight w:val="none"/>
        </w:rPr>
        <w:instrText xml:space="preserve"> HYPERLINK \l _Toc3119 </w:instrText>
      </w:r>
      <w:r>
        <w:rPr>
          <w:highlight w:val="none"/>
        </w:rPr>
        <w:fldChar w:fldCharType="separate"/>
      </w:r>
      <w:r>
        <w:rPr>
          <w:rFonts w:hint="eastAsia" w:ascii="方正小标宋简体" w:eastAsia="方正小标宋简体"/>
          <w:bCs/>
          <w:szCs w:val="52"/>
          <w:highlight w:val="none"/>
        </w:rPr>
        <w:t>二、商务技术文件</w:t>
      </w:r>
      <w:r>
        <w:rPr>
          <w:highlight w:val="none"/>
        </w:rPr>
        <w:tab/>
      </w:r>
      <w:r>
        <w:rPr>
          <w:highlight w:val="none"/>
        </w:rPr>
        <w:fldChar w:fldCharType="begin"/>
      </w:r>
      <w:r>
        <w:rPr>
          <w:highlight w:val="none"/>
        </w:rPr>
        <w:instrText xml:space="preserve"> PAGEREF _Toc3119 \h </w:instrText>
      </w:r>
      <w:r>
        <w:rPr>
          <w:highlight w:val="none"/>
        </w:rPr>
        <w:fldChar w:fldCharType="separate"/>
      </w:r>
      <w:r>
        <w:rPr>
          <w:highlight w:val="none"/>
        </w:rPr>
        <w:t>45</w:t>
      </w:r>
      <w:r>
        <w:rPr>
          <w:highlight w:val="none"/>
        </w:rPr>
        <w:fldChar w:fldCharType="end"/>
      </w:r>
      <w:r>
        <w:rPr>
          <w:highlight w:val="none"/>
        </w:rPr>
        <w:fldChar w:fldCharType="end"/>
      </w:r>
    </w:p>
    <w:p w14:paraId="4CAE9016">
      <w:pPr>
        <w:pStyle w:val="21"/>
        <w:tabs>
          <w:tab w:val="right" w:leader="dot" w:pos="9354"/>
        </w:tabs>
        <w:rPr>
          <w:highlight w:val="none"/>
        </w:rPr>
      </w:pPr>
      <w:r>
        <w:rPr>
          <w:highlight w:val="none"/>
        </w:rPr>
        <w:fldChar w:fldCharType="begin"/>
      </w:r>
      <w:r>
        <w:rPr>
          <w:highlight w:val="none"/>
        </w:rPr>
        <w:instrText xml:space="preserve"> HYPERLINK \l _Toc21887 </w:instrText>
      </w:r>
      <w:r>
        <w:rPr>
          <w:highlight w:val="none"/>
        </w:rPr>
        <w:fldChar w:fldCharType="separate"/>
      </w:r>
      <w:r>
        <w:rPr>
          <w:rFonts w:hint="eastAsia" w:ascii="方正小标宋简体" w:eastAsia="方正小标宋简体"/>
          <w:bCs/>
          <w:szCs w:val="52"/>
          <w:highlight w:val="none"/>
        </w:rPr>
        <w:t>三、资格证明文件</w:t>
      </w:r>
      <w:r>
        <w:rPr>
          <w:highlight w:val="none"/>
        </w:rPr>
        <w:tab/>
      </w:r>
      <w:r>
        <w:rPr>
          <w:highlight w:val="none"/>
        </w:rPr>
        <w:fldChar w:fldCharType="begin"/>
      </w:r>
      <w:r>
        <w:rPr>
          <w:highlight w:val="none"/>
        </w:rPr>
        <w:instrText xml:space="preserve"> PAGEREF _Toc21887 \h </w:instrText>
      </w:r>
      <w:r>
        <w:rPr>
          <w:highlight w:val="none"/>
        </w:rPr>
        <w:fldChar w:fldCharType="separate"/>
      </w:r>
      <w:r>
        <w:rPr>
          <w:highlight w:val="none"/>
        </w:rPr>
        <w:t>66</w:t>
      </w:r>
      <w:r>
        <w:rPr>
          <w:highlight w:val="none"/>
        </w:rPr>
        <w:fldChar w:fldCharType="end"/>
      </w:r>
      <w:r>
        <w:rPr>
          <w:highlight w:val="none"/>
        </w:rPr>
        <w:fldChar w:fldCharType="end"/>
      </w:r>
    </w:p>
    <w:p w14:paraId="731FBF74">
      <w:pPr>
        <w:pStyle w:val="21"/>
        <w:tabs>
          <w:tab w:val="right" w:leader="dot" w:pos="9354"/>
        </w:tabs>
        <w:rPr>
          <w:highlight w:val="none"/>
        </w:rPr>
      </w:pPr>
    </w:p>
    <w:p w14:paraId="06CF9EB1">
      <w:pPr>
        <w:rPr>
          <w:highlight w:val="none"/>
        </w:rPr>
      </w:pPr>
      <w:r>
        <w:rPr>
          <w:highlight w:val="none"/>
        </w:rPr>
        <w:fldChar w:fldCharType="end"/>
      </w:r>
    </w:p>
    <w:p w14:paraId="56D9C534">
      <w:pPr>
        <w:bidi w:val="0"/>
        <w:rPr>
          <w:rStyle w:val="48"/>
          <w:rFonts w:asciiTheme="minorEastAsia" w:hAnsiTheme="minorEastAsia"/>
          <w:color w:val="auto"/>
          <w:szCs w:val="28"/>
          <w:highlight w:val="none"/>
        </w:rPr>
      </w:pPr>
    </w:p>
    <w:p w14:paraId="34FAB8B7">
      <w:pPr>
        <w:bidi w:val="0"/>
        <w:rPr>
          <w:highlight w:val="none"/>
        </w:rPr>
      </w:pPr>
    </w:p>
    <w:p w14:paraId="3056EDAB">
      <w:pPr>
        <w:bidi w:val="0"/>
        <w:rPr>
          <w:highlight w:val="none"/>
        </w:rPr>
      </w:pPr>
    </w:p>
    <w:p w14:paraId="48610DF7">
      <w:pPr>
        <w:bidi w:val="0"/>
        <w:rPr>
          <w:highlight w:val="none"/>
        </w:rPr>
      </w:pPr>
    </w:p>
    <w:p w14:paraId="1AC03A73">
      <w:pPr>
        <w:bidi w:val="0"/>
        <w:rPr>
          <w:highlight w:val="none"/>
        </w:rPr>
      </w:pPr>
    </w:p>
    <w:p w14:paraId="4F743D6B">
      <w:pPr>
        <w:bidi w:val="0"/>
        <w:rPr>
          <w:highlight w:val="none"/>
        </w:rPr>
      </w:pPr>
    </w:p>
    <w:p w14:paraId="6F2A8B0B">
      <w:pPr>
        <w:bidi w:val="0"/>
        <w:rPr>
          <w:highlight w:val="none"/>
        </w:rPr>
      </w:pPr>
    </w:p>
    <w:p w14:paraId="4EE95B34">
      <w:pPr>
        <w:bidi w:val="0"/>
        <w:rPr>
          <w:highlight w:val="none"/>
        </w:rPr>
      </w:pPr>
    </w:p>
    <w:p w14:paraId="0DA20804">
      <w:pPr>
        <w:bidi w:val="0"/>
        <w:rPr>
          <w:highlight w:val="none"/>
        </w:rPr>
      </w:pPr>
    </w:p>
    <w:p w14:paraId="66D9FF14">
      <w:pPr>
        <w:bidi w:val="0"/>
        <w:rPr>
          <w:highlight w:val="none"/>
        </w:rPr>
      </w:pPr>
    </w:p>
    <w:p w14:paraId="4ABF6099">
      <w:pPr>
        <w:bidi w:val="0"/>
        <w:rPr>
          <w:highlight w:val="none"/>
        </w:rPr>
      </w:pPr>
    </w:p>
    <w:p w14:paraId="1D1F9EF8">
      <w:pPr>
        <w:bidi w:val="0"/>
        <w:rPr>
          <w:highlight w:val="none"/>
        </w:rPr>
      </w:pPr>
    </w:p>
    <w:p w14:paraId="2E79F532">
      <w:pPr>
        <w:bidi w:val="0"/>
        <w:rPr>
          <w:highlight w:val="none"/>
        </w:rPr>
      </w:pPr>
    </w:p>
    <w:p w14:paraId="61C32650">
      <w:pPr>
        <w:tabs>
          <w:tab w:val="left" w:pos="6595"/>
        </w:tabs>
        <w:bidi w:val="0"/>
        <w:jc w:val="left"/>
        <w:rPr>
          <w:rFonts w:hint="eastAsia" w:eastAsia="宋体"/>
          <w:highlight w:val="none"/>
          <w:lang w:eastAsia="zh-CN"/>
        </w:rPr>
        <w:sectPr>
          <w:headerReference r:id="rId5" w:type="first"/>
          <w:headerReference r:id="rId3" w:type="default"/>
          <w:footerReference r:id="rId6" w:type="default"/>
          <w:headerReference r:id="rId4" w:type="even"/>
          <w:pgSz w:w="11906" w:h="16838"/>
          <w:pgMar w:top="1418" w:right="1134" w:bottom="1418" w:left="1418" w:header="851" w:footer="851" w:gutter="0"/>
          <w:pgNumType w:fmt="decimal"/>
          <w:cols w:space="720" w:num="1"/>
        </w:sectPr>
      </w:pPr>
      <w:r>
        <w:rPr>
          <w:rFonts w:hint="eastAsia"/>
          <w:highlight w:val="none"/>
          <w:lang w:eastAsia="zh-CN"/>
        </w:rPr>
        <w:tab/>
      </w:r>
    </w:p>
    <w:p w14:paraId="01D2384B">
      <w:pPr>
        <w:pStyle w:val="4"/>
        <w:keepNext w:val="0"/>
        <w:keepLines w:val="0"/>
        <w:adjustRightInd w:val="0"/>
        <w:snapToGrid w:val="0"/>
        <w:spacing w:line="560" w:lineRule="exact"/>
        <w:jc w:val="center"/>
        <w:rPr>
          <w:b w:val="0"/>
          <w:szCs w:val="44"/>
          <w:highlight w:val="none"/>
        </w:rPr>
      </w:pPr>
      <w:bookmarkStart w:id="13" w:name="_Toc240432230"/>
      <w:bookmarkStart w:id="14" w:name="_Toc23384"/>
      <w:bookmarkStart w:id="15" w:name="_Toc15634"/>
      <w:bookmarkStart w:id="16" w:name="_Toc112317766"/>
      <w:bookmarkStart w:id="17" w:name="_Toc152058251"/>
      <w:bookmarkStart w:id="18" w:name="_Toc3979"/>
      <w:bookmarkStart w:id="19" w:name="_Toc15693"/>
      <w:bookmarkStart w:id="20" w:name="_Toc12911"/>
      <w:bookmarkStart w:id="21" w:name="_Toc28054"/>
      <w:bookmarkStart w:id="22" w:name="_Toc10367"/>
      <w:bookmarkStart w:id="23" w:name="_Toc390713968"/>
      <w:bookmarkStart w:id="24" w:name="_Toc112768378"/>
      <w:bookmarkStart w:id="25" w:name="_Toc2974"/>
      <w:bookmarkStart w:id="26" w:name="_Toc9986"/>
      <w:bookmarkStart w:id="27" w:name="_Toc285612601"/>
      <w:bookmarkStart w:id="28" w:name="_Toc945"/>
      <w:bookmarkStart w:id="29" w:name="_Toc25773"/>
      <w:bookmarkStart w:id="30" w:name="_Hlk112258849"/>
      <w:r>
        <w:rPr>
          <w:rFonts w:hint="eastAsia"/>
          <w:b w:val="0"/>
          <w:szCs w:val="44"/>
          <w:highlight w:val="none"/>
          <w:lang w:val="zh-CN"/>
        </w:rPr>
        <w:t>第一章 谈判须知</w:t>
      </w:r>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p>
    <w:bookmarkEnd w:id="30"/>
    <w:p w14:paraId="266800FD">
      <w:pPr>
        <w:pStyle w:val="5"/>
        <w:keepNext w:val="0"/>
        <w:keepLines w:val="0"/>
        <w:adjustRightInd w:val="0"/>
        <w:snapToGrid w:val="0"/>
        <w:spacing w:before="120" w:beforeLines="50" w:after="120" w:afterLines="50" w:line="560" w:lineRule="exact"/>
        <w:jc w:val="center"/>
        <w:rPr>
          <w:b w:val="0"/>
          <w:highlight w:val="none"/>
        </w:rPr>
      </w:pPr>
      <w:bookmarkStart w:id="31" w:name="_Toc112317767"/>
      <w:bookmarkStart w:id="32" w:name="_Toc20949"/>
      <w:bookmarkStart w:id="33" w:name="_Toc9488"/>
      <w:bookmarkStart w:id="34" w:name="_Toc8980"/>
      <w:bookmarkStart w:id="35" w:name="_Toc19197"/>
      <w:bookmarkStart w:id="36" w:name="_Toc5139"/>
      <w:bookmarkStart w:id="37" w:name="_Toc3044"/>
      <w:bookmarkStart w:id="38" w:name="_Toc9713"/>
      <w:bookmarkStart w:id="39" w:name="_Toc30799"/>
      <w:bookmarkStart w:id="40" w:name="_Toc8752"/>
      <w:bookmarkStart w:id="41" w:name="_Toc16291"/>
      <w:bookmarkStart w:id="42" w:name="_Toc112768379"/>
      <w:bookmarkStart w:id="43" w:name="_Toc6575"/>
      <w:bookmarkStart w:id="44" w:name="_Toc152058252"/>
      <w:r>
        <w:rPr>
          <w:rFonts w:hint="eastAsia"/>
          <w:b w:val="0"/>
          <w:highlight w:val="none"/>
        </w:rPr>
        <w:t>一、说</w:t>
      </w:r>
      <w:r>
        <w:rPr>
          <w:b w:val="0"/>
          <w:highlight w:val="none"/>
        </w:rPr>
        <w:t xml:space="preserve">  </w:t>
      </w:r>
      <w:r>
        <w:rPr>
          <w:rFonts w:hint="eastAsia"/>
          <w:b w:val="0"/>
          <w:highlight w:val="none"/>
        </w:rPr>
        <w:t>明</w:t>
      </w:r>
      <w:bookmarkEnd w:id="31"/>
      <w:bookmarkEnd w:id="32"/>
      <w:bookmarkEnd w:id="33"/>
      <w:bookmarkEnd w:id="34"/>
      <w:bookmarkEnd w:id="35"/>
      <w:bookmarkEnd w:id="36"/>
      <w:bookmarkEnd w:id="37"/>
      <w:bookmarkEnd w:id="38"/>
      <w:bookmarkEnd w:id="39"/>
      <w:bookmarkEnd w:id="40"/>
      <w:bookmarkEnd w:id="41"/>
      <w:bookmarkEnd w:id="42"/>
      <w:bookmarkEnd w:id="43"/>
      <w:bookmarkEnd w:id="44"/>
    </w:p>
    <w:p w14:paraId="2DBEA646">
      <w:pPr>
        <w:pStyle w:val="6"/>
        <w:keepNext w:val="0"/>
        <w:keepLines w:val="0"/>
        <w:adjustRightInd w:val="0"/>
        <w:snapToGrid w:val="0"/>
        <w:spacing w:before="0" w:after="0" w:line="560" w:lineRule="exact"/>
        <w:ind w:firstLine="560" w:firstLineChars="200"/>
        <w:rPr>
          <w:snapToGrid w:val="0"/>
          <w:highlight w:val="none"/>
          <w:lang w:val="zh-CN"/>
        </w:rPr>
      </w:pPr>
      <w:bookmarkStart w:id="45" w:name="_Toc112768380"/>
      <w:bookmarkStart w:id="46" w:name="_Toc18781"/>
      <w:bookmarkStart w:id="47" w:name="_Toc21350"/>
      <w:bookmarkStart w:id="48" w:name="_Toc10142"/>
      <w:bookmarkStart w:id="49" w:name="_Toc27733"/>
      <w:bookmarkStart w:id="50" w:name="_Toc4267"/>
      <w:r>
        <w:rPr>
          <w:rFonts w:ascii="黑体" w:hAnsi="黑体"/>
          <w:b w:val="0"/>
          <w:highlight w:val="none"/>
        </w:rPr>
        <w:t>1.概述</w:t>
      </w:r>
      <w:bookmarkEnd w:id="45"/>
      <w:bookmarkEnd w:id="46"/>
      <w:bookmarkEnd w:id="47"/>
      <w:bookmarkEnd w:id="48"/>
      <w:bookmarkEnd w:id="49"/>
      <w:bookmarkEnd w:id="50"/>
    </w:p>
    <w:p w14:paraId="55C17162">
      <w:pPr>
        <w:adjustRightInd w:val="0"/>
        <w:snapToGrid w:val="0"/>
        <w:spacing w:line="560" w:lineRule="exact"/>
        <w:ind w:firstLine="560" w:firstLineChars="200"/>
        <w:rPr>
          <w:rFonts w:ascii="宋体" w:hAnsi="宋体"/>
          <w:bCs/>
          <w:snapToGrid w:val="0"/>
          <w:sz w:val="28"/>
          <w:szCs w:val="28"/>
          <w:highlight w:val="none"/>
          <w:lang w:val="zh-CN"/>
        </w:rPr>
      </w:pPr>
      <w:r>
        <w:rPr>
          <w:rFonts w:hint="eastAsia" w:ascii="宋体" w:hAnsi="宋体"/>
          <w:bCs/>
          <w:snapToGrid w:val="0"/>
          <w:sz w:val="28"/>
          <w:szCs w:val="28"/>
          <w:highlight w:val="none"/>
          <w:lang w:val="zh-CN"/>
        </w:rPr>
        <w:t>1.1本文件适用于军队物资类竞争性谈判采购项目，用于明确一般性组织程序和实施要求。报价供应商应当结合采购项目谈判文件的专用文件，全面了解采购项目信息。</w:t>
      </w:r>
    </w:p>
    <w:p w14:paraId="63ABB596">
      <w:pPr>
        <w:adjustRightInd w:val="0"/>
        <w:snapToGrid w:val="0"/>
        <w:spacing w:line="560" w:lineRule="exact"/>
        <w:ind w:firstLine="560" w:firstLineChars="200"/>
        <w:rPr>
          <w:rFonts w:ascii="宋体" w:hAnsi="宋体"/>
          <w:bCs/>
          <w:snapToGrid w:val="0"/>
          <w:sz w:val="28"/>
          <w:szCs w:val="28"/>
          <w:highlight w:val="none"/>
        </w:rPr>
      </w:pPr>
      <w:r>
        <w:rPr>
          <w:rFonts w:ascii="宋体" w:hAnsi="宋体"/>
          <w:bCs/>
          <w:snapToGrid w:val="0"/>
          <w:sz w:val="28"/>
          <w:szCs w:val="28"/>
          <w:highlight w:val="none"/>
          <w:lang w:val="zh-CN"/>
        </w:rPr>
        <w:t>1.2</w:t>
      </w:r>
      <w:r>
        <w:rPr>
          <w:rFonts w:hint="eastAsia" w:ascii="宋体" w:hAnsi="宋体"/>
          <w:bCs/>
          <w:snapToGrid w:val="0"/>
          <w:sz w:val="28"/>
          <w:szCs w:val="28"/>
          <w:highlight w:val="none"/>
        </w:rPr>
        <w:t>竞争性谈判的各参加方，对在参与谈判过程中获悉的国家、军队和商业秘密，以及其他依法应当保密的内容，均负有保密义务，违者应当承担相应的法律责任。</w:t>
      </w:r>
    </w:p>
    <w:p w14:paraId="70EB510D">
      <w:pPr>
        <w:pStyle w:val="6"/>
        <w:keepNext w:val="0"/>
        <w:keepLines w:val="0"/>
        <w:adjustRightInd w:val="0"/>
        <w:snapToGrid w:val="0"/>
        <w:spacing w:before="0" w:after="0" w:line="560" w:lineRule="exact"/>
        <w:ind w:firstLine="560" w:firstLineChars="200"/>
        <w:rPr>
          <w:rFonts w:ascii="黑体" w:hAnsi="黑体"/>
          <w:b w:val="0"/>
          <w:highlight w:val="none"/>
        </w:rPr>
      </w:pPr>
      <w:bookmarkStart w:id="51" w:name="_Toc22416"/>
      <w:bookmarkStart w:id="52" w:name="_Toc12952"/>
      <w:bookmarkStart w:id="53" w:name="_Toc31925"/>
      <w:bookmarkStart w:id="54" w:name="_Toc2154"/>
      <w:bookmarkStart w:id="55" w:name="_Toc27552"/>
      <w:bookmarkStart w:id="56" w:name="_Toc112768381"/>
      <w:r>
        <w:rPr>
          <w:rFonts w:ascii="黑体" w:hAnsi="黑体"/>
          <w:b w:val="0"/>
          <w:highlight w:val="none"/>
        </w:rPr>
        <w:t>2.定义</w:t>
      </w:r>
      <w:bookmarkEnd w:id="51"/>
      <w:bookmarkEnd w:id="52"/>
      <w:bookmarkEnd w:id="53"/>
      <w:bookmarkEnd w:id="54"/>
      <w:bookmarkEnd w:id="55"/>
      <w:bookmarkEnd w:id="56"/>
    </w:p>
    <w:p w14:paraId="2D809159">
      <w:pPr>
        <w:adjustRightInd w:val="0"/>
        <w:snapToGrid w:val="0"/>
        <w:spacing w:line="560" w:lineRule="exact"/>
        <w:ind w:firstLine="560" w:firstLineChars="200"/>
        <w:rPr>
          <w:rFonts w:ascii="宋体" w:hAnsi="宋体"/>
          <w:bCs/>
          <w:snapToGrid w:val="0"/>
          <w:sz w:val="28"/>
          <w:szCs w:val="28"/>
          <w:highlight w:val="none"/>
        </w:rPr>
      </w:pPr>
      <w:r>
        <w:rPr>
          <w:rFonts w:ascii="宋体" w:hAnsi="宋体"/>
          <w:bCs/>
          <w:snapToGrid w:val="0"/>
          <w:sz w:val="28"/>
          <w:szCs w:val="28"/>
          <w:highlight w:val="none"/>
        </w:rPr>
        <w:t>2.1“采购项目”</w:t>
      </w:r>
      <w:r>
        <w:rPr>
          <w:rFonts w:hint="eastAsia" w:ascii="宋体" w:hAnsi="宋体"/>
          <w:bCs/>
          <w:snapToGrid w:val="0"/>
          <w:sz w:val="28"/>
          <w:szCs w:val="28"/>
          <w:highlight w:val="none"/>
        </w:rPr>
        <w:t>是</w:t>
      </w:r>
      <w:r>
        <w:rPr>
          <w:rFonts w:ascii="宋体" w:hAnsi="宋体"/>
          <w:bCs/>
          <w:snapToGrid w:val="0"/>
          <w:sz w:val="28"/>
          <w:szCs w:val="28"/>
          <w:highlight w:val="none"/>
        </w:rPr>
        <w:t>指本谈判文件描述的所需采购的物资</w:t>
      </w:r>
      <w:r>
        <w:rPr>
          <w:rFonts w:hint="eastAsia" w:ascii="宋体" w:hAnsi="宋体"/>
          <w:bCs/>
          <w:snapToGrid w:val="0"/>
          <w:sz w:val="28"/>
          <w:szCs w:val="28"/>
          <w:highlight w:val="none"/>
        </w:rPr>
        <w:t>及其</w:t>
      </w:r>
      <w:r>
        <w:rPr>
          <w:rFonts w:ascii="宋体" w:hAnsi="宋体"/>
          <w:bCs/>
          <w:snapToGrid w:val="0"/>
          <w:sz w:val="28"/>
          <w:szCs w:val="28"/>
          <w:highlight w:val="none"/>
        </w:rPr>
        <w:t>相关服务</w:t>
      </w:r>
      <w:r>
        <w:rPr>
          <w:rFonts w:hint="eastAsia" w:ascii="宋体" w:hAnsi="宋体"/>
          <w:bCs/>
          <w:snapToGrid w:val="0"/>
          <w:sz w:val="28"/>
          <w:szCs w:val="28"/>
          <w:highlight w:val="none"/>
        </w:rPr>
        <w:t>。</w:t>
      </w:r>
    </w:p>
    <w:p w14:paraId="5A3FE60B">
      <w:pPr>
        <w:adjustRightInd w:val="0"/>
        <w:snapToGrid w:val="0"/>
        <w:spacing w:line="560" w:lineRule="exact"/>
        <w:ind w:firstLine="560" w:firstLineChars="200"/>
        <w:rPr>
          <w:rFonts w:ascii="宋体" w:hAnsi="宋体"/>
          <w:bCs/>
          <w:snapToGrid w:val="0"/>
          <w:sz w:val="28"/>
          <w:szCs w:val="28"/>
          <w:highlight w:val="none"/>
        </w:rPr>
      </w:pPr>
      <w:r>
        <w:rPr>
          <w:rFonts w:ascii="宋体" w:hAnsi="宋体"/>
          <w:bCs/>
          <w:snapToGrid w:val="0"/>
          <w:sz w:val="28"/>
          <w:szCs w:val="28"/>
          <w:highlight w:val="none"/>
        </w:rPr>
        <w:t>2.2“采购机构”</w:t>
      </w:r>
      <w:r>
        <w:rPr>
          <w:rFonts w:hint="eastAsia" w:ascii="宋体" w:hAnsi="宋体"/>
          <w:bCs/>
          <w:snapToGrid w:val="0"/>
          <w:sz w:val="28"/>
          <w:szCs w:val="28"/>
          <w:highlight w:val="none"/>
        </w:rPr>
        <w:t>是</w:t>
      </w:r>
      <w:r>
        <w:rPr>
          <w:rFonts w:ascii="宋体" w:hAnsi="宋体"/>
          <w:bCs/>
          <w:snapToGrid w:val="0"/>
          <w:sz w:val="28"/>
          <w:szCs w:val="28"/>
          <w:highlight w:val="none"/>
        </w:rPr>
        <w:t>指组织本次谈判的</w:t>
      </w:r>
      <w:r>
        <w:rPr>
          <w:rFonts w:ascii="宋体" w:hAnsi="宋体"/>
          <w:bCs/>
          <w:sz w:val="28"/>
          <w:szCs w:val="28"/>
          <w:highlight w:val="none"/>
        </w:rPr>
        <w:t>采购机构</w:t>
      </w:r>
      <w:r>
        <w:rPr>
          <w:rFonts w:hint="eastAsia" w:ascii="宋体" w:hAnsi="宋体"/>
          <w:bCs/>
          <w:sz w:val="28"/>
          <w:szCs w:val="28"/>
          <w:highlight w:val="none"/>
        </w:rPr>
        <w:t>或代理机构</w:t>
      </w:r>
      <w:r>
        <w:rPr>
          <w:rFonts w:hint="eastAsia" w:ascii="宋体" w:hAnsi="宋体"/>
          <w:bCs/>
          <w:snapToGrid w:val="0"/>
          <w:sz w:val="28"/>
          <w:szCs w:val="28"/>
          <w:highlight w:val="none"/>
        </w:rPr>
        <w:t>。</w:t>
      </w:r>
    </w:p>
    <w:p w14:paraId="62BEAF9F">
      <w:pPr>
        <w:adjustRightInd w:val="0"/>
        <w:snapToGrid w:val="0"/>
        <w:spacing w:line="560" w:lineRule="exact"/>
        <w:ind w:firstLine="560" w:firstLineChars="200"/>
        <w:rPr>
          <w:rFonts w:ascii="宋体" w:hAnsi="宋体"/>
          <w:bCs/>
          <w:snapToGrid w:val="0"/>
          <w:sz w:val="28"/>
          <w:szCs w:val="28"/>
          <w:highlight w:val="none"/>
        </w:rPr>
      </w:pPr>
      <w:r>
        <w:rPr>
          <w:rFonts w:ascii="宋体" w:hAnsi="宋体"/>
          <w:bCs/>
          <w:snapToGrid w:val="0"/>
          <w:sz w:val="28"/>
          <w:szCs w:val="28"/>
          <w:highlight w:val="none"/>
        </w:rPr>
        <w:t>2.3</w:t>
      </w:r>
      <w:r>
        <w:rPr>
          <w:rFonts w:hint="eastAsia" w:ascii="宋体" w:hAnsi="宋体"/>
          <w:bCs/>
          <w:snapToGrid w:val="0"/>
          <w:sz w:val="28"/>
          <w:szCs w:val="28"/>
          <w:highlight w:val="none"/>
        </w:rPr>
        <w:t>“采购单位”是指本次采购物资和相关服务的需求单位。</w:t>
      </w:r>
    </w:p>
    <w:p w14:paraId="0F82062C">
      <w:pPr>
        <w:adjustRightInd w:val="0"/>
        <w:snapToGrid w:val="0"/>
        <w:spacing w:line="560" w:lineRule="exact"/>
        <w:ind w:firstLine="560" w:firstLineChars="200"/>
        <w:rPr>
          <w:rFonts w:ascii="宋体" w:hAnsi="宋体"/>
          <w:bCs/>
          <w:snapToGrid w:val="0"/>
          <w:sz w:val="28"/>
          <w:szCs w:val="28"/>
          <w:highlight w:val="none"/>
        </w:rPr>
      </w:pPr>
      <w:r>
        <w:rPr>
          <w:rFonts w:ascii="宋体" w:hAnsi="宋体"/>
          <w:bCs/>
          <w:snapToGrid w:val="0"/>
          <w:sz w:val="28"/>
          <w:szCs w:val="28"/>
          <w:highlight w:val="none"/>
        </w:rPr>
        <w:t>2.4“</w:t>
      </w:r>
      <w:r>
        <w:rPr>
          <w:rFonts w:hint="eastAsia" w:ascii="宋体" w:hAnsi="宋体"/>
          <w:bCs/>
          <w:snapToGrid w:val="0"/>
          <w:sz w:val="28"/>
          <w:szCs w:val="28"/>
          <w:highlight w:val="none"/>
        </w:rPr>
        <w:t>报价</w:t>
      </w:r>
      <w:r>
        <w:rPr>
          <w:rFonts w:ascii="宋体" w:hAnsi="宋体"/>
          <w:bCs/>
          <w:snapToGrid w:val="0"/>
          <w:sz w:val="28"/>
          <w:szCs w:val="28"/>
          <w:highlight w:val="none"/>
        </w:rPr>
        <w:t>供应商”</w:t>
      </w:r>
      <w:r>
        <w:rPr>
          <w:rFonts w:hint="eastAsia" w:ascii="宋体" w:hAnsi="宋体"/>
          <w:bCs/>
          <w:snapToGrid w:val="0"/>
          <w:sz w:val="28"/>
          <w:szCs w:val="28"/>
          <w:highlight w:val="none"/>
        </w:rPr>
        <w:t>是</w:t>
      </w:r>
      <w:r>
        <w:rPr>
          <w:rFonts w:ascii="宋体" w:hAnsi="宋体"/>
          <w:bCs/>
          <w:snapToGrid w:val="0"/>
          <w:sz w:val="28"/>
          <w:szCs w:val="28"/>
          <w:highlight w:val="none"/>
        </w:rPr>
        <w:t>指从采购机构按规定获取</w:t>
      </w:r>
      <w:r>
        <w:rPr>
          <w:rFonts w:hint="eastAsia" w:ascii="宋体" w:hAnsi="宋体"/>
          <w:bCs/>
          <w:snapToGrid w:val="0"/>
          <w:sz w:val="28"/>
          <w:szCs w:val="28"/>
          <w:highlight w:val="none"/>
        </w:rPr>
        <w:t>谈判</w:t>
      </w:r>
      <w:r>
        <w:rPr>
          <w:rFonts w:ascii="宋体" w:hAnsi="宋体"/>
          <w:bCs/>
          <w:snapToGrid w:val="0"/>
          <w:sz w:val="28"/>
          <w:szCs w:val="28"/>
          <w:highlight w:val="none"/>
        </w:rPr>
        <w:t>文件</w:t>
      </w:r>
      <w:r>
        <w:rPr>
          <w:rFonts w:hint="eastAsia" w:ascii="宋体" w:hAnsi="宋体"/>
          <w:bCs/>
          <w:snapToGrid w:val="0"/>
          <w:sz w:val="28"/>
          <w:szCs w:val="28"/>
          <w:highlight w:val="none"/>
        </w:rPr>
        <w:t>并提交报价文件</w:t>
      </w:r>
      <w:r>
        <w:rPr>
          <w:rFonts w:ascii="宋体" w:hAnsi="宋体"/>
          <w:bCs/>
          <w:snapToGrid w:val="0"/>
          <w:sz w:val="28"/>
          <w:szCs w:val="28"/>
          <w:highlight w:val="none"/>
        </w:rPr>
        <w:t>的供应商</w:t>
      </w:r>
      <w:r>
        <w:rPr>
          <w:rFonts w:hint="eastAsia" w:ascii="宋体" w:hAnsi="宋体"/>
          <w:bCs/>
          <w:snapToGrid w:val="0"/>
          <w:sz w:val="28"/>
          <w:szCs w:val="28"/>
          <w:highlight w:val="none"/>
        </w:rPr>
        <w:t>。</w:t>
      </w:r>
    </w:p>
    <w:p w14:paraId="44A38F4A">
      <w:pPr>
        <w:adjustRightInd w:val="0"/>
        <w:snapToGrid w:val="0"/>
        <w:spacing w:line="560" w:lineRule="exact"/>
        <w:ind w:firstLine="560" w:firstLineChars="200"/>
        <w:rPr>
          <w:rFonts w:ascii="宋体" w:hAnsi="宋体"/>
          <w:bCs/>
          <w:snapToGrid w:val="0"/>
          <w:sz w:val="28"/>
          <w:szCs w:val="28"/>
          <w:highlight w:val="none"/>
        </w:rPr>
      </w:pPr>
      <w:r>
        <w:rPr>
          <w:rFonts w:ascii="宋体" w:hAnsi="宋体"/>
          <w:bCs/>
          <w:snapToGrid w:val="0"/>
          <w:sz w:val="28"/>
          <w:szCs w:val="28"/>
          <w:highlight w:val="none"/>
        </w:rPr>
        <w:t>2.5“</w:t>
      </w:r>
      <w:bookmarkStart w:id="57" w:name="_Hlk112421795"/>
      <w:r>
        <w:rPr>
          <w:rFonts w:hint="eastAsia" w:ascii="宋体" w:hAnsi="宋体"/>
          <w:bCs/>
          <w:snapToGrid w:val="0"/>
          <w:sz w:val="28"/>
          <w:szCs w:val="28"/>
          <w:highlight w:val="none"/>
        </w:rPr>
        <w:t>预</w:t>
      </w:r>
      <w:r>
        <w:rPr>
          <w:rFonts w:ascii="宋体" w:hAnsi="宋体"/>
          <w:bCs/>
          <w:snapToGrid w:val="0"/>
          <w:sz w:val="28"/>
          <w:szCs w:val="28"/>
          <w:highlight w:val="none"/>
        </w:rPr>
        <w:t>成交供应商</w:t>
      </w:r>
      <w:bookmarkEnd w:id="57"/>
      <w:r>
        <w:rPr>
          <w:rFonts w:ascii="宋体" w:hAnsi="宋体"/>
          <w:bCs/>
          <w:snapToGrid w:val="0"/>
          <w:sz w:val="28"/>
          <w:szCs w:val="28"/>
          <w:highlight w:val="none"/>
        </w:rPr>
        <w:t>”</w:t>
      </w:r>
      <w:r>
        <w:rPr>
          <w:rFonts w:hint="eastAsia" w:ascii="宋体" w:hAnsi="宋体"/>
          <w:bCs/>
          <w:snapToGrid w:val="0"/>
          <w:sz w:val="28"/>
          <w:szCs w:val="28"/>
          <w:highlight w:val="none"/>
        </w:rPr>
        <w:t>是</w:t>
      </w:r>
      <w:r>
        <w:rPr>
          <w:rFonts w:ascii="宋体" w:hAnsi="宋体"/>
          <w:bCs/>
          <w:snapToGrid w:val="0"/>
          <w:sz w:val="28"/>
          <w:szCs w:val="28"/>
          <w:highlight w:val="none"/>
        </w:rPr>
        <w:t>指</w:t>
      </w:r>
      <w:r>
        <w:rPr>
          <w:rFonts w:ascii="宋体" w:hAnsi="宋体"/>
          <w:bCs/>
          <w:snapToGrid w:val="0"/>
          <w:sz w:val="28"/>
          <w:szCs w:val="28"/>
          <w:highlight w:val="none"/>
          <w:lang w:val="zh-CN"/>
        </w:rPr>
        <w:t>经过</w:t>
      </w:r>
      <w:r>
        <w:rPr>
          <w:rFonts w:hint="eastAsia" w:ascii="宋体" w:hAnsi="宋体"/>
          <w:bCs/>
          <w:snapToGrid w:val="0"/>
          <w:sz w:val="28"/>
          <w:szCs w:val="28"/>
          <w:highlight w:val="none"/>
          <w:lang w:val="zh-CN"/>
        </w:rPr>
        <w:t>竞争性谈判</w:t>
      </w:r>
      <w:r>
        <w:rPr>
          <w:rFonts w:ascii="宋体" w:hAnsi="宋体"/>
          <w:bCs/>
          <w:snapToGrid w:val="0"/>
          <w:sz w:val="28"/>
          <w:szCs w:val="28"/>
          <w:highlight w:val="none"/>
          <w:lang w:val="zh-CN"/>
        </w:rPr>
        <w:t>，</w:t>
      </w:r>
      <w:r>
        <w:rPr>
          <w:rFonts w:hint="eastAsia" w:ascii="宋体" w:hAnsi="宋体"/>
          <w:bCs/>
          <w:snapToGrid w:val="0"/>
          <w:sz w:val="28"/>
          <w:szCs w:val="28"/>
          <w:highlight w:val="none"/>
          <w:lang w:val="zh-CN"/>
        </w:rPr>
        <w:t>获得成交资格</w:t>
      </w:r>
      <w:r>
        <w:rPr>
          <w:rFonts w:ascii="宋体" w:hAnsi="宋体"/>
          <w:bCs/>
          <w:snapToGrid w:val="0"/>
          <w:sz w:val="28"/>
          <w:szCs w:val="28"/>
          <w:highlight w:val="none"/>
          <w:lang w:val="zh-CN"/>
        </w:rPr>
        <w:t>的</w:t>
      </w:r>
      <w:r>
        <w:rPr>
          <w:rFonts w:hint="eastAsia" w:ascii="宋体" w:hAnsi="宋体"/>
          <w:bCs/>
          <w:snapToGrid w:val="0"/>
          <w:sz w:val="28"/>
          <w:szCs w:val="28"/>
          <w:highlight w:val="none"/>
          <w:lang w:val="zh-CN"/>
        </w:rPr>
        <w:t>报价</w:t>
      </w:r>
      <w:r>
        <w:rPr>
          <w:rFonts w:ascii="宋体" w:hAnsi="宋体"/>
          <w:bCs/>
          <w:snapToGrid w:val="0"/>
          <w:sz w:val="28"/>
          <w:szCs w:val="28"/>
          <w:highlight w:val="none"/>
          <w:lang w:val="zh-CN"/>
        </w:rPr>
        <w:t>供应商</w:t>
      </w:r>
      <w:r>
        <w:rPr>
          <w:rFonts w:hint="eastAsia" w:ascii="宋体" w:hAnsi="宋体"/>
          <w:bCs/>
          <w:snapToGrid w:val="0"/>
          <w:sz w:val="28"/>
          <w:szCs w:val="28"/>
          <w:highlight w:val="none"/>
        </w:rPr>
        <w:t>。</w:t>
      </w:r>
    </w:p>
    <w:p w14:paraId="1FCAA5B6">
      <w:pPr>
        <w:adjustRightInd w:val="0"/>
        <w:snapToGrid w:val="0"/>
        <w:spacing w:line="560" w:lineRule="exact"/>
        <w:ind w:firstLine="560" w:firstLineChars="200"/>
        <w:rPr>
          <w:rFonts w:ascii="宋体" w:hAnsi="宋体"/>
          <w:bCs/>
          <w:snapToGrid w:val="0"/>
          <w:sz w:val="28"/>
          <w:szCs w:val="28"/>
          <w:highlight w:val="none"/>
        </w:rPr>
      </w:pPr>
      <w:r>
        <w:rPr>
          <w:rFonts w:ascii="宋体" w:hAnsi="宋体"/>
          <w:bCs/>
          <w:snapToGrid w:val="0"/>
          <w:sz w:val="28"/>
          <w:szCs w:val="28"/>
          <w:highlight w:val="none"/>
        </w:rPr>
        <w:t>2.6“成交供应商”</w:t>
      </w:r>
      <w:r>
        <w:rPr>
          <w:rFonts w:hint="eastAsia" w:ascii="宋体" w:hAnsi="宋体"/>
          <w:bCs/>
          <w:snapToGrid w:val="0"/>
          <w:sz w:val="28"/>
          <w:szCs w:val="28"/>
          <w:highlight w:val="none"/>
        </w:rPr>
        <w:t>是</w:t>
      </w:r>
      <w:r>
        <w:rPr>
          <w:rFonts w:ascii="宋体" w:hAnsi="宋体"/>
          <w:bCs/>
          <w:snapToGrid w:val="0"/>
          <w:sz w:val="28"/>
          <w:szCs w:val="28"/>
          <w:highlight w:val="none"/>
        </w:rPr>
        <w:t>指</w:t>
      </w:r>
      <w:r>
        <w:rPr>
          <w:rFonts w:ascii="宋体" w:hAnsi="宋体"/>
          <w:bCs/>
          <w:snapToGrid w:val="0"/>
          <w:sz w:val="28"/>
          <w:szCs w:val="28"/>
          <w:highlight w:val="none"/>
          <w:lang w:val="zh-CN"/>
        </w:rPr>
        <w:t>经过</w:t>
      </w:r>
      <w:r>
        <w:rPr>
          <w:rFonts w:hint="eastAsia" w:ascii="宋体" w:hAnsi="宋体"/>
          <w:bCs/>
          <w:snapToGrid w:val="0"/>
          <w:sz w:val="28"/>
          <w:szCs w:val="28"/>
          <w:highlight w:val="none"/>
          <w:lang w:val="zh-CN"/>
        </w:rPr>
        <w:t>竞争性谈判</w:t>
      </w:r>
      <w:r>
        <w:rPr>
          <w:rFonts w:ascii="宋体" w:hAnsi="宋体"/>
          <w:bCs/>
          <w:snapToGrid w:val="0"/>
          <w:sz w:val="28"/>
          <w:szCs w:val="28"/>
          <w:highlight w:val="none"/>
          <w:lang w:val="zh-CN"/>
        </w:rPr>
        <w:t>，</w:t>
      </w:r>
      <w:bookmarkStart w:id="58" w:name="_Hlk112351339"/>
      <w:bookmarkStart w:id="59" w:name="_Hlk112259183"/>
      <w:r>
        <w:rPr>
          <w:rFonts w:hint="eastAsia" w:ascii="宋体" w:hAnsi="宋体"/>
          <w:bCs/>
          <w:snapToGrid w:val="0"/>
          <w:sz w:val="28"/>
          <w:szCs w:val="28"/>
          <w:highlight w:val="none"/>
          <w:lang w:val="zh-CN"/>
        </w:rPr>
        <w:t>获得合同签订资格</w:t>
      </w:r>
      <w:bookmarkEnd w:id="58"/>
      <w:r>
        <w:rPr>
          <w:rFonts w:ascii="宋体" w:hAnsi="宋体"/>
          <w:bCs/>
          <w:snapToGrid w:val="0"/>
          <w:sz w:val="28"/>
          <w:szCs w:val="28"/>
          <w:highlight w:val="none"/>
          <w:lang w:val="zh-CN"/>
        </w:rPr>
        <w:t>的</w:t>
      </w:r>
      <w:r>
        <w:rPr>
          <w:rFonts w:hint="eastAsia" w:ascii="宋体" w:hAnsi="宋体"/>
          <w:bCs/>
          <w:snapToGrid w:val="0"/>
          <w:sz w:val="28"/>
          <w:szCs w:val="28"/>
          <w:highlight w:val="none"/>
          <w:lang w:val="zh-CN"/>
        </w:rPr>
        <w:t>报价</w:t>
      </w:r>
      <w:r>
        <w:rPr>
          <w:rFonts w:ascii="宋体" w:hAnsi="宋体"/>
          <w:bCs/>
          <w:snapToGrid w:val="0"/>
          <w:sz w:val="28"/>
          <w:szCs w:val="28"/>
          <w:highlight w:val="none"/>
          <w:lang w:val="zh-CN"/>
        </w:rPr>
        <w:t>供应商</w:t>
      </w:r>
      <w:bookmarkEnd w:id="59"/>
      <w:r>
        <w:rPr>
          <w:rFonts w:hint="eastAsia" w:ascii="宋体" w:hAnsi="宋体"/>
          <w:bCs/>
          <w:snapToGrid w:val="0"/>
          <w:sz w:val="28"/>
          <w:szCs w:val="28"/>
          <w:highlight w:val="none"/>
        </w:rPr>
        <w:t>。</w:t>
      </w:r>
    </w:p>
    <w:p w14:paraId="0EFC3102">
      <w:pPr>
        <w:adjustRightInd w:val="0"/>
        <w:snapToGrid w:val="0"/>
        <w:spacing w:line="560" w:lineRule="exact"/>
        <w:ind w:firstLine="560" w:firstLineChars="200"/>
        <w:rPr>
          <w:rFonts w:ascii="宋体" w:hAnsi="宋体"/>
          <w:bCs/>
          <w:snapToGrid w:val="0"/>
          <w:sz w:val="28"/>
          <w:szCs w:val="28"/>
          <w:highlight w:val="none"/>
        </w:rPr>
      </w:pPr>
      <w:r>
        <w:rPr>
          <w:rFonts w:ascii="宋体" w:hAnsi="宋体"/>
          <w:bCs/>
          <w:snapToGrid w:val="0"/>
          <w:sz w:val="28"/>
          <w:szCs w:val="28"/>
          <w:highlight w:val="none"/>
        </w:rPr>
        <w:t>2.7“物资”</w:t>
      </w:r>
      <w:r>
        <w:rPr>
          <w:rFonts w:hint="eastAsia" w:ascii="宋体" w:hAnsi="宋体"/>
          <w:bCs/>
          <w:snapToGrid w:val="0"/>
          <w:sz w:val="28"/>
          <w:szCs w:val="28"/>
          <w:highlight w:val="none"/>
        </w:rPr>
        <w:t>是</w:t>
      </w:r>
      <w:r>
        <w:rPr>
          <w:rFonts w:ascii="宋体" w:hAnsi="宋体"/>
          <w:bCs/>
          <w:snapToGrid w:val="0"/>
          <w:sz w:val="28"/>
          <w:szCs w:val="28"/>
          <w:highlight w:val="none"/>
        </w:rPr>
        <w:t>指成交供应商按谈判文件规定，提供的各种形态和种类的物品，包括设备、产品、备品备件、工具、手册等</w:t>
      </w:r>
      <w:r>
        <w:rPr>
          <w:rFonts w:hint="eastAsia" w:ascii="宋体" w:hAnsi="宋体"/>
          <w:bCs/>
          <w:snapToGrid w:val="0"/>
          <w:sz w:val="28"/>
          <w:szCs w:val="28"/>
          <w:highlight w:val="none"/>
        </w:rPr>
        <w:t>。</w:t>
      </w:r>
    </w:p>
    <w:p w14:paraId="43BFB378">
      <w:pPr>
        <w:adjustRightInd w:val="0"/>
        <w:snapToGrid w:val="0"/>
        <w:spacing w:line="560" w:lineRule="exact"/>
        <w:ind w:firstLine="560" w:firstLineChars="200"/>
        <w:rPr>
          <w:rFonts w:ascii="宋体" w:hAnsi="宋体"/>
          <w:bCs/>
          <w:snapToGrid w:val="0"/>
          <w:sz w:val="28"/>
          <w:szCs w:val="28"/>
          <w:highlight w:val="none"/>
        </w:rPr>
      </w:pPr>
      <w:r>
        <w:rPr>
          <w:rFonts w:ascii="宋体" w:hAnsi="宋体"/>
          <w:bCs/>
          <w:snapToGrid w:val="0"/>
          <w:sz w:val="28"/>
          <w:szCs w:val="28"/>
          <w:highlight w:val="none"/>
        </w:rPr>
        <w:t>2.8“服务”</w:t>
      </w:r>
      <w:r>
        <w:rPr>
          <w:rFonts w:hint="eastAsia" w:ascii="宋体" w:hAnsi="宋体"/>
          <w:bCs/>
          <w:snapToGrid w:val="0"/>
          <w:sz w:val="28"/>
          <w:szCs w:val="28"/>
          <w:highlight w:val="none"/>
        </w:rPr>
        <w:t>是</w:t>
      </w:r>
      <w:r>
        <w:rPr>
          <w:rFonts w:ascii="宋体" w:hAnsi="宋体"/>
          <w:bCs/>
          <w:snapToGrid w:val="0"/>
          <w:sz w:val="28"/>
          <w:szCs w:val="28"/>
          <w:highlight w:val="none"/>
        </w:rPr>
        <w:t>指成交供应商按谈判文件规定，</w:t>
      </w:r>
      <w:r>
        <w:rPr>
          <w:rFonts w:hint="eastAsia" w:ascii="宋体" w:hAnsi="宋体"/>
          <w:bCs/>
          <w:snapToGrid w:val="0"/>
          <w:sz w:val="28"/>
          <w:szCs w:val="28"/>
          <w:highlight w:val="none"/>
        </w:rPr>
        <w:t>应当</w:t>
      </w:r>
      <w:r>
        <w:rPr>
          <w:rFonts w:ascii="宋体" w:hAnsi="宋体"/>
          <w:bCs/>
          <w:snapToGrid w:val="0"/>
          <w:sz w:val="28"/>
          <w:szCs w:val="28"/>
          <w:highlight w:val="none"/>
        </w:rPr>
        <w:t>承担的运输、安装、调试、技术协助、培训、维修</w:t>
      </w:r>
      <w:r>
        <w:rPr>
          <w:rFonts w:hint="eastAsia" w:ascii="宋体" w:hAnsi="宋体"/>
          <w:bCs/>
          <w:snapToGrid w:val="0"/>
          <w:sz w:val="28"/>
          <w:szCs w:val="28"/>
          <w:highlight w:val="none"/>
        </w:rPr>
        <w:t>及</w:t>
      </w:r>
      <w:r>
        <w:rPr>
          <w:rFonts w:ascii="宋体" w:hAnsi="宋体"/>
          <w:bCs/>
          <w:snapToGrid w:val="0"/>
          <w:sz w:val="28"/>
          <w:szCs w:val="28"/>
          <w:highlight w:val="none"/>
        </w:rPr>
        <w:t>配件供应等义务。</w:t>
      </w:r>
    </w:p>
    <w:p w14:paraId="4C3E9AE2">
      <w:pPr>
        <w:pStyle w:val="6"/>
        <w:keepNext w:val="0"/>
        <w:keepLines w:val="0"/>
        <w:adjustRightInd w:val="0"/>
        <w:snapToGrid w:val="0"/>
        <w:spacing w:before="0" w:after="0" w:line="560" w:lineRule="exact"/>
        <w:ind w:firstLine="560" w:firstLineChars="200"/>
        <w:rPr>
          <w:rFonts w:ascii="黑体" w:hAnsi="黑体"/>
          <w:b w:val="0"/>
          <w:highlight w:val="none"/>
        </w:rPr>
      </w:pPr>
      <w:bookmarkStart w:id="60" w:name="_Toc29116"/>
      <w:bookmarkStart w:id="61" w:name="_Toc11437"/>
      <w:bookmarkStart w:id="62" w:name="_Toc20366"/>
      <w:bookmarkStart w:id="63" w:name="_Toc112768382"/>
      <w:bookmarkStart w:id="64" w:name="_Toc8203"/>
      <w:bookmarkStart w:id="65" w:name="_Toc6801"/>
      <w:r>
        <w:rPr>
          <w:rFonts w:ascii="黑体" w:hAnsi="黑体"/>
          <w:b w:val="0"/>
          <w:highlight w:val="none"/>
        </w:rPr>
        <w:t>3.合格的</w:t>
      </w:r>
      <w:r>
        <w:rPr>
          <w:rFonts w:hint="eastAsia" w:ascii="黑体" w:hAnsi="黑体"/>
          <w:b w:val="0"/>
          <w:highlight w:val="none"/>
        </w:rPr>
        <w:t>报价</w:t>
      </w:r>
      <w:r>
        <w:rPr>
          <w:rFonts w:ascii="黑体" w:hAnsi="黑体"/>
          <w:b w:val="0"/>
          <w:highlight w:val="none"/>
        </w:rPr>
        <w:t>供应商</w:t>
      </w:r>
      <w:bookmarkEnd w:id="60"/>
      <w:bookmarkEnd w:id="61"/>
      <w:bookmarkEnd w:id="62"/>
      <w:bookmarkEnd w:id="63"/>
      <w:bookmarkEnd w:id="64"/>
      <w:bookmarkEnd w:id="65"/>
    </w:p>
    <w:p w14:paraId="4229FCC6">
      <w:pPr>
        <w:tabs>
          <w:tab w:val="left" w:pos="574"/>
        </w:tabs>
        <w:adjustRightInd w:val="0"/>
        <w:snapToGrid w:val="0"/>
        <w:spacing w:line="560" w:lineRule="exact"/>
        <w:ind w:firstLine="560" w:firstLineChars="200"/>
        <w:rPr>
          <w:rFonts w:ascii="宋体" w:hAnsi="宋体"/>
          <w:bCs/>
          <w:snapToGrid w:val="0"/>
          <w:sz w:val="28"/>
          <w:szCs w:val="28"/>
          <w:highlight w:val="none"/>
        </w:rPr>
      </w:pPr>
      <w:r>
        <w:rPr>
          <w:rFonts w:ascii="宋体" w:hAnsi="宋体"/>
          <w:bCs/>
          <w:snapToGrid w:val="0"/>
          <w:sz w:val="28"/>
          <w:szCs w:val="28"/>
          <w:highlight w:val="none"/>
        </w:rPr>
        <w:t>3.1能够遵守国家和军队的有关法律、法规和本次</w:t>
      </w:r>
      <w:r>
        <w:rPr>
          <w:rFonts w:hint="eastAsia" w:ascii="宋体" w:hAnsi="宋体"/>
          <w:bCs/>
          <w:snapToGrid w:val="0"/>
          <w:sz w:val="28"/>
          <w:szCs w:val="28"/>
          <w:highlight w:val="none"/>
        </w:rPr>
        <w:t>竞争性谈判</w:t>
      </w:r>
      <w:r>
        <w:rPr>
          <w:rFonts w:ascii="宋体" w:hAnsi="宋体"/>
          <w:bCs/>
          <w:snapToGrid w:val="0"/>
          <w:sz w:val="28"/>
          <w:szCs w:val="28"/>
          <w:highlight w:val="none"/>
        </w:rPr>
        <w:t>的有关规定</w:t>
      </w:r>
      <w:r>
        <w:rPr>
          <w:rFonts w:hint="eastAsia" w:ascii="宋体" w:hAnsi="宋体"/>
          <w:bCs/>
          <w:snapToGrid w:val="0"/>
          <w:sz w:val="28"/>
          <w:szCs w:val="28"/>
          <w:highlight w:val="none"/>
        </w:rPr>
        <w:t>。</w:t>
      </w:r>
    </w:p>
    <w:p w14:paraId="5EA1EB05">
      <w:pPr>
        <w:tabs>
          <w:tab w:val="left" w:pos="574"/>
        </w:tabs>
        <w:adjustRightInd w:val="0"/>
        <w:snapToGrid w:val="0"/>
        <w:spacing w:line="560" w:lineRule="exact"/>
        <w:ind w:firstLine="560" w:firstLineChars="200"/>
        <w:rPr>
          <w:rFonts w:ascii="宋体" w:hAnsi="宋体"/>
          <w:bCs/>
          <w:snapToGrid w:val="0"/>
          <w:sz w:val="28"/>
          <w:szCs w:val="28"/>
          <w:highlight w:val="none"/>
        </w:rPr>
      </w:pPr>
      <w:r>
        <w:rPr>
          <w:rFonts w:ascii="宋体" w:hAnsi="宋体"/>
          <w:bCs/>
          <w:snapToGrid w:val="0"/>
          <w:sz w:val="28"/>
          <w:szCs w:val="28"/>
          <w:highlight w:val="none"/>
        </w:rPr>
        <w:t>3.2符合</w:t>
      </w:r>
      <w:r>
        <w:rPr>
          <w:rFonts w:hint="eastAsia" w:ascii="宋体" w:hAnsi="宋体"/>
          <w:bCs/>
          <w:snapToGrid w:val="0"/>
          <w:sz w:val="28"/>
          <w:szCs w:val="28"/>
          <w:highlight w:val="none"/>
        </w:rPr>
        <w:t>谈判文件的专用文件</w:t>
      </w:r>
      <w:r>
        <w:rPr>
          <w:rFonts w:hint="eastAsia" w:asciiTheme="minorEastAsia" w:hAnsiTheme="minorEastAsia" w:eastAsiaTheme="minorEastAsia"/>
          <w:bCs/>
          <w:sz w:val="28"/>
          <w:szCs w:val="28"/>
          <w:highlight w:val="none"/>
        </w:rPr>
        <w:t>【报价供应商须知前附表】</w:t>
      </w:r>
      <w:r>
        <w:rPr>
          <w:rFonts w:ascii="宋体" w:hAnsi="宋体"/>
          <w:bCs/>
          <w:snapToGrid w:val="0"/>
          <w:sz w:val="28"/>
          <w:szCs w:val="28"/>
          <w:highlight w:val="none"/>
        </w:rPr>
        <w:t>所述的</w:t>
      </w:r>
      <w:r>
        <w:rPr>
          <w:rFonts w:hint="eastAsia" w:ascii="宋体" w:hAnsi="宋体"/>
          <w:bCs/>
          <w:snapToGrid w:val="0"/>
          <w:sz w:val="28"/>
          <w:szCs w:val="28"/>
          <w:highlight w:val="none"/>
        </w:rPr>
        <w:t>报价</w:t>
      </w:r>
      <w:r>
        <w:rPr>
          <w:rFonts w:ascii="宋体" w:hAnsi="宋体"/>
          <w:bCs/>
          <w:snapToGrid w:val="0"/>
          <w:sz w:val="28"/>
          <w:szCs w:val="28"/>
          <w:highlight w:val="none"/>
        </w:rPr>
        <w:t>供应商资格条件</w:t>
      </w:r>
      <w:r>
        <w:rPr>
          <w:rFonts w:hint="eastAsia" w:ascii="宋体" w:hAnsi="宋体"/>
          <w:bCs/>
          <w:snapToGrid w:val="0"/>
          <w:sz w:val="28"/>
          <w:szCs w:val="28"/>
          <w:highlight w:val="none"/>
        </w:rPr>
        <w:t>。</w:t>
      </w:r>
    </w:p>
    <w:p w14:paraId="649E3D18">
      <w:pPr>
        <w:tabs>
          <w:tab w:val="left" w:pos="574"/>
        </w:tabs>
        <w:adjustRightInd w:val="0"/>
        <w:snapToGrid w:val="0"/>
        <w:spacing w:line="560" w:lineRule="exact"/>
        <w:ind w:firstLine="560" w:firstLineChars="200"/>
        <w:rPr>
          <w:rFonts w:ascii="宋体" w:hAnsi="宋体"/>
          <w:bCs/>
          <w:snapToGrid w:val="0"/>
          <w:sz w:val="28"/>
          <w:szCs w:val="28"/>
          <w:highlight w:val="none"/>
        </w:rPr>
      </w:pPr>
      <w:r>
        <w:rPr>
          <w:rFonts w:ascii="宋体" w:hAnsi="宋体"/>
          <w:bCs/>
          <w:snapToGrid w:val="0"/>
          <w:sz w:val="28"/>
          <w:szCs w:val="28"/>
          <w:highlight w:val="none"/>
        </w:rPr>
        <w:t>3.3能够承担</w:t>
      </w:r>
      <w:r>
        <w:rPr>
          <w:rFonts w:hint="eastAsia" w:ascii="宋体" w:hAnsi="宋体"/>
          <w:bCs/>
          <w:snapToGrid w:val="0"/>
          <w:sz w:val="28"/>
          <w:szCs w:val="28"/>
          <w:highlight w:val="none"/>
        </w:rPr>
        <w:t>报价文件</w:t>
      </w:r>
      <w:r>
        <w:rPr>
          <w:rFonts w:ascii="宋体" w:hAnsi="宋体"/>
          <w:bCs/>
          <w:snapToGrid w:val="0"/>
          <w:sz w:val="28"/>
          <w:szCs w:val="28"/>
          <w:highlight w:val="none"/>
        </w:rPr>
        <w:t>及</w:t>
      </w:r>
      <w:r>
        <w:rPr>
          <w:rFonts w:hint="eastAsia" w:ascii="宋体" w:hAnsi="宋体"/>
          <w:bCs/>
          <w:snapToGrid w:val="0"/>
          <w:sz w:val="28"/>
          <w:szCs w:val="28"/>
          <w:highlight w:val="none"/>
        </w:rPr>
        <w:t>采购合同</w:t>
      </w:r>
      <w:r>
        <w:rPr>
          <w:rFonts w:ascii="宋体" w:hAnsi="宋体"/>
          <w:bCs/>
          <w:snapToGrid w:val="0"/>
          <w:sz w:val="28"/>
          <w:szCs w:val="28"/>
          <w:highlight w:val="none"/>
        </w:rPr>
        <w:t>中</w:t>
      </w:r>
      <w:r>
        <w:rPr>
          <w:rFonts w:hint="eastAsia" w:ascii="宋体" w:hAnsi="宋体"/>
          <w:bCs/>
          <w:snapToGrid w:val="0"/>
          <w:sz w:val="28"/>
          <w:szCs w:val="28"/>
          <w:highlight w:val="none"/>
        </w:rPr>
        <w:t>明确的</w:t>
      </w:r>
      <w:r>
        <w:rPr>
          <w:rFonts w:ascii="宋体" w:hAnsi="宋体"/>
          <w:bCs/>
          <w:snapToGrid w:val="0"/>
          <w:sz w:val="28"/>
          <w:szCs w:val="28"/>
          <w:highlight w:val="none"/>
        </w:rPr>
        <w:t>全部责任与义务。</w:t>
      </w:r>
    </w:p>
    <w:p w14:paraId="6382D38E">
      <w:pPr>
        <w:pStyle w:val="6"/>
        <w:keepNext w:val="0"/>
        <w:keepLines w:val="0"/>
        <w:adjustRightInd w:val="0"/>
        <w:snapToGrid w:val="0"/>
        <w:spacing w:before="0" w:after="0" w:line="560" w:lineRule="exact"/>
        <w:ind w:firstLine="560" w:firstLineChars="200"/>
        <w:rPr>
          <w:rFonts w:ascii="黑体" w:hAnsi="黑体"/>
          <w:b w:val="0"/>
          <w:highlight w:val="none"/>
        </w:rPr>
      </w:pPr>
      <w:bookmarkStart w:id="66" w:name="_Toc6977"/>
      <w:bookmarkStart w:id="67" w:name="_Toc17620"/>
      <w:bookmarkStart w:id="68" w:name="_Toc6947"/>
      <w:bookmarkStart w:id="69" w:name="_Toc112768383"/>
      <w:bookmarkStart w:id="70" w:name="_Toc12583"/>
      <w:bookmarkStart w:id="71" w:name="_Toc18986"/>
      <w:r>
        <w:rPr>
          <w:rFonts w:ascii="黑体" w:hAnsi="黑体"/>
          <w:b w:val="0"/>
          <w:highlight w:val="none"/>
        </w:rPr>
        <w:t>4.</w:t>
      </w:r>
      <w:r>
        <w:rPr>
          <w:rFonts w:hint="eastAsia" w:ascii="黑体" w:hAnsi="黑体"/>
          <w:b w:val="0"/>
          <w:highlight w:val="none"/>
        </w:rPr>
        <w:t>合格的物资及其相关服务</w:t>
      </w:r>
      <w:bookmarkEnd w:id="66"/>
      <w:bookmarkEnd w:id="67"/>
      <w:bookmarkEnd w:id="68"/>
      <w:bookmarkEnd w:id="69"/>
      <w:bookmarkEnd w:id="70"/>
      <w:bookmarkEnd w:id="71"/>
    </w:p>
    <w:p w14:paraId="7EAEF5A8">
      <w:pPr>
        <w:adjustRightInd w:val="0"/>
        <w:snapToGrid w:val="0"/>
        <w:spacing w:line="560" w:lineRule="exact"/>
        <w:ind w:firstLine="560" w:firstLineChars="200"/>
        <w:rPr>
          <w:rFonts w:ascii="宋体" w:hAnsi="宋体"/>
          <w:bCs/>
          <w:snapToGrid w:val="0"/>
          <w:sz w:val="28"/>
          <w:szCs w:val="28"/>
          <w:highlight w:val="none"/>
        </w:rPr>
      </w:pPr>
      <w:r>
        <w:rPr>
          <w:rFonts w:ascii="宋体" w:hAnsi="宋体"/>
          <w:bCs/>
          <w:snapToGrid w:val="0"/>
          <w:sz w:val="28"/>
          <w:szCs w:val="28"/>
          <w:highlight w:val="none"/>
        </w:rPr>
        <w:t>4.1</w:t>
      </w:r>
      <w:r>
        <w:rPr>
          <w:rFonts w:hint="eastAsia" w:ascii="宋体" w:hAnsi="宋体"/>
          <w:bCs/>
          <w:snapToGrid w:val="0"/>
          <w:sz w:val="28"/>
          <w:szCs w:val="28"/>
          <w:highlight w:val="none"/>
        </w:rPr>
        <w:t>报价</w:t>
      </w:r>
      <w:r>
        <w:rPr>
          <w:rFonts w:ascii="宋体" w:hAnsi="宋体"/>
          <w:bCs/>
          <w:snapToGrid w:val="0"/>
          <w:sz w:val="28"/>
          <w:szCs w:val="28"/>
          <w:highlight w:val="none"/>
        </w:rPr>
        <w:t>供应商对</w:t>
      </w:r>
      <w:r>
        <w:rPr>
          <w:rFonts w:hint="eastAsia" w:ascii="宋体" w:hAnsi="宋体"/>
          <w:bCs/>
          <w:snapToGrid w:val="0"/>
          <w:sz w:val="28"/>
          <w:szCs w:val="28"/>
          <w:highlight w:val="none"/>
        </w:rPr>
        <w:t>其</w:t>
      </w:r>
      <w:r>
        <w:rPr>
          <w:rFonts w:ascii="宋体" w:hAnsi="宋体"/>
          <w:bCs/>
          <w:snapToGrid w:val="0"/>
          <w:sz w:val="28"/>
          <w:szCs w:val="28"/>
          <w:highlight w:val="none"/>
        </w:rPr>
        <w:t>提供的物资应当享有合法的所有权，没有侵犯任何第三方的知识产权、技术秘密等权利，而且不存在任何抵押、留置、查封等产权瑕疵</w:t>
      </w:r>
      <w:r>
        <w:rPr>
          <w:rFonts w:hint="eastAsia" w:ascii="宋体" w:hAnsi="宋体"/>
          <w:bCs/>
          <w:snapToGrid w:val="0"/>
          <w:sz w:val="28"/>
          <w:szCs w:val="28"/>
          <w:highlight w:val="none"/>
        </w:rPr>
        <w:t>。</w:t>
      </w:r>
    </w:p>
    <w:p w14:paraId="34A4C225">
      <w:pPr>
        <w:adjustRightInd w:val="0"/>
        <w:snapToGrid w:val="0"/>
        <w:spacing w:line="560" w:lineRule="exact"/>
        <w:ind w:firstLine="560" w:firstLineChars="200"/>
        <w:rPr>
          <w:rFonts w:ascii="宋体" w:hAnsi="宋体"/>
          <w:bCs/>
          <w:snapToGrid w:val="0"/>
          <w:sz w:val="28"/>
          <w:szCs w:val="28"/>
          <w:highlight w:val="none"/>
        </w:rPr>
      </w:pPr>
      <w:r>
        <w:rPr>
          <w:rFonts w:ascii="宋体" w:hAnsi="宋体"/>
          <w:bCs/>
          <w:snapToGrid w:val="0"/>
          <w:sz w:val="28"/>
          <w:szCs w:val="28"/>
          <w:highlight w:val="none"/>
        </w:rPr>
        <w:t>4.2</w:t>
      </w:r>
      <w:r>
        <w:rPr>
          <w:rFonts w:hint="eastAsia" w:ascii="宋体" w:hAnsi="宋体"/>
          <w:bCs/>
          <w:snapToGrid w:val="0"/>
          <w:sz w:val="28"/>
          <w:szCs w:val="28"/>
          <w:highlight w:val="none"/>
        </w:rPr>
        <w:t>报价</w:t>
      </w:r>
      <w:r>
        <w:rPr>
          <w:rFonts w:ascii="宋体" w:hAnsi="宋体"/>
          <w:bCs/>
          <w:snapToGrid w:val="0"/>
          <w:sz w:val="28"/>
          <w:szCs w:val="28"/>
          <w:highlight w:val="none"/>
        </w:rPr>
        <w:t>供应商提供的物资</w:t>
      </w:r>
      <w:r>
        <w:rPr>
          <w:rFonts w:hint="eastAsia" w:ascii="宋体" w:hAnsi="宋体"/>
          <w:bCs/>
          <w:snapToGrid w:val="0"/>
          <w:sz w:val="28"/>
          <w:szCs w:val="28"/>
          <w:highlight w:val="none"/>
        </w:rPr>
        <w:t>应当</w:t>
      </w:r>
      <w:r>
        <w:rPr>
          <w:rFonts w:ascii="宋体" w:hAnsi="宋体"/>
          <w:bCs/>
          <w:snapToGrid w:val="0"/>
          <w:sz w:val="28"/>
          <w:szCs w:val="28"/>
          <w:highlight w:val="none"/>
        </w:rPr>
        <w:t>是全新</w:t>
      </w:r>
      <w:r>
        <w:rPr>
          <w:rFonts w:hint="eastAsia" w:ascii="宋体" w:hAnsi="宋体"/>
          <w:bCs/>
          <w:snapToGrid w:val="0"/>
          <w:sz w:val="28"/>
          <w:szCs w:val="28"/>
          <w:highlight w:val="none"/>
        </w:rPr>
        <w:t>且</w:t>
      </w:r>
      <w:r>
        <w:rPr>
          <w:rFonts w:ascii="宋体" w:hAnsi="宋体"/>
          <w:bCs/>
          <w:snapToGrid w:val="0"/>
          <w:sz w:val="28"/>
          <w:szCs w:val="28"/>
          <w:highlight w:val="none"/>
        </w:rPr>
        <w:t>未使用过的，物资和相关服务应当符合谈判文件要求。</w:t>
      </w:r>
    </w:p>
    <w:p w14:paraId="309E3FAF">
      <w:pPr>
        <w:pStyle w:val="6"/>
        <w:keepNext w:val="0"/>
        <w:keepLines w:val="0"/>
        <w:adjustRightInd w:val="0"/>
        <w:snapToGrid w:val="0"/>
        <w:spacing w:before="0" w:after="0" w:line="560" w:lineRule="exact"/>
        <w:ind w:firstLine="560" w:firstLineChars="200"/>
        <w:rPr>
          <w:rFonts w:ascii="黑体" w:hAnsi="黑体"/>
          <w:b w:val="0"/>
          <w:highlight w:val="none"/>
        </w:rPr>
      </w:pPr>
      <w:bookmarkStart w:id="72" w:name="_Toc32653"/>
      <w:bookmarkStart w:id="73" w:name="_Toc9133"/>
      <w:bookmarkStart w:id="74" w:name="_Toc18900"/>
      <w:bookmarkStart w:id="75" w:name="_Toc112768384"/>
      <w:bookmarkStart w:id="76" w:name="_Toc17326"/>
      <w:bookmarkStart w:id="77" w:name="_Toc26101"/>
      <w:r>
        <w:rPr>
          <w:rFonts w:ascii="黑体" w:hAnsi="黑体"/>
          <w:b w:val="0"/>
          <w:highlight w:val="none"/>
        </w:rPr>
        <w:t>5.</w:t>
      </w:r>
      <w:r>
        <w:rPr>
          <w:rFonts w:hint="eastAsia" w:ascii="黑体" w:hAnsi="黑体"/>
          <w:b w:val="0"/>
          <w:highlight w:val="none"/>
        </w:rPr>
        <w:t>授权委托</w:t>
      </w:r>
      <w:bookmarkEnd w:id="72"/>
      <w:bookmarkEnd w:id="73"/>
      <w:bookmarkEnd w:id="74"/>
      <w:bookmarkEnd w:id="75"/>
      <w:bookmarkEnd w:id="76"/>
      <w:bookmarkEnd w:id="77"/>
    </w:p>
    <w:p w14:paraId="21749D40">
      <w:pPr>
        <w:adjustRightInd w:val="0"/>
        <w:snapToGrid w:val="0"/>
        <w:spacing w:line="560" w:lineRule="exact"/>
        <w:ind w:firstLine="560" w:firstLineChars="200"/>
        <w:rPr>
          <w:bCs/>
          <w:snapToGrid w:val="0"/>
          <w:sz w:val="28"/>
          <w:szCs w:val="28"/>
          <w:highlight w:val="none"/>
        </w:rPr>
      </w:pPr>
      <w:r>
        <w:rPr>
          <w:rFonts w:ascii="宋体" w:hAnsi="宋体"/>
          <w:bCs/>
          <w:snapToGrid w:val="0"/>
          <w:sz w:val="28"/>
          <w:szCs w:val="28"/>
          <w:highlight w:val="none"/>
        </w:rPr>
        <w:t>5.1</w:t>
      </w:r>
      <w:r>
        <w:rPr>
          <w:rFonts w:hint="eastAsia"/>
          <w:bCs/>
          <w:snapToGrid w:val="0"/>
          <w:sz w:val="28"/>
          <w:szCs w:val="28"/>
          <w:highlight w:val="none"/>
        </w:rPr>
        <w:t>如报价供应商代表不是法定代表人，</w:t>
      </w:r>
      <w:r>
        <w:rPr>
          <w:rFonts w:hint="eastAsia" w:ascii="宋体" w:hAnsi="宋体"/>
          <w:bCs/>
          <w:snapToGrid w:val="0"/>
          <w:sz w:val="28"/>
          <w:szCs w:val="28"/>
          <w:highlight w:val="none"/>
        </w:rPr>
        <w:t>应当</w:t>
      </w:r>
      <w:r>
        <w:rPr>
          <w:rFonts w:hint="eastAsia"/>
          <w:bCs/>
          <w:snapToGrid w:val="0"/>
          <w:sz w:val="28"/>
          <w:szCs w:val="28"/>
          <w:highlight w:val="none"/>
        </w:rPr>
        <w:t>在报价文件中提供《法定代表人授权书》，后附授权代表在</w:t>
      </w:r>
      <w:r>
        <w:rPr>
          <w:rFonts w:hint="eastAsia" w:ascii="宋体" w:hAnsi="宋体"/>
          <w:bCs/>
          <w:snapToGrid w:val="0"/>
          <w:sz w:val="28"/>
          <w:szCs w:val="28"/>
          <w:highlight w:val="none"/>
          <w:lang w:val="zh-CN"/>
        </w:rPr>
        <w:t>报价前4个月内（不含报价当月）连续3个月由</w:t>
      </w:r>
      <w:r>
        <w:rPr>
          <w:rFonts w:hint="eastAsia"/>
          <w:bCs/>
          <w:snapToGrid w:val="0"/>
          <w:sz w:val="28"/>
          <w:szCs w:val="28"/>
          <w:highlight w:val="none"/>
        </w:rPr>
        <w:t>报价供应商缴纳社保证明材料。</w:t>
      </w:r>
      <w:r>
        <w:rPr>
          <w:rFonts w:hint="eastAsia" w:asciiTheme="majorEastAsia" w:hAnsiTheme="majorEastAsia" w:eastAsiaTheme="majorEastAsia"/>
          <w:bCs/>
          <w:snapToGrid w:val="0"/>
          <w:sz w:val="28"/>
          <w:szCs w:val="28"/>
          <w:highlight w:val="none"/>
        </w:rPr>
        <w:t>代缴社保证明材料不予认可。</w:t>
      </w:r>
    </w:p>
    <w:p w14:paraId="4B87750F">
      <w:pPr>
        <w:pStyle w:val="6"/>
        <w:keepNext w:val="0"/>
        <w:keepLines w:val="0"/>
        <w:adjustRightInd w:val="0"/>
        <w:snapToGrid w:val="0"/>
        <w:spacing w:before="0" w:after="0" w:line="560" w:lineRule="exact"/>
        <w:ind w:firstLine="560" w:firstLineChars="200"/>
        <w:rPr>
          <w:rFonts w:ascii="黑体" w:hAnsi="黑体"/>
          <w:b w:val="0"/>
          <w:highlight w:val="none"/>
        </w:rPr>
      </w:pPr>
      <w:bookmarkStart w:id="78" w:name="_Toc5983"/>
      <w:bookmarkStart w:id="79" w:name="_Toc21752"/>
      <w:bookmarkStart w:id="80" w:name="_Toc112768385"/>
      <w:bookmarkStart w:id="81" w:name="_Toc20166"/>
      <w:bookmarkStart w:id="82" w:name="_Toc24739"/>
      <w:bookmarkStart w:id="83" w:name="_Toc3974"/>
      <w:r>
        <w:rPr>
          <w:rFonts w:ascii="黑体" w:hAnsi="黑体"/>
          <w:b w:val="0"/>
          <w:highlight w:val="none"/>
        </w:rPr>
        <w:t>6.</w:t>
      </w:r>
      <w:r>
        <w:rPr>
          <w:rFonts w:hint="eastAsia" w:ascii="黑体" w:hAnsi="黑体"/>
          <w:b w:val="0"/>
          <w:highlight w:val="none"/>
        </w:rPr>
        <w:t>谈判费用</w:t>
      </w:r>
      <w:bookmarkEnd w:id="78"/>
      <w:bookmarkEnd w:id="79"/>
      <w:bookmarkEnd w:id="80"/>
      <w:bookmarkEnd w:id="81"/>
      <w:bookmarkEnd w:id="82"/>
      <w:bookmarkEnd w:id="83"/>
    </w:p>
    <w:p w14:paraId="658B76A2">
      <w:pPr>
        <w:adjustRightInd w:val="0"/>
        <w:snapToGrid w:val="0"/>
        <w:spacing w:line="560" w:lineRule="exact"/>
        <w:ind w:firstLine="560" w:firstLineChars="200"/>
        <w:rPr>
          <w:bCs/>
          <w:snapToGrid w:val="0"/>
          <w:sz w:val="28"/>
          <w:szCs w:val="28"/>
          <w:highlight w:val="none"/>
        </w:rPr>
      </w:pPr>
      <w:r>
        <w:rPr>
          <w:rFonts w:ascii="宋体" w:hAnsi="宋体"/>
          <w:bCs/>
          <w:snapToGrid w:val="0"/>
          <w:sz w:val="28"/>
          <w:szCs w:val="28"/>
          <w:highlight w:val="none"/>
        </w:rPr>
        <w:t>6.1</w:t>
      </w:r>
      <w:r>
        <w:rPr>
          <w:rFonts w:hint="eastAsia"/>
          <w:bCs/>
          <w:snapToGrid w:val="0"/>
          <w:sz w:val="28"/>
          <w:szCs w:val="28"/>
          <w:highlight w:val="none"/>
        </w:rPr>
        <w:t>无论谈判结果如何，报价供应商均应当自行承担准备和参加谈判相关的全部费用。</w:t>
      </w:r>
    </w:p>
    <w:p w14:paraId="18D12ECB">
      <w:pPr>
        <w:pStyle w:val="6"/>
        <w:keepNext w:val="0"/>
        <w:keepLines w:val="0"/>
        <w:adjustRightInd w:val="0"/>
        <w:snapToGrid w:val="0"/>
        <w:spacing w:before="0" w:after="0" w:line="560" w:lineRule="exact"/>
        <w:ind w:firstLine="560" w:firstLineChars="200"/>
        <w:rPr>
          <w:rFonts w:ascii="黑体" w:hAnsi="黑体"/>
          <w:b w:val="0"/>
          <w:highlight w:val="none"/>
        </w:rPr>
      </w:pPr>
      <w:bookmarkStart w:id="84" w:name="_Toc112768386"/>
      <w:bookmarkStart w:id="85" w:name="_Toc22348"/>
      <w:bookmarkStart w:id="86" w:name="_Toc17255"/>
      <w:bookmarkStart w:id="87" w:name="_Toc5991"/>
      <w:bookmarkStart w:id="88" w:name="_Toc27522"/>
      <w:bookmarkStart w:id="89" w:name="_Toc30514"/>
      <w:bookmarkStart w:id="90" w:name="_Toc112317768"/>
      <w:r>
        <w:rPr>
          <w:rFonts w:ascii="黑体" w:hAnsi="黑体"/>
          <w:b w:val="0"/>
          <w:highlight w:val="none"/>
        </w:rPr>
        <w:t>7.</w:t>
      </w:r>
      <w:r>
        <w:rPr>
          <w:rFonts w:hint="eastAsia" w:ascii="黑体" w:hAnsi="黑体"/>
          <w:b w:val="0"/>
          <w:highlight w:val="none"/>
        </w:rPr>
        <w:t>组织现场踏勘或召开标前答疑会</w:t>
      </w:r>
      <w:bookmarkEnd w:id="84"/>
      <w:bookmarkEnd w:id="85"/>
      <w:bookmarkEnd w:id="86"/>
      <w:bookmarkEnd w:id="87"/>
      <w:bookmarkEnd w:id="88"/>
      <w:bookmarkEnd w:id="89"/>
    </w:p>
    <w:p w14:paraId="42F855A2">
      <w:pPr>
        <w:adjustRightInd w:val="0"/>
        <w:snapToGrid w:val="0"/>
        <w:spacing w:line="560" w:lineRule="exact"/>
        <w:ind w:firstLine="560" w:firstLineChars="200"/>
        <w:jc w:val="left"/>
        <w:rPr>
          <w:rFonts w:asciiTheme="minorEastAsia" w:hAnsiTheme="minorEastAsia" w:eastAsiaTheme="minorEastAsia"/>
          <w:bCs/>
          <w:sz w:val="28"/>
          <w:szCs w:val="28"/>
          <w:highlight w:val="none"/>
        </w:rPr>
      </w:pPr>
      <w:r>
        <w:rPr>
          <w:rFonts w:asciiTheme="minorEastAsia" w:hAnsiTheme="minorEastAsia" w:eastAsiaTheme="minorEastAsia"/>
          <w:bCs/>
          <w:sz w:val="28"/>
          <w:szCs w:val="28"/>
          <w:highlight w:val="none"/>
        </w:rPr>
        <w:t>7.1采购机构可以在</w:t>
      </w:r>
      <w:r>
        <w:rPr>
          <w:rFonts w:hint="eastAsia" w:asciiTheme="minorEastAsia" w:hAnsiTheme="minorEastAsia" w:eastAsiaTheme="minorEastAsia"/>
          <w:bCs/>
          <w:sz w:val="28"/>
          <w:szCs w:val="28"/>
          <w:highlight w:val="none"/>
        </w:rPr>
        <w:t>【报价供应商须知前附表】明确的谈判文件申领时间截止后，组织已获取谈判文件的报价供应商现场踏勘或召开标前答疑会。</w:t>
      </w:r>
    </w:p>
    <w:p w14:paraId="7A97EFEF">
      <w:pPr>
        <w:adjustRightInd w:val="0"/>
        <w:snapToGrid w:val="0"/>
        <w:spacing w:line="560" w:lineRule="exact"/>
        <w:ind w:firstLine="560" w:firstLineChars="200"/>
        <w:jc w:val="left"/>
        <w:rPr>
          <w:rFonts w:asciiTheme="minorEastAsia" w:hAnsiTheme="minorEastAsia" w:eastAsiaTheme="minorEastAsia"/>
          <w:bCs/>
          <w:sz w:val="28"/>
          <w:szCs w:val="28"/>
          <w:highlight w:val="none"/>
        </w:rPr>
      </w:pPr>
      <w:r>
        <w:rPr>
          <w:rFonts w:asciiTheme="minorEastAsia" w:hAnsiTheme="minorEastAsia" w:eastAsiaTheme="minorEastAsia"/>
          <w:bCs/>
          <w:sz w:val="28"/>
          <w:szCs w:val="28"/>
          <w:highlight w:val="none"/>
        </w:rPr>
        <w:t>7.2</w:t>
      </w:r>
      <w:r>
        <w:rPr>
          <w:rFonts w:hint="eastAsia" w:asciiTheme="minorEastAsia" w:hAnsiTheme="minorEastAsia" w:eastAsiaTheme="minorEastAsia"/>
          <w:bCs/>
          <w:sz w:val="28"/>
          <w:szCs w:val="28"/>
          <w:highlight w:val="none"/>
        </w:rPr>
        <w:t>已</w:t>
      </w:r>
      <w:r>
        <w:rPr>
          <w:rFonts w:asciiTheme="minorEastAsia" w:hAnsiTheme="minorEastAsia" w:eastAsiaTheme="minorEastAsia"/>
          <w:bCs/>
          <w:sz w:val="28"/>
          <w:szCs w:val="28"/>
          <w:highlight w:val="none"/>
        </w:rPr>
        <w:t>申领谈判文件的供应商按</w:t>
      </w:r>
      <w:r>
        <w:rPr>
          <w:rFonts w:hint="eastAsia" w:asciiTheme="minorEastAsia" w:hAnsiTheme="minorEastAsia" w:eastAsiaTheme="minorEastAsia"/>
          <w:bCs/>
          <w:sz w:val="28"/>
          <w:szCs w:val="28"/>
          <w:highlight w:val="none"/>
        </w:rPr>
        <w:t>【报价供应商须知前附表】明确的要求参加现场踏勘或标前答疑会；如不参加，风险自行承担。</w:t>
      </w:r>
    </w:p>
    <w:p w14:paraId="4C092B83">
      <w:pPr>
        <w:adjustRightInd w:val="0"/>
        <w:snapToGrid w:val="0"/>
        <w:spacing w:line="560" w:lineRule="exact"/>
        <w:ind w:firstLine="560" w:firstLineChars="200"/>
        <w:jc w:val="left"/>
        <w:rPr>
          <w:rFonts w:asciiTheme="minorEastAsia" w:hAnsiTheme="minorEastAsia" w:eastAsiaTheme="minorEastAsia"/>
          <w:bCs/>
          <w:sz w:val="28"/>
          <w:szCs w:val="28"/>
          <w:highlight w:val="none"/>
        </w:rPr>
      </w:pPr>
      <w:r>
        <w:rPr>
          <w:rFonts w:asciiTheme="minorEastAsia" w:hAnsiTheme="minorEastAsia" w:eastAsiaTheme="minorEastAsia"/>
          <w:bCs/>
          <w:sz w:val="28"/>
          <w:szCs w:val="28"/>
          <w:highlight w:val="none"/>
        </w:rPr>
        <w:t>7.3</w:t>
      </w:r>
      <w:r>
        <w:rPr>
          <w:rFonts w:hint="eastAsia" w:asciiTheme="minorEastAsia" w:hAnsiTheme="minorEastAsia" w:eastAsiaTheme="minorEastAsia"/>
          <w:bCs/>
          <w:sz w:val="28"/>
          <w:szCs w:val="28"/>
          <w:highlight w:val="none"/>
        </w:rPr>
        <w:t>报价</w:t>
      </w:r>
      <w:r>
        <w:rPr>
          <w:rFonts w:asciiTheme="minorEastAsia" w:hAnsiTheme="minorEastAsia" w:eastAsiaTheme="minorEastAsia"/>
          <w:bCs/>
          <w:sz w:val="28"/>
          <w:szCs w:val="28"/>
          <w:highlight w:val="none"/>
        </w:rPr>
        <w:t>供应商</w:t>
      </w:r>
      <w:r>
        <w:rPr>
          <w:rFonts w:hint="eastAsia" w:asciiTheme="minorEastAsia" w:hAnsiTheme="minorEastAsia" w:eastAsiaTheme="minorEastAsia"/>
          <w:bCs/>
          <w:sz w:val="28"/>
          <w:szCs w:val="28"/>
          <w:highlight w:val="none"/>
        </w:rPr>
        <w:t>现场踏勘或参加标前答疑会的费用自行承担，现场踏勘期间发生的人身伤害及财产损失自行负责。</w:t>
      </w:r>
    </w:p>
    <w:p w14:paraId="0774ACD5">
      <w:pPr>
        <w:adjustRightInd w:val="0"/>
        <w:snapToGrid w:val="0"/>
        <w:spacing w:line="560" w:lineRule="exact"/>
        <w:ind w:firstLine="560" w:firstLineChars="200"/>
        <w:jc w:val="left"/>
        <w:rPr>
          <w:rFonts w:asciiTheme="minorEastAsia" w:hAnsiTheme="minorEastAsia" w:eastAsiaTheme="minorEastAsia"/>
          <w:bCs/>
          <w:sz w:val="28"/>
          <w:szCs w:val="28"/>
          <w:highlight w:val="none"/>
        </w:rPr>
      </w:pPr>
      <w:r>
        <w:rPr>
          <w:rFonts w:asciiTheme="minorEastAsia" w:hAnsiTheme="minorEastAsia" w:eastAsiaTheme="minorEastAsia"/>
          <w:bCs/>
          <w:sz w:val="28"/>
          <w:szCs w:val="28"/>
          <w:highlight w:val="none"/>
        </w:rPr>
        <w:t>7.4采购机构不对</w:t>
      </w:r>
      <w:r>
        <w:rPr>
          <w:rFonts w:hint="eastAsia" w:asciiTheme="minorEastAsia" w:hAnsiTheme="minorEastAsia" w:eastAsiaTheme="minorEastAsia"/>
          <w:bCs/>
          <w:sz w:val="28"/>
          <w:szCs w:val="28"/>
          <w:highlight w:val="none"/>
        </w:rPr>
        <w:t>谈判文件或最终书面答复之外，报价供应商自行得出的推论、理解和结论</w:t>
      </w:r>
      <w:r>
        <w:rPr>
          <w:rFonts w:asciiTheme="minorEastAsia" w:hAnsiTheme="minorEastAsia" w:eastAsiaTheme="minorEastAsia"/>
          <w:bCs/>
          <w:sz w:val="28"/>
          <w:szCs w:val="28"/>
          <w:highlight w:val="none"/>
        </w:rPr>
        <w:t>负责。</w:t>
      </w:r>
      <w:r>
        <w:rPr>
          <w:rFonts w:hint="eastAsia" w:asciiTheme="minorEastAsia" w:hAnsiTheme="minorEastAsia" w:eastAsiaTheme="minorEastAsia"/>
          <w:bCs/>
          <w:sz w:val="28"/>
          <w:szCs w:val="28"/>
          <w:highlight w:val="none"/>
        </w:rPr>
        <w:t>报价</w:t>
      </w:r>
      <w:r>
        <w:rPr>
          <w:rFonts w:asciiTheme="minorEastAsia" w:hAnsiTheme="minorEastAsia" w:eastAsiaTheme="minorEastAsia"/>
          <w:bCs/>
          <w:sz w:val="28"/>
          <w:szCs w:val="28"/>
          <w:highlight w:val="none"/>
        </w:rPr>
        <w:t>供应商</w:t>
      </w:r>
      <w:r>
        <w:rPr>
          <w:rFonts w:hint="eastAsia"/>
          <w:bCs/>
          <w:sz w:val="28"/>
          <w:szCs w:val="28"/>
          <w:highlight w:val="none"/>
        </w:rPr>
        <w:t>未参加现场踏勘或标前答疑会的，</w:t>
      </w:r>
      <w:r>
        <w:rPr>
          <w:rFonts w:asciiTheme="minorEastAsia" w:hAnsiTheme="minorEastAsia" w:eastAsiaTheme="minorEastAsia"/>
          <w:bCs/>
          <w:sz w:val="28"/>
          <w:szCs w:val="28"/>
          <w:highlight w:val="none"/>
        </w:rPr>
        <w:t>一旦成交，不得以任何借口，提出额外补偿或延长合同期限</w:t>
      </w:r>
      <w:r>
        <w:rPr>
          <w:rFonts w:hint="eastAsia" w:asciiTheme="minorEastAsia" w:hAnsiTheme="minorEastAsia" w:eastAsiaTheme="minorEastAsia"/>
          <w:bCs/>
          <w:sz w:val="28"/>
          <w:szCs w:val="28"/>
          <w:highlight w:val="none"/>
        </w:rPr>
        <w:t>等不合理</w:t>
      </w:r>
      <w:r>
        <w:rPr>
          <w:rFonts w:asciiTheme="minorEastAsia" w:hAnsiTheme="minorEastAsia" w:eastAsiaTheme="minorEastAsia"/>
          <w:bCs/>
          <w:sz w:val="28"/>
          <w:szCs w:val="28"/>
          <w:highlight w:val="none"/>
        </w:rPr>
        <w:t>要求。</w:t>
      </w:r>
    </w:p>
    <w:p w14:paraId="091F96E6">
      <w:pPr>
        <w:pStyle w:val="6"/>
        <w:keepNext w:val="0"/>
        <w:keepLines w:val="0"/>
        <w:adjustRightInd w:val="0"/>
        <w:snapToGrid w:val="0"/>
        <w:spacing w:before="0" w:after="0" w:line="560" w:lineRule="exact"/>
        <w:ind w:firstLine="560" w:firstLineChars="200"/>
        <w:rPr>
          <w:rFonts w:ascii="黑体" w:hAnsi="黑体"/>
          <w:b w:val="0"/>
          <w:highlight w:val="none"/>
        </w:rPr>
      </w:pPr>
      <w:bookmarkStart w:id="91" w:name="_Toc15396"/>
      <w:bookmarkStart w:id="92" w:name="_Toc23752"/>
      <w:bookmarkStart w:id="93" w:name="_Toc12217"/>
      <w:bookmarkStart w:id="94" w:name="_Toc11383"/>
      <w:bookmarkStart w:id="95" w:name="_Toc6659"/>
      <w:bookmarkStart w:id="96" w:name="_Toc112768387"/>
      <w:r>
        <w:rPr>
          <w:rFonts w:ascii="黑体" w:hAnsi="黑体"/>
          <w:b w:val="0"/>
          <w:highlight w:val="none"/>
        </w:rPr>
        <w:t>8.</w:t>
      </w:r>
      <w:r>
        <w:rPr>
          <w:rFonts w:hint="eastAsia" w:ascii="黑体" w:hAnsi="黑体"/>
          <w:b w:val="0"/>
          <w:highlight w:val="none"/>
        </w:rPr>
        <w:t>信息发布及媒体</w:t>
      </w:r>
      <w:bookmarkEnd w:id="91"/>
      <w:bookmarkEnd w:id="92"/>
      <w:bookmarkEnd w:id="93"/>
      <w:bookmarkEnd w:id="94"/>
      <w:bookmarkEnd w:id="95"/>
      <w:bookmarkEnd w:id="96"/>
    </w:p>
    <w:p w14:paraId="6513A7E5">
      <w:pPr>
        <w:adjustRightInd w:val="0"/>
        <w:snapToGrid w:val="0"/>
        <w:spacing w:line="560" w:lineRule="exact"/>
        <w:ind w:firstLine="560" w:firstLineChars="200"/>
        <w:rPr>
          <w:rFonts w:asciiTheme="minorEastAsia" w:hAnsiTheme="minorEastAsia" w:eastAsiaTheme="minorEastAsia"/>
          <w:bCs/>
          <w:sz w:val="28"/>
          <w:szCs w:val="28"/>
          <w:highlight w:val="none"/>
        </w:rPr>
      </w:pPr>
      <w:r>
        <w:rPr>
          <w:rFonts w:ascii="宋体" w:hAnsi="宋体"/>
          <w:bCs/>
          <w:snapToGrid w:val="0"/>
          <w:sz w:val="28"/>
          <w:szCs w:val="28"/>
          <w:highlight w:val="none"/>
        </w:rPr>
        <w:t>8.1</w:t>
      </w:r>
      <w:r>
        <w:rPr>
          <w:rFonts w:hint="eastAsia" w:ascii="宋体" w:hAnsi="宋体"/>
          <w:bCs/>
          <w:snapToGrid w:val="0"/>
          <w:sz w:val="28"/>
          <w:szCs w:val="28"/>
          <w:highlight w:val="none"/>
        </w:rPr>
        <w:t>报价</w:t>
      </w:r>
      <w:r>
        <w:rPr>
          <w:rFonts w:ascii="宋体" w:hAnsi="宋体"/>
          <w:bCs/>
          <w:snapToGrid w:val="0"/>
          <w:sz w:val="28"/>
          <w:szCs w:val="28"/>
          <w:highlight w:val="none"/>
        </w:rPr>
        <w:t>供应商参与采购活动期间，</w:t>
      </w:r>
      <w:r>
        <w:rPr>
          <w:rFonts w:hint="eastAsia" w:ascii="宋体" w:hAnsi="宋体"/>
          <w:bCs/>
          <w:snapToGrid w:val="0"/>
          <w:sz w:val="28"/>
          <w:szCs w:val="28"/>
          <w:highlight w:val="none"/>
        </w:rPr>
        <w:t>应当</w:t>
      </w:r>
      <w:r>
        <w:rPr>
          <w:rFonts w:ascii="宋体" w:hAnsi="宋体"/>
          <w:bCs/>
          <w:snapToGrid w:val="0"/>
          <w:sz w:val="28"/>
          <w:szCs w:val="28"/>
          <w:highlight w:val="none"/>
        </w:rPr>
        <w:t>及时关注</w:t>
      </w:r>
      <w:bookmarkStart w:id="97" w:name="_Hlk112497301"/>
      <w:r>
        <w:rPr>
          <w:rFonts w:hint="eastAsia" w:asciiTheme="minorEastAsia" w:hAnsiTheme="minorEastAsia" w:eastAsiaTheme="minorEastAsia"/>
          <w:bCs/>
          <w:sz w:val="28"/>
          <w:szCs w:val="28"/>
          <w:highlight w:val="none"/>
        </w:rPr>
        <w:t>【报价供应商须知前附表】明确的</w:t>
      </w:r>
      <w:r>
        <w:rPr>
          <w:rFonts w:ascii="宋体" w:hAnsi="宋体"/>
          <w:bCs/>
          <w:snapToGrid w:val="0"/>
          <w:sz w:val="28"/>
          <w:szCs w:val="28"/>
          <w:highlight w:val="none"/>
        </w:rPr>
        <w:t>媒体上</w:t>
      </w:r>
      <w:r>
        <w:rPr>
          <w:rFonts w:hint="eastAsia" w:ascii="宋体" w:hAnsi="宋体"/>
          <w:bCs/>
          <w:snapToGrid w:val="0"/>
          <w:sz w:val="28"/>
          <w:szCs w:val="28"/>
          <w:highlight w:val="none"/>
        </w:rPr>
        <w:t>发布</w:t>
      </w:r>
      <w:r>
        <w:rPr>
          <w:rFonts w:ascii="宋体" w:hAnsi="宋体"/>
          <w:bCs/>
          <w:snapToGrid w:val="0"/>
          <w:sz w:val="28"/>
          <w:szCs w:val="28"/>
          <w:highlight w:val="none"/>
        </w:rPr>
        <w:t>的</w:t>
      </w:r>
      <w:r>
        <w:rPr>
          <w:rFonts w:hint="eastAsia" w:ascii="宋体" w:hAnsi="宋体"/>
          <w:bCs/>
          <w:snapToGrid w:val="0"/>
          <w:sz w:val="28"/>
          <w:szCs w:val="28"/>
          <w:highlight w:val="none"/>
        </w:rPr>
        <w:t>项目</w:t>
      </w:r>
      <w:r>
        <w:rPr>
          <w:rFonts w:ascii="宋体" w:hAnsi="宋体"/>
          <w:bCs/>
          <w:snapToGrid w:val="0"/>
          <w:sz w:val="28"/>
          <w:szCs w:val="28"/>
          <w:highlight w:val="none"/>
        </w:rPr>
        <w:t>相关信息。</w:t>
      </w:r>
      <w:bookmarkEnd w:id="97"/>
    </w:p>
    <w:p w14:paraId="6892D0D3">
      <w:pPr>
        <w:pStyle w:val="5"/>
        <w:keepNext w:val="0"/>
        <w:keepLines w:val="0"/>
        <w:adjustRightInd w:val="0"/>
        <w:snapToGrid w:val="0"/>
        <w:spacing w:before="120" w:beforeLines="50" w:after="120" w:afterLines="50" w:line="560" w:lineRule="exact"/>
        <w:jc w:val="center"/>
        <w:rPr>
          <w:b w:val="0"/>
          <w:highlight w:val="none"/>
        </w:rPr>
      </w:pPr>
      <w:bookmarkStart w:id="98" w:name="_Toc16542"/>
      <w:bookmarkStart w:id="99" w:name="_Toc4202"/>
      <w:bookmarkStart w:id="100" w:name="_Toc5629"/>
      <w:bookmarkStart w:id="101" w:name="_Toc24021"/>
      <w:bookmarkStart w:id="102" w:name="_Toc112768388"/>
      <w:bookmarkStart w:id="103" w:name="_Toc28813"/>
      <w:bookmarkStart w:id="104" w:name="_Toc17653"/>
      <w:bookmarkStart w:id="105" w:name="_Toc26450"/>
      <w:bookmarkStart w:id="106" w:name="_Toc7086"/>
      <w:bookmarkStart w:id="107" w:name="_Toc364"/>
      <w:bookmarkStart w:id="108" w:name="_Toc25098"/>
      <w:bookmarkStart w:id="109" w:name="_Toc9465"/>
      <w:bookmarkStart w:id="110" w:name="_Toc152058253"/>
      <w:r>
        <w:rPr>
          <w:rFonts w:hint="eastAsia"/>
          <w:b w:val="0"/>
          <w:highlight w:val="none"/>
        </w:rPr>
        <w:t>二、谈判文件</w:t>
      </w:r>
      <w:bookmarkEnd w:id="90"/>
      <w:bookmarkEnd w:id="98"/>
      <w:bookmarkEnd w:id="99"/>
      <w:bookmarkEnd w:id="100"/>
      <w:bookmarkEnd w:id="101"/>
      <w:bookmarkEnd w:id="102"/>
      <w:bookmarkEnd w:id="103"/>
      <w:r>
        <w:rPr>
          <w:rFonts w:hint="eastAsia"/>
          <w:b w:val="0"/>
          <w:highlight w:val="none"/>
        </w:rPr>
        <w:t>的内容及澄清与修改</w:t>
      </w:r>
      <w:bookmarkEnd w:id="104"/>
      <w:bookmarkEnd w:id="105"/>
      <w:bookmarkEnd w:id="106"/>
      <w:bookmarkEnd w:id="107"/>
      <w:bookmarkEnd w:id="108"/>
      <w:bookmarkEnd w:id="109"/>
      <w:bookmarkEnd w:id="110"/>
    </w:p>
    <w:p w14:paraId="5B910ABE">
      <w:pPr>
        <w:pStyle w:val="6"/>
        <w:keepNext w:val="0"/>
        <w:keepLines w:val="0"/>
        <w:adjustRightInd w:val="0"/>
        <w:snapToGrid w:val="0"/>
        <w:spacing w:before="0" w:after="0" w:line="560" w:lineRule="exact"/>
        <w:ind w:firstLine="560" w:firstLineChars="200"/>
        <w:rPr>
          <w:rFonts w:ascii="黑体" w:hAnsi="黑体"/>
          <w:b w:val="0"/>
          <w:highlight w:val="none"/>
        </w:rPr>
      </w:pPr>
      <w:bookmarkStart w:id="111" w:name="_Toc112768389"/>
      <w:bookmarkStart w:id="112" w:name="_Toc30381"/>
      <w:bookmarkStart w:id="113" w:name="_Toc27937"/>
      <w:bookmarkStart w:id="114" w:name="_Toc27158"/>
      <w:bookmarkStart w:id="115" w:name="_Toc6525"/>
      <w:bookmarkStart w:id="116" w:name="_Toc11679"/>
      <w:r>
        <w:rPr>
          <w:rFonts w:ascii="黑体" w:hAnsi="黑体"/>
          <w:b w:val="0"/>
          <w:highlight w:val="none"/>
        </w:rPr>
        <w:t>9.</w:t>
      </w:r>
      <w:r>
        <w:rPr>
          <w:rFonts w:hint="eastAsia" w:ascii="黑体" w:hAnsi="黑体"/>
          <w:b w:val="0"/>
          <w:highlight w:val="none"/>
        </w:rPr>
        <w:t>谈判文件的内容</w:t>
      </w:r>
      <w:bookmarkEnd w:id="111"/>
      <w:bookmarkEnd w:id="112"/>
      <w:bookmarkEnd w:id="113"/>
      <w:bookmarkEnd w:id="114"/>
      <w:bookmarkEnd w:id="115"/>
      <w:bookmarkEnd w:id="116"/>
    </w:p>
    <w:p w14:paraId="5FCFFFE4">
      <w:pPr>
        <w:adjustRightInd w:val="0"/>
        <w:snapToGrid w:val="0"/>
        <w:spacing w:line="560" w:lineRule="exact"/>
        <w:ind w:firstLine="560" w:firstLineChars="200"/>
        <w:rPr>
          <w:rFonts w:ascii="宋体" w:hAnsi="宋体"/>
          <w:bCs/>
          <w:sz w:val="28"/>
          <w:szCs w:val="28"/>
          <w:highlight w:val="none"/>
          <w:lang w:val="zh-CN"/>
        </w:rPr>
      </w:pPr>
      <w:r>
        <w:rPr>
          <w:rFonts w:ascii="宋体" w:hAnsi="宋体"/>
          <w:bCs/>
          <w:snapToGrid w:val="0"/>
          <w:sz w:val="28"/>
          <w:szCs w:val="28"/>
          <w:highlight w:val="none"/>
          <w:lang w:val="zh-CN"/>
        </w:rPr>
        <w:t>9.1</w:t>
      </w:r>
      <w:r>
        <w:rPr>
          <w:rFonts w:hint="eastAsia" w:ascii="宋体" w:hAnsi="宋体"/>
          <w:bCs/>
          <w:sz w:val="28"/>
          <w:szCs w:val="28"/>
          <w:highlight w:val="none"/>
          <w:lang w:val="zh-CN"/>
        </w:rPr>
        <w:t>谈判文件由通用文件和专用文件两部分组成，通用文件载明军队物资类竞争性谈判项目的一般性说明，专用文件载明本项目特定条件和要求。通用文件与专用文件内容不一致的，以专用文件为准。</w:t>
      </w:r>
    </w:p>
    <w:p w14:paraId="0473CD88">
      <w:pPr>
        <w:adjustRightInd w:val="0"/>
        <w:snapToGrid w:val="0"/>
        <w:spacing w:line="560" w:lineRule="exact"/>
        <w:ind w:firstLine="560" w:firstLineChars="200"/>
        <w:rPr>
          <w:rFonts w:ascii="宋体" w:hAnsi="宋体"/>
          <w:bCs/>
          <w:sz w:val="28"/>
          <w:szCs w:val="28"/>
          <w:highlight w:val="none"/>
          <w:lang w:val="zh-CN"/>
        </w:rPr>
      </w:pPr>
      <w:r>
        <w:rPr>
          <w:rFonts w:ascii="宋体" w:hAnsi="宋体"/>
          <w:bCs/>
          <w:snapToGrid w:val="0"/>
          <w:sz w:val="28"/>
          <w:szCs w:val="28"/>
          <w:highlight w:val="none"/>
          <w:lang w:val="zh-CN"/>
        </w:rPr>
        <w:t>9.2</w:t>
      </w:r>
      <w:r>
        <w:rPr>
          <w:rFonts w:hint="eastAsia" w:ascii="宋体" w:hAnsi="宋体"/>
          <w:bCs/>
          <w:sz w:val="28"/>
          <w:szCs w:val="28"/>
          <w:highlight w:val="none"/>
          <w:lang w:val="zh-CN"/>
        </w:rPr>
        <w:t xml:space="preserve"> 谈判文件</w:t>
      </w:r>
      <w:r>
        <w:rPr>
          <w:rFonts w:hint="eastAsia" w:ascii="宋体" w:hAnsi="宋体"/>
          <w:bCs/>
          <w:sz w:val="28"/>
          <w:szCs w:val="28"/>
          <w:highlight w:val="none"/>
        </w:rPr>
        <w:t>以中文编写。为便于报价供应商编制报价文件，采购机构可以向报价供应商提供电子版</w:t>
      </w:r>
      <w:r>
        <w:rPr>
          <w:rFonts w:hint="eastAsia" w:ascii="宋体" w:hAnsi="宋体"/>
          <w:bCs/>
          <w:sz w:val="28"/>
          <w:szCs w:val="28"/>
          <w:highlight w:val="none"/>
          <w:lang w:val="zh-CN"/>
        </w:rPr>
        <w:t>谈判文件</w:t>
      </w:r>
      <w:r>
        <w:rPr>
          <w:rFonts w:hint="eastAsia" w:ascii="宋体" w:hAnsi="宋体"/>
          <w:bCs/>
          <w:sz w:val="28"/>
          <w:szCs w:val="28"/>
          <w:highlight w:val="none"/>
        </w:rPr>
        <w:t>，纸质版与电子版</w:t>
      </w:r>
      <w:r>
        <w:rPr>
          <w:rFonts w:hint="eastAsia" w:ascii="宋体" w:hAnsi="宋体"/>
          <w:bCs/>
          <w:sz w:val="28"/>
          <w:szCs w:val="28"/>
          <w:highlight w:val="none"/>
          <w:lang w:val="zh-CN"/>
        </w:rPr>
        <w:t>谈判文件内容</w:t>
      </w:r>
      <w:r>
        <w:rPr>
          <w:rFonts w:hint="eastAsia" w:ascii="宋体" w:hAnsi="宋体"/>
          <w:bCs/>
          <w:sz w:val="28"/>
          <w:szCs w:val="28"/>
          <w:highlight w:val="none"/>
        </w:rPr>
        <w:t>不一致的，以纸质版为准。</w:t>
      </w:r>
    </w:p>
    <w:p w14:paraId="158BA63E">
      <w:pPr>
        <w:pStyle w:val="6"/>
        <w:keepNext w:val="0"/>
        <w:keepLines w:val="0"/>
        <w:adjustRightInd w:val="0"/>
        <w:snapToGrid w:val="0"/>
        <w:spacing w:before="0" w:after="0" w:line="560" w:lineRule="exact"/>
        <w:ind w:firstLine="560" w:firstLineChars="200"/>
        <w:rPr>
          <w:rFonts w:ascii="黑体" w:hAnsi="黑体"/>
          <w:b w:val="0"/>
          <w:highlight w:val="none"/>
        </w:rPr>
      </w:pPr>
      <w:bookmarkStart w:id="117" w:name="_Toc23562"/>
      <w:bookmarkStart w:id="118" w:name="_Toc18273"/>
      <w:bookmarkStart w:id="119" w:name="_Toc4535"/>
      <w:bookmarkStart w:id="120" w:name="_Toc46"/>
      <w:bookmarkStart w:id="121" w:name="_Toc21246"/>
      <w:bookmarkStart w:id="122" w:name="_Toc112768390"/>
      <w:r>
        <w:rPr>
          <w:rFonts w:ascii="黑体" w:hAnsi="黑体"/>
          <w:b w:val="0"/>
          <w:highlight w:val="none"/>
        </w:rPr>
        <w:t>10.</w:t>
      </w:r>
      <w:r>
        <w:rPr>
          <w:rFonts w:hint="eastAsia" w:ascii="黑体" w:hAnsi="黑体"/>
          <w:b w:val="0"/>
          <w:highlight w:val="none"/>
        </w:rPr>
        <w:t>谈判文件的澄清</w:t>
      </w:r>
      <w:bookmarkEnd w:id="117"/>
      <w:bookmarkEnd w:id="118"/>
      <w:bookmarkEnd w:id="119"/>
      <w:bookmarkEnd w:id="120"/>
      <w:bookmarkEnd w:id="121"/>
      <w:bookmarkEnd w:id="122"/>
      <w:r>
        <w:rPr>
          <w:rFonts w:hint="eastAsia" w:ascii="黑体" w:hAnsi="黑体"/>
          <w:b w:val="0"/>
          <w:highlight w:val="none"/>
        </w:rPr>
        <w:t>与修改</w:t>
      </w:r>
    </w:p>
    <w:p w14:paraId="65D477DC">
      <w:pPr>
        <w:adjustRightInd w:val="0"/>
        <w:snapToGrid w:val="0"/>
        <w:spacing w:line="560" w:lineRule="exact"/>
        <w:ind w:firstLine="560" w:firstLineChars="200"/>
        <w:rPr>
          <w:rFonts w:ascii="宋体" w:hAnsi="宋体"/>
          <w:bCs/>
          <w:sz w:val="28"/>
          <w:szCs w:val="28"/>
          <w:highlight w:val="none"/>
        </w:rPr>
      </w:pPr>
      <w:r>
        <w:rPr>
          <w:rFonts w:ascii="宋体" w:hAnsi="宋体"/>
          <w:bCs/>
          <w:sz w:val="28"/>
          <w:szCs w:val="28"/>
          <w:highlight w:val="none"/>
        </w:rPr>
        <w:t>10.1供应商对谈判文件如有疑问要求澄清，应当在</w:t>
      </w:r>
      <w:r>
        <w:rPr>
          <w:rFonts w:hint="eastAsia" w:asciiTheme="minorEastAsia" w:hAnsiTheme="minorEastAsia" w:eastAsiaTheme="minorEastAsia"/>
          <w:bCs/>
          <w:sz w:val="28"/>
          <w:szCs w:val="28"/>
          <w:highlight w:val="none"/>
        </w:rPr>
        <w:t>【报价供应商须知前附表】明确</w:t>
      </w:r>
      <w:r>
        <w:rPr>
          <w:rFonts w:hint="eastAsia" w:ascii="宋体" w:hAnsi="宋体"/>
          <w:bCs/>
          <w:snapToGrid w:val="0"/>
          <w:sz w:val="28"/>
          <w:szCs w:val="28"/>
          <w:highlight w:val="none"/>
          <w:lang w:val="zh-CN"/>
        </w:rPr>
        <w:t>的</w:t>
      </w:r>
      <w:r>
        <w:rPr>
          <w:rFonts w:hint="eastAsia" w:ascii="宋体" w:hAnsi="宋体" w:cs="宋体"/>
          <w:bCs/>
          <w:kern w:val="0"/>
          <w:sz w:val="28"/>
          <w:szCs w:val="28"/>
          <w:highlight w:val="none"/>
        </w:rPr>
        <w:t>提交首次报价文件截止之日</w:t>
      </w:r>
      <w:r>
        <w:rPr>
          <w:rFonts w:ascii="宋体" w:hAnsi="宋体" w:cs="宋体"/>
          <w:bCs/>
          <w:kern w:val="0"/>
          <w:sz w:val="28"/>
          <w:szCs w:val="28"/>
          <w:highlight w:val="none"/>
        </w:rPr>
        <w:t>3个工作日前</w:t>
      </w:r>
      <w:r>
        <w:rPr>
          <w:rFonts w:ascii="宋体" w:hAnsi="宋体"/>
          <w:bCs/>
          <w:sz w:val="28"/>
          <w:szCs w:val="28"/>
          <w:highlight w:val="none"/>
        </w:rPr>
        <w:t>以书面形式通知采购机构，采购机构视情以适当方式予以澄清。如有必要，在不标明问题来源情况下，采购机构可将答复内容以</w:t>
      </w:r>
      <w:r>
        <w:rPr>
          <w:rFonts w:hint="eastAsia" w:ascii="宋体" w:hAnsi="宋体"/>
          <w:bCs/>
          <w:sz w:val="28"/>
          <w:szCs w:val="28"/>
          <w:highlight w:val="none"/>
        </w:rPr>
        <w:t>公告或</w:t>
      </w:r>
      <w:r>
        <w:rPr>
          <w:rFonts w:ascii="宋体" w:hAnsi="宋体"/>
          <w:bCs/>
          <w:sz w:val="28"/>
          <w:szCs w:val="28"/>
          <w:highlight w:val="none"/>
        </w:rPr>
        <w:t>书面形式通知所有</w:t>
      </w:r>
      <w:r>
        <w:rPr>
          <w:rFonts w:hint="eastAsia" w:ascii="宋体" w:hAnsi="宋体"/>
          <w:bCs/>
          <w:sz w:val="28"/>
          <w:szCs w:val="28"/>
          <w:highlight w:val="none"/>
        </w:rPr>
        <w:t>已申领谈判文件的</w:t>
      </w:r>
      <w:r>
        <w:rPr>
          <w:rFonts w:ascii="宋体" w:hAnsi="宋体"/>
          <w:bCs/>
          <w:sz w:val="28"/>
          <w:szCs w:val="28"/>
          <w:highlight w:val="none"/>
        </w:rPr>
        <w:t>供应商。</w:t>
      </w:r>
    </w:p>
    <w:p w14:paraId="418C18FB">
      <w:pPr>
        <w:adjustRightInd w:val="0"/>
        <w:snapToGrid w:val="0"/>
        <w:spacing w:line="560" w:lineRule="exact"/>
        <w:ind w:firstLine="560" w:firstLineChars="200"/>
        <w:rPr>
          <w:rFonts w:ascii="宋体" w:hAnsi="宋体"/>
          <w:bCs/>
          <w:sz w:val="28"/>
          <w:szCs w:val="28"/>
          <w:highlight w:val="none"/>
        </w:rPr>
      </w:pPr>
      <w:r>
        <w:rPr>
          <w:rFonts w:ascii="宋体" w:hAnsi="宋体"/>
          <w:bCs/>
          <w:sz w:val="28"/>
          <w:szCs w:val="28"/>
          <w:highlight w:val="none"/>
        </w:rPr>
        <w:t>10.2提交首次</w:t>
      </w:r>
      <w:r>
        <w:rPr>
          <w:rFonts w:hint="eastAsia" w:ascii="宋体" w:hAnsi="宋体"/>
          <w:bCs/>
          <w:sz w:val="28"/>
          <w:szCs w:val="28"/>
          <w:highlight w:val="none"/>
        </w:rPr>
        <w:t>报价文件截止时间前，采购机构可以对已发出的谈判文件进行必要的澄清和修改。</w:t>
      </w:r>
    </w:p>
    <w:p w14:paraId="3284A223">
      <w:pPr>
        <w:adjustRightInd w:val="0"/>
        <w:snapToGrid w:val="0"/>
        <w:spacing w:line="560" w:lineRule="exact"/>
        <w:ind w:firstLine="560" w:firstLineChars="200"/>
        <w:rPr>
          <w:rFonts w:ascii="宋体" w:hAnsi="宋体"/>
          <w:bCs/>
          <w:sz w:val="28"/>
          <w:szCs w:val="28"/>
          <w:highlight w:val="none"/>
        </w:rPr>
      </w:pPr>
      <w:r>
        <w:rPr>
          <w:rFonts w:hint="eastAsia" w:ascii="宋体" w:hAnsi="宋体"/>
          <w:bCs/>
          <w:sz w:val="28"/>
          <w:szCs w:val="28"/>
          <w:highlight w:val="none"/>
        </w:rPr>
        <w:t>10.3澄清的内容不影响报价文件编制的，采购机构可以采取发布澄清公告或书面函告等形式通知所有已申领谈判文件的供应商。澄清的内容为谈判文件的组成部分。</w:t>
      </w:r>
    </w:p>
    <w:p w14:paraId="5B3DC959">
      <w:pPr>
        <w:adjustRightInd w:val="0"/>
        <w:snapToGrid w:val="0"/>
        <w:spacing w:line="560" w:lineRule="exact"/>
        <w:ind w:firstLine="560" w:firstLineChars="200"/>
        <w:rPr>
          <w:rFonts w:ascii="宋体" w:hAnsi="宋体"/>
          <w:bCs/>
          <w:sz w:val="28"/>
          <w:szCs w:val="28"/>
          <w:highlight w:val="none"/>
        </w:rPr>
      </w:pPr>
      <w:r>
        <w:rPr>
          <w:rFonts w:hint="eastAsia" w:ascii="宋体" w:hAnsi="宋体"/>
          <w:bCs/>
          <w:sz w:val="28"/>
          <w:szCs w:val="28"/>
          <w:highlight w:val="none"/>
        </w:rPr>
        <w:t>10.4澄清或修改的内容可能影响报价文件编制的，采购机构将在提交报价文件截止时间</w:t>
      </w:r>
      <w:r>
        <w:rPr>
          <w:rFonts w:ascii="宋体" w:hAnsi="宋体"/>
          <w:bCs/>
          <w:sz w:val="28"/>
          <w:szCs w:val="28"/>
          <w:highlight w:val="none"/>
        </w:rPr>
        <w:t>前</w:t>
      </w:r>
      <w:r>
        <w:rPr>
          <w:rFonts w:hint="eastAsia" w:ascii="宋体" w:hAnsi="宋体"/>
          <w:bCs/>
          <w:sz w:val="28"/>
          <w:szCs w:val="28"/>
          <w:highlight w:val="none"/>
        </w:rPr>
        <w:t>3个工作日，发布公告并且书面函告所有已申领谈判文件的供应商；不足3个工作日的，将相应顺延提交报价文件的截止时间。有</w:t>
      </w:r>
      <w:r>
        <w:rPr>
          <w:rFonts w:ascii="宋体" w:hAnsi="宋体"/>
          <w:bCs/>
          <w:sz w:val="28"/>
          <w:szCs w:val="28"/>
          <w:highlight w:val="none"/>
        </w:rPr>
        <w:t>特殊情况</w:t>
      </w:r>
      <w:r>
        <w:rPr>
          <w:rFonts w:hint="eastAsia" w:ascii="宋体" w:hAnsi="宋体"/>
          <w:bCs/>
          <w:sz w:val="28"/>
          <w:szCs w:val="28"/>
          <w:highlight w:val="none"/>
        </w:rPr>
        <w:t>经</w:t>
      </w:r>
      <w:r>
        <w:rPr>
          <w:rFonts w:ascii="宋体" w:hAnsi="宋体"/>
          <w:bCs/>
          <w:sz w:val="28"/>
          <w:szCs w:val="28"/>
          <w:highlight w:val="none"/>
        </w:rPr>
        <w:t>采购管理部门</w:t>
      </w:r>
      <w:r>
        <w:rPr>
          <w:rFonts w:hint="eastAsia" w:ascii="宋体" w:hAnsi="宋体"/>
          <w:bCs/>
          <w:sz w:val="28"/>
          <w:szCs w:val="28"/>
          <w:highlight w:val="none"/>
        </w:rPr>
        <w:t>批准</w:t>
      </w:r>
      <w:r>
        <w:rPr>
          <w:rFonts w:ascii="宋体" w:hAnsi="宋体"/>
          <w:bCs/>
          <w:sz w:val="28"/>
          <w:szCs w:val="28"/>
          <w:highlight w:val="none"/>
        </w:rPr>
        <w:t>后</w:t>
      </w:r>
      <w:r>
        <w:rPr>
          <w:rFonts w:hint="eastAsia" w:ascii="宋体" w:hAnsi="宋体"/>
          <w:bCs/>
          <w:sz w:val="28"/>
          <w:szCs w:val="28"/>
          <w:highlight w:val="none"/>
        </w:rPr>
        <w:t>可</w:t>
      </w:r>
      <w:r>
        <w:rPr>
          <w:rFonts w:ascii="宋体" w:hAnsi="宋体"/>
          <w:bCs/>
          <w:sz w:val="28"/>
          <w:szCs w:val="28"/>
          <w:highlight w:val="none"/>
        </w:rPr>
        <w:t>调整截止时间。</w:t>
      </w:r>
    </w:p>
    <w:p w14:paraId="7538B404">
      <w:pPr>
        <w:adjustRightInd w:val="0"/>
        <w:snapToGrid w:val="0"/>
        <w:spacing w:line="560" w:lineRule="exact"/>
        <w:ind w:firstLine="560" w:firstLineChars="200"/>
        <w:rPr>
          <w:rFonts w:ascii="宋体" w:hAnsi="宋体"/>
          <w:bCs/>
          <w:sz w:val="28"/>
          <w:szCs w:val="28"/>
          <w:highlight w:val="none"/>
        </w:rPr>
      </w:pPr>
      <w:r>
        <w:rPr>
          <w:rFonts w:ascii="宋体" w:hAnsi="宋体"/>
          <w:bCs/>
          <w:sz w:val="28"/>
          <w:szCs w:val="28"/>
          <w:highlight w:val="none"/>
        </w:rPr>
        <w:t>10.5</w:t>
      </w:r>
      <w:r>
        <w:rPr>
          <w:rFonts w:hint="eastAsia" w:ascii="宋体" w:hAnsi="宋体"/>
          <w:bCs/>
          <w:sz w:val="28"/>
          <w:szCs w:val="28"/>
          <w:highlight w:val="none"/>
        </w:rPr>
        <w:t>采购标的、关键技术参数、资格条件等内容需修改的，采购机构将重新发布竞争性谈判公告，并书面函告所有已申领谈判文件的供应商。</w:t>
      </w:r>
    </w:p>
    <w:p w14:paraId="1D7072F0">
      <w:pPr>
        <w:pStyle w:val="5"/>
        <w:keepNext w:val="0"/>
        <w:keepLines w:val="0"/>
        <w:adjustRightInd w:val="0"/>
        <w:snapToGrid w:val="0"/>
        <w:spacing w:before="120" w:beforeLines="50" w:after="120" w:afterLines="50" w:line="560" w:lineRule="exact"/>
        <w:jc w:val="center"/>
        <w:rPr>
          <w:b w:val="0"/>
          <w:highlight w:val="none"/>
        </w:rPr>
      </w:pPr>
      <w:bookmarkStart w:id="123" w:name="_Toc112317769"/>
      <w:bookmarkStart w:id="124" w:name="_Toc20631"/>
      <w:bookmarkStart w:id="125" w:name="_Toc112768392"/>
      <w:bookmarkStart w:id="126" w:name="_Toc12048"/>
      <w:bookmarkStart w:id="127" w:name="_Toc2569"/>
      <w:bookmarkStart w:id="128" w:name="_Toc17046"/>
      <w:bookmarkStart w:id="129" w:name="_Toc8610"/>
      <w:bookmarkStart w:id="130" w:name="_Toc152058254"/>
      <w:bookmarkStart w:id="131" w:name="_Toc9998"/>
      <w:bookmarkStart w:id="132" w:name="_Toc17883"/>
      <w:bookmarkStart w:id="133" w:name="_Toc15180"/>
      <w:bookmarkStart w:id="134" w:name="_Toc16475"/>
      <w:bookmarkStart w:id="135" w:name="_Toc17862"/>
      <w:bookmarkStart w:id="136" w:name="_Toc25077"/>
      <w:r>
        <w:rPr>
          <w:rFonts w:hint="eastAsia"/>
          <w:b w:val="0"/>
          <w:highlight w:val="none"/>
        </w:rPr>
        <w:t>三、</w:t>
      </w:r>
      <w:bookmarkEnd w:id="123"/>
      <w:r>
        <w:rPr>
          <w:rFonts w:hint="eastAsia"/>
          <w:b w:val="0"/>
          <w:highlight w:val="none"/>
        </w:rPr>
        <w:t>报价文件</w:t>
      </w:r>
      <w:bookmarkEnd w:id="124"/>
      <w:bookmarkEnd w:id="125"/>
      <w:bookmarkEnd w:id="126"/>
      <w:bookmarkEnd w:id="127"/>
      <w:bookmarkEnd w:id="128"/>
      <w:bookmarkEnd w:id="129"/>
      <w:r>
        <w:rPr>
          <w:rFonts w:hint="eastAsia"/>
          <w:b w:val="0"/>
          <w:highlight w:val="none"/>
        </w:rPr>
        <w:t>的基本要求</w:t>
      </w:r>
      <w:bookmarkEnd w:id="130"/>
      <w:bookmarkEnd w:id="131"/>
      <w:bookmarkEnd w:id="132"/>
      <w:bookmarkEnd w:id="133"/>
      <w:bookmarkEnd w:id="134"/>
      <w:bookmarkEnd w:id="135"/>
      <w:bookmarkEnd w:id="136"/>
    </w:p>
    <w:p w14:paraId="148E96FC">
      <w:pPr>
        <w:pStyle w:val="6"/>
        <w:keepNext w:val="0"/>
        <w:keepLines w:val="0"/>
        <w:adjustRightInd w:val="0"/>
        <w:snapToGrid w:val="0"/>
        <w:spacing w:before="0" w:after="0" w:line="560" w:lineRule="exact"/>
        <w:ind w:firstLine="560" w:firstLineChars="200"/>
        <w:rPr>
          <w:rFonts w:ascii="黑体" w:hAnsi="黑体"/>
          <w:b w:val="0"/>
          <w:highlight w:val="none"/>
        </w:rPr>
      </w:pPr>
      <w:bookmarkStart w:id="137" w:name="_Toc11577"/>
      <w:bookmarkStart w:id="138" w:name="_Toc22222"/>
      <w:bookmarkStart w:id="139" w:name="_Toc2811"/>
      <w:bookmarkStart w:id="140" w:name="_Toc112768393"/>
      <w:bookmarkStart w:id="141" w:name="_Toc15288"/>
      <w:bookmarkStart w:id="142" w:name="_Toc18494"/>
      <w:r>
        <w:rPr>
          <w:rFonts w:ascii="黑体" w:hAnsi="黑体"/>
          <w:b w:val="0"/>
          <w:highlight w:val="none"/>
        </w:rPr>
        <w:t>11.</w:t>
      </w:r>
      <w:r>
        <w:rPr>
          <w:rFonts w:hint="eastAsia" w:ascii="黑体" w:hAnsi="黑体"/>
          <w:b w:val="0"/>
          <w:highlight w:val="none"/>
        </w:rPr>
        <w:t>编制要求</w:t>
      </w:r>
      <w:bookmarkEnd w:id="137"/>
      <w:bookmarkEnd w:id="138"/>
      <w:bookmarkEnd w:id="139"/>
      <w:bookmarkEnd w:id="140"/>
      <w:bookmarkEnd w:id="141"/>
      <w:bookmarkEnd w:id="142"/>
    </w:p>
    <w:p w14:paraId="33D23767">
      <w:pPr>
        <w:autoSpaceDE w:val="0"/>
        <w:autoSpaceDN w:val="0"/>
        <w:adjustRightInd w:val="0"/>
        <w:snapToGrid w:val="0"/>
        <w:spacing w:line="560" w:lineRule="exact"/>
        <w:ind w:firstLine="560" w:firstLineChars="200"/>
        <w:rPr>
          <w:rFonts w:asciiTheme="minorEastAsia" w:hAnsiTheme="minorEastAsia" w:eastAsiaTheme="minorEastAsia"/>
          <w:bCs/>
          <w:sz w:val="28"/>
          <w:szCs w:val="28"/>
          <w:highlight w:val="none"/>
        </w:rPr>
      </w:pPr>
      <w:r>
        <w:rPr>
          <w:rFonts w:ascii="宋体" w:hAnsi="宋体"/>
          <w:bCs/>
          <w:snapToGrid w:val="0"/>
          <w:sz w:val="28"/>
          <w:szCs w:val="28"/>
          <w:highlight w:val="none"/>
          <w:lang w:val="zh-CN"/>
        </w:rPr>
        <w:t>11.1</w:t>
      </w:r>
      <w:r>
        <w:rPr>
          <w:rFonts w:hint="eastAsia" w:ascii="宋体" w:hAnsi="宋体"/>
          <w:bCs/>
          <w:snapToGrid w:val="0"/>
          <w:sz w:val="28"/>
          <w:szCs w:val="28"/>
          <w:highlight w:val="none"/>
          <w:lang w:val="zh-CN"/>
        </w:rPr>
        <w:t>报价</w:t>
      </w:r>
      <w:r>
        <w:rPr>
          <w:rFonts w:hint="eastAsia" w:asciiTheme="minorEastAsia" w:hAnsiTheme="minorEastAsia" w:eastAsiaTheme="minorEastAsia"/>
          <w:bCs/>
          <w:snapToGrid w:val="0"/>
          <w:sz w:val="28"/>
          <w:szCs w:val="28"/>
          <w:highlight w:val="none"/>
          <w:lang w:val="zh-CN"/>
        </w:rPr>
        <w:t>供应商</w:t>
      </w:r>
      <w:r>
        <w:rPr>
          <w:rFonts w:hint="eastAsia" w:asciiTheme="minorEastAsia" w:hAnsiTheme="minorEastAsia" w:eastAsiaTheme="minorEastAsia"/>
          <w:bCs/>
          <w:snapToGrid w:val="0"/>
          <w:sz w:val="28"/>
          <w:szCs w:val="28"/>
          <w:highlight w:val="none"/>
        </w:rPr>
        <w:t>应当仔细阅读谈判文件，在完全了解全部内容后，依法真实编制报价文件。</w:t>
      </w:r>
    </w:p>
    <w:p w14:paraId="60E7B145">
      <w:pPr>
        <w:pStyle w:val="6"/>
        <w:keepNext w:val="0"/>
        <w:keepLines w:val="0"/>
        <w:adjustRightInd w:val="0"/>
        <w:snapToGrid w:val="0"/>
        <w:spacing w:before="0" w:after="0" w:line="560" w:lineRule="exact"/>
        <w:ind w:firstLine="560" w:firstLineChars="200"/>
        <w:rPr>
          <w:rFonts w:ascii="黑体" w:hAnsi="黑体"/>
          <w:b w:val="0"/>
          <w:highlight w:val="none"/>
        </w:rPr>
      </w:pPr>
      <w:bookmarkStart w:id="143" w:name="_Toc29333"/>
      <w:bookmarkStart w:id="144" w:name="_Toc1531"/>
      <w:bookmarkStart w:id="145" w:name="_Toc112768394"/>
      <w:bookmarkStart w:id="146" w:name="_Toc16818"/>
      <w:bookmarkStart w:id="147" w:name="_Toc17826"/>
      <w:bookmarkStart w:id="148" w:name="_Toc20054"/>
      <w:r>
        <w:rPr>
          <w:rFonts w:ascii="黑体" w:hAnsi="黑体"/>
          <w:b w:val="0"/>
          <w:highlight w:val="none"/>
        </w:rPr>
        <w:t>12.</w:t>
      </w:r>
      <w:r>
        <w:rPr>
          <w:rFonts w:hint="eastAsia" w:ascii="黑体" w:hAnsi="黑体"/>
          <w:b w:val="0"/>
          <w:highlight w:val="none"/>
        </w:rPr>
        <w:t>报价文件的语言及计量单位</w:t>
      </w:r>
      <w:bookmarkEnd w:id="143"/>
      <w:bookmarkEnd w:id="144"/>
      <w:bookmarkEnd w:id="145"/>
      <w:bookmarkEnd w:id="146"/>
      <w:bookmarkEnd w:id="147"/>
      <w:bookmarkEnd w:id="148"/>
    </w:p>
    <w:p w14:paraId="1D347DFF">
      <w:pPr>
        <w:adjustRightInd w:val="0"/>
        <w:snapToGrid w:val="0"/>
        <w:spacing w:line="560" w:lineRule="exact"/>
        <w:ind w:firstLine="560" w:firstLineChars="200"/>
        <w:rPr>
          <w:rFonts w:ascii="宋体" w:hAnsi="宋体"/>
          <w:bCs/>
          <w:sz w:val="28"/>
          <w:szCs w:val="28"/>
          <w:highlight w:val="none"/>
        </w:rPr>
      </w:pPr>
      <w:r>
        <w:rPr>
          <w:rFonts w:ascii="宋体" w:hAnsi="宋体"/>
          <w:bCs/>
          <w:sz w:val="28"/>
          <w:szCs w:val="28"/>
          <w:highlight w:val="none"/>
          <w:lang w:val="zh-CN"/>
        </w:rPr>
        <w:t>12.1报价文件和</w:t>
      </w:r>
      <w:r>
        <w:rPr>
          <w:rFonts w:hint="eastAsia" w:ascii="宋体" w:hAnsi="宋体"/>
          <w:bCs/>
          <w:sz w:val="28"/>
          <w:szCs w:val="28"/>
          <w:highlight w:val="none"/>
          <w:lang w:val="zh-CN"/>
        </w:rPr>
        <w:t>报价</w:t>
      </w:r>
      <w:r>
        <w:rPr>
          <w:rFonts w:hint="eastAsia"/>
          <w:bCs/>
          <w:snapToGrid w:val="0"/>
          <w:sz w:val="28"/>
          <w:szCs w:val="28"/>
          <w:highlight w:val="none"/>
          <w:lang w:val="zh-CN"/>
        </w:rPr>
        <w:t>供应商与采购机构就有关谈判的</w:t>
      </w:r>
      <w:r>
        <w:rPr>
          <w:rFonts w:ascii="宋体" w:hAnsi="宋体"/>
          <w:bCs/>
          <w:sz w:val="28"/>
          <w:szCs w:val="28"/>
          <w:highlight w:val="none"/>
          <w:lang w:val="zh-CN"/>
        </w:rPr>
        <w:t>来往信函均以中文书写。确有需要时，</w:t>
      </w:r>
      <w:r>
        <w:rPr>
          <w:rFonts w:hint="eastAsia" w:ascii="宋体" w:hAnsi="宋体"/>
          <w:bCs/>
          <w:sz w:val="28"/>
          <w:szCs w:val="28"/>
          <w:highlight w:val="none"/>
          <w:lang w:val="zh-CN"/>
        </w:rPr>
        <w:t>可以提供</w:t>
      </w:r>
      <w:r>
        <w:rPr>
          <w:rFonts w:ascii="宋体" w:hAnsi="宋体"/>
          <w:bCs/>
          <w:sz w:val="28"/>
          <w:szCs w:val="28"/>
          <w:highlight w:val="none"/>
          <w:lang w:val="zh-CN"/>
        </w:rPr>
        <w:t>使用其他语言书写</w:t>
      </w:r>
      <w:r>
        <w:rPr>
          <w:rFonts w:hint="eastAsia" w:ascii="宋体" w:hAnsi="宋体"/>
          <w:bCs/>
          <w:sz w:val="28"/>
          <w:szCs w:val="28"/>
          <w:highlight w:val="none"/>
          <w:lang w:val="zh-CN"/>
        </w:rPr>
        <w:t>的相关材料</w:t>
      </w:r>
      <w:r>
        <w:rPr>
          <w:rFonts w:ascii="宋体" w:hAnsi="宋体"/>
          <w:bCs/>
          <w:sz w:val="28"/>
          <w:szCs w:val="28"/>
          <w:highlight w:val="none"/>
          <w:lang w:val="zh-CN"/>
        </w:rPr>
        <w:t>，但</w:t>
      </w:r>
      <w:bookmarkStart w:id="149" w:name="_Hlk130370619"/>
      <w:r>
        <w:rPr>
          <w:rFonts w:hint="eastAsia" w:ascii="黑体" w:hAnsi="黑体" w:eastAsia="黑体"/>
          <w:bCs/>
          <w:sz w:val="28"/>
          <w:szCs w:val="28"/>
          <w:highlight w:val="none"/>
          <w:lang w:val="zh-CN"/>
        </w:rPr>
        <w:t>应当</w:t>
      </w:r>
      <w:bookmarkEnd w:id="149"/>
      <w:r>
        <w:rPr>
          <w:rFonts w:ascii="黑体" w:hAnsi="黑体" w:eastAsia="黑体"/>
          <w:bCs/>
          <w:sz w:val="28"/>
          <w:szCs w:val="28"/>
          <w:highlight w:val="none"/>
          <w:lang w:val="zh-CN"/>
        </w:rPr>
        <w:t>同时提供</w:t>
      </w:r>
      <w:r>
        <w:rPr>
          <w:rFonts w:hint="eastAsia" w:ascii="黑体" w:hAnsi="黑体" w:eastAsia="黑体"/>
          <w:bCs/>
          <w:sz w:val="28"/>
          <w:szCs w:val="28"/>
          <w:highlight w:val="none"/>
          <w:lang w:val="zh-CN"/>
        </w:rPr>
        <w:t>能够准确表达原文原意的</w:t>
      </w:r>
      <w:r>
        <w:rPr>
          <w:rFonts w:ascii="黑体" w:hAnsi="黑体" w:eastAsia="黑体"/>
          <w:bCs/>
          <w:sz w:val="28"/>
          <w:szCs w:val="28"/>
          <w:highlight w:val="none"/>
          <w:lang w:val="zh-CN"/>
        </w:rPr>
        <w:t>中文译文</w:t>
      </w:r>
      <w:r>
        <w:rPr>
          <w:rFonts w:ascii="宋体" w:hAnsi="宋体"/>
          <w:bCs/>
          <w:sz w:val="28"/>
          <w:szCs w:val="28"/>
          <w:highlight w:val="none"/>
          <w:lang w:val="zh-CN"/>
        </w:rPr>
        <w:t>，</w:t>
      </w:r>
      <w:r>
        <w:rPr>
          <w:rFonts w:hint="eastAsia" w:ascii="宋体" w:hAnsi="宋体"/>
          <w:bCs/>
          <w:sz w:val="28"/>
          <w:szCs w:val="28"/>
          <w:highlight w:val="none"/>
          <w:lang w:val="zh-CN"/>
        </w:rPr>
        <w:t>原文与中文译文</w:t>
      </w:r>
      <w:r>
        <w:rPr>
          <w:rFonts w:ascii="宋体" w:hAnsi="宋体"/>
          <w:bCs/>
          <w:sz w:val="28"/>
          <w:szCs w:val="28"/>
          <w:highlight w:val="none"/>
          <w:lang w:val="zh-CN"/>
        </w:rPr>
        <w:t>的解释发生异议的</w:t>
      </w:r>
      <w:r>
        <w:rPr>
          <w:rFonts w:hint="eastAsia" w:ascii="宋体" w:hAnsi="宋体"/>
          <w:bCs/>
          <w:sz w:val="28"/>
          <w:szCs w:val="28"/>
          <w:highlight w:val="none"/>
          <w:lang w:val="zh-CN"/>
        </w:rPr>
        <w:t>，一般以中文译文为准；采购机构或评审委员会认为属于明显翻译错误的，以原文为准。</w:t>
      </w:r>
      <w:r>
        <w:rPr>
          <w:rFonts w:hint="eastAsia" w:ascii="宋体" w:hAnsi="宋体"/>
          <w:bCs/>
          <w:sz w:val="28"/>
          <w:szCs w:val="28"/>
          <w:highlight w:val="none"/>
        </w:rPr>
        <w:t>未提供中文译文的，该文本无效。</w:t>
      </w:r>
    </w:p>
    <w:p w14:paraId="3A968A73">
      <w:pPr>
        <w:adjustRightInd w:val="0"/>
        <w:snapToGrid w:val="0"/>
        <w:spacing w:line="560" w:lineRule="exact"/>
        <w:ind w:firstLine="560" w:firstLineChars="200"/>
        <w:rPr>
          <w:rFonts w:ascii="宋体" w:hAnsi="宋体"/>
          <w:bCs/>
          <w:sz w:val="28"/>
          <w:szCs w:val="28"/>
          <w:highlight w:val="none"/>
        </w:rPr>
      </w:pPr>
      <w:r>
        <w:rPr>
          <w:rFonts w:ascii="宋体" w:hAnsi="宋体"/>
          <w:bCs/>
          <w:sz w:val="28"/>
          <w:szCs w:val="28"/>
          <w:highlight w:val="none"/>
          <w:lang w:val="zh-CN"/>
        </w:rPr>
        <w:t>12.2报价文件中所使用的计量单位，除报价文件中有特殊要求外，均采用</w:t>
      </w:r>
      <w:r>
        <w:rPr>
          <w:rFonts w:hint="eastAsia" w:ascii="宋体" w:hAnsi="宋体"/>
          <w:bCs/>
          <w:sz w:val="28"/>
          <w:szCs w:val="28"/>
          <w:highlight w:val="none"/>
          <w:lang w:val="zh-CN"/>
        </w:rPr>
        <w:t>中华人民共和国</w:t>
      </w:r>
      <w:r>
        <w:rPr>
          <w:rFonts w:ascii="宋体" w:hAnsi="宋体"/>
          <w:bCs/>
          <w:sz w:val="28"/>
          <w:szCs w:val="28"/>
          <w:highlight w:val="none"/>
          <w:lang w:val="zh-CN"/>
        </w:rPr>
        <w:t>法定计量单位</w:t>
      </w:r>
      <w:r>
        <w:rPr>
          <w:rFonts w:ascii="宋体" w:hAnsi="宋体"/>
          <w:bCs/>
          <w:sz w:val="28"/>
          <w:szCs w:val="28"/>
          <w:highlight w:val="none"/>
        </w:rPr>
        <w:t>。</w:t>
      </w:r>
    </w:p>
    <w:p w14:paraId="771CE310">
      <w:pPr>
        <w:pStyle w:val="6"/>
        <w:keepNext w:val="0"/>
        <w:keepLines w:val="0"/>
        <w:adjustRightInd w:val="0"/>
        <w:snapToGrid w:val="0"/>
        <w:spacing w:before="0" w:after="0" w:line="560" w:lineRule="exact"/>
        <w:ind w:firstLine="560" w:firstLineChars="200"/>
        <w:rPr>
          <w:rFonts w:ascii="黑体" w:hAnsi="黑体"/>
          <w:b w:val="0"/>
          <w:highlight w:val="none"/>
        </w:rPr>
      </w:pPr>
      <w:bookmarkStart w:id="150" w:name="_Toc14489"/>
      <w:bookmarkStart w:id="151" w:name="_Toc13989"/>
      <w:bookmarkStart w:id="152" w:name="_Toc9632"/>
      <w:bookmarkStart w:id="153" w:name="_Toc6931"/>
      <w:bookmarkStart w:id="154" w:name="_Toc112768395"/>
      <w:bookmarkStart w:id="155" w:name="_Toc14297"/>
      <w:r>
        <w:rPr>
          <w:rFonts w:ascii="黑体" w:hAnsi="黑体"/>
          <w:b w:val="0"/>
          <w:highlight w:val="none"/>
        </w:rPr>
        <w:t>13.</w:t>
      </w:r>
      <w:r>
        <w:rPr>
          <w:rFonts w:hint="eastAsia" w:ascii="黑体" w:hAnsi="黑体"/>
          <w:b w:val="0"/>
          <w:highlight w:val="none"/>
        </w:rPr>
        <w:t>报价文件组成</w:t>
      </w:r>
      <w:bookmarkEnd w:id="150"/>
      <w:bookmarkEnd w:id="151"/>
      <w:bookmarkEnd w:id="152"/>
      <w:bookmarkEnd w:id="153"/>
      <w:bookmarkEnd w:id="154"/>
      <w:bookmarkEnd w:id="155"/>
    </w:p>
    <w:p w14:paraId="43A4C569">
      <w:pPr>
        <w:adjustRightInd w:val="0"/>
        <w:snapToGrid w:val="0"/>
        <w:spacing w:line="560" w:lineRule="exact"/>
        <w:ind w:firstLine="560" w:firstLineChars="200"/>
        <w:rPr>
          <w:rFonts w:ascii="宋体" w:hAnsi="宋体"/>
          <w:bCs/>
          <w:sz w:val="28"/>
          <w:szCs w:val="28"/>
          <w:highlight w:val="none"/>
        </w:rPr>
      </w:pPr>
      <w:r>
        <w:rPr>
          <w:rFonts w:ascii="宋体" w:hAnsi="宋体"/>
          <w:bCs/>
          <w:sz w:val="28"/>
          <w:szCs w:val="28"/>
          <w:highlight w:val="none"/>
        </w:rPr>
        <w:t>13.1</w:t>
      </w:r>
      <w:r>
        <w:rPr>
          <w:rFonts w:hint="eastAsia" w:ascii="宋体" w:hAnsi="宋体"/>
          <w:bCs/>
          <w:sz w:val="28"/>
          <w:szCs w:val="28"/>
          <w:highlight w:val="none"/>
        </w:rPr>
        <w:t>报价文件一般由</w:t>
      </w:r>
      <w:bookmarkStart w:id="156" w:name="_Hlk112504983"/>
      <w:r>
        <w:rPr>
          <w:rFonts w:hint="eastAsia" w:ascii="黑体" w:hAnsi="黑体" w:eastAsia="黑体"/>
          <w:bCs/>
          <w:sz w:val="28"/>
          <w:szCs w:val="28"/>
          <w:highlight w:val="none"/>
        </w:rPr>
        <w:t>价格文件、</w:t>
      </w:r>
      <w:bookmarkStart w:id="157" w:name="_Hlk112353436"/>
      <w:r>
        <w:rPr>
          <w:rFonts w:hint="eastAsia" w:ascii="黑体" w:hAnsi="黑体" w:eastAsia="黑体"/>
          <w:bCs/>
          <w:sz w:val="28"/>
          <w:szCs w:val="28"/>
          <w:highlight w:val="none"/>
        </w:rPr>
        <w:t>商务技术</w:t>
      </w:r>
      <w:bookmarkEnd w:id="157"/>
      <w:r>
        <w:rPr>
          <w:rFonts w:hint="eastAsia" w:ascii="黑体" w:hAnsi="黑体" w:eastAsia="黑体"/>
          <w:bCs/>
          <w:sz w:val="28"/>
          <w:szCs w:val="28"/>
          <w:highlight w:val="none"/>
        </w:rPr>
        <w:t>文件、资格证明文件</w:t>
      </w:r>
      <w:r>
        <w:rPr>
          <w:rFonts w:hint="eastAsia" w:ascii="宋体" w:hAnsi="宋体"/>
          <w:bCs/>
          <w:sz w:val="28"/>
          <w:szCs w:val="28"/>
          <w:highlight w:val="none"/>
        </w:rPr>
        <w:t>三部分组成。每部分应当分别编制目录，具体要求详见第三章报价</w:t>
      </w:r>
      <w:r>
        <w:rPr>
          <w:rFonts w:ascii="宋体" w:hAnsi="宋体"/>
          <w:bCs/>
          <w:sz w:val="28"/>
          <w:szCs w:val="28"/>
          <w:highlight w:val="none"/>
        </w:rPr>
        <w:t>文件内容及格式</w:t>
      </w:r>
      <w:r>
        <w:rPr>
          <w:rFonts w:hint="eastAsia" w:ascii="宋体" w:hAnsi="宋体"/>
          <w:bCs/>
          <w:sz w:val="28"/>
          <w:szCs w:val="28"/>
          <w:highlight w:val="none"/>
        </w:rPr>
        <w:t>。</w:t>
      </w:r>
    </w:p>
    <w:bookmarkEnd w:id="156"/>
    <w:p w14:paraId="5ACF716C">
      <w:pPr>
        <w:pStyle w:val="6"/>
        <w:keepNext w:val="0"/>
        <w:keepLines w:val="0"/>
        <w:adjustRightInd w:val="0"/>
        <w:snapToGrid w:val="0"/>
        <w:spacing w:before="0" w:after="0" w:line="560" w:lineRule="exact"/>
        <w:ind w:firstLine="560" w:firstLineChars="200"/>
        <w:rPr>
          <w:rFonts w:ascii="黑体" w:hAnsi="黑体"/>
          <w:b w:val="0"/>
          <w:highlight w:val="none"/>
        </w:rPr>
      </w:pPr>
      <w:bookmarkStart w:id="158" w:name="_Toc31820"/>
      <w:bookmarkStart w:id="159" w:name="_Toc97"/>
      <w:bookmarkStart w:id="160" w:name="_Toc21338"/>
      <w:bookmarkStart w:id="161" w:name="_Toc112768396"/>
      <w:bookmarkStart w:id="162" w:name="_Toc11551"/>
      <w:bookmarkStart w:id="163" w:name="_Toc3619"/>
      <w:r>
        <w:rPr>
          <w:rFonts w:ascii="黑体" w:hAnsi="黑体"/>
          <w:b w:val="0"/>
          <w:highlight w:val="none"/>
        </w:rPr>
        <w:t>14.</w:t>
      </w:r>
      <w:r>
        <w:rPr>
          <w:rFonts w:hint="eastAsia" w:ascii="黑体" w:hAnsi="黑体"/>
          <w:b w:val="0"/>
          <w:highlight w:val="none"/>
        </w:rPr>
        <w:t>报价文件的编制</w:t>
      </w:r>
      <w:bookmarkEnd w:id="158"/>
      <w:bookmarkEnd w:id="159"/>
      <w:bookmarkEnd w:id="160"/>
      <w:bookmarkEnd w:id="161"/>
      <w:bookmarkEnd w:id="162"/>
      <w:bookmarkEnd w:id="163"/>
    </w:p>
    <w:p w14:paraId="10A1196A">
      <w:pPr>
        <w:adjustRightInd w:val="0"/>
        <w:snapToGrid w:val="0"/>
        <w:spacing w:line="560" w:lineRule="exact"/>
        <w:ind w:firstLine="560" w:firstLineChars="200"/>
        <w:rPr>
          <w:rFonts w:asciiTheme="minorEastAsia" w:hAnsiTheme="minorEastAsia" w:eastAsiaTheme="minorEastAsia"/>
          <w:bCs/>
          <w:sz w:val="28"/>
          <w:szCs w:val="28"/>
          <w:highlight w:val="none"/>
        </w:rPr>
      </w:pPr>
      <w:r>
        <w:rPr>
          <w:rFonts w:asciiTheme="minorEastAsia" w:hAnsiTheme="minorEastAsia" w:eastAsiaTheme="minorEastAsia"/>
          <w:bCs/>
          <w:sz w:val="28"/>
          <w:szCs w:val="28"/>
          <w:highlight w:val="none"/>
        </w:rPr>
        <w:t>14.1</w:t>
      </w:r>
      <w:r>
        <w:rPr>
          <w:rFonts w:hint="eastAsia" w:asciiTheme="minorEastAsia" w:hAnsiTheme="minorEastAsia" w:eastAsiaTheme="minorEastAsia"/>
          <w:bCs/>
          <w:sz w:val="28"/>
          <w:szCs w:val="28"/>
          <w:highlight w:val="none"/>
        </w:rPr>
        <w:t>报价供应商应当按谈判文件第</w:t>
      </w:r>
      <w:r>
        <w:rPr>
          <w:rFonts w:asciiTheme="minorEastAsia" w:hAnsiTheme="minorEastAsia" w:eastAsiaTheme="minorEastAsia"/>
          <w:bCs/>
          <w:sz w:val="28"/>
          <w:szCs w:val="28"/>
          <w:highlight w:val="none"/>
        </w:rPr>
        <w:t>1</w:t>
      </w:r>
      <w:r>
        <w:rPr>
          <w:rFonts w:hint="eastAsia" w:asciiTheme="minorEastAsia" w:hAnsiTheme="minorEastAsia" w:eastAsiaTheme="minorEastAsia"/>
          <w:bCs/>
          <w:sz w:val="28"/>
          <w:szCs w:val="28"/>
          <w:highlight w:val="none"/>
        </w:rPr>
        <w:t>3</w:t>
      </w:r>
      <w:r>
        <w:rPr>
          <w:rFonts w:asciiTheme="minorEastAsia" w:hAnsiTheme="minorEastAsia" w:eastAsiaTheme="minorEastAsia"/>
          <w:bCs/>
          <w:sz w:val="28"/>
          <w:szCs w:val="28"/>
          <w:highlight w:val="none"/>
        </w:rPr>
        <w:t>.1</w:t>
      </w:r>
      <w:r>
        <w:rPr>
          <w:rFonts w:hint="eastAsia" w:asciiTheme="minorEastAsia" w:hAnsiTheme="minorEastAsia" w:eastAsiaTheme="minorEastAsia"/>
          <w:bCs/>
          <w:sz w:val="28"/>
          <w:szCs w:val="28"/>
          <w:highlight w:val="none"/>
        </w:rPr>
        <w:t>条的内容与要求和第三章明确的格式编制报价文件。</w:t>
      </w:r>
      <w:r>
        <w:rPr>
          <w:rFonts w:asciiTheme="minorEastAsia" w:hAnsiTheme="minorEastAsia" w:eastAsiaTheme="minorEastAsia"/>
          <w:bCs/>
          <w:sz w:val="28"/>
          <w:szCs w:val="28"/>
          <w:highlight w:val="none"/>
        </w:rPr>
        <w:t xml:space="preserve"> </w:t>
      </w:r>
    </w:p>
    <w:p w14:paraId="39BCEAB5">
      <w:pPr>
        <w:spacing w:line="560" w:lineRule="exact"/>
        <w:ind w:firstLine="560" w:firstLineChars="200"/>
        <w:rPr>
          <w:rFonts w:ascii="宋体" w:hAnsi="宋体"/>
          <w:sz w:val="28"/>
          <w:szCs w:val="28"/>
          <w:highlight w:val="none"/>
        </w:rPr>
      </w:pPr>
      <w:r>
        <w:rPr>
          <w:rFonts w:ascii="宋体" w:hAnsi="宋体"/>
          <w:sz w:val="28"/>
          <w:szCs w:val="28"/>
          <w:highlight w:val="none"/>
        </w:rPr>
        <w:t>14.2</w:t>
      </w:r>
      <w:r>
        <w:rPr>
          <w:rFonts w:hint="eastAsia" w:ascii="宋体" w:hAnsi="宋体"/>
          <w:sz w:val="28"/>
          <w:szCs w:val="28"/>
          <w:highlight w:val="none"/>
        </w:rPr>
        <w:t>报价</w:t>
      </w:r>
      <w:r>
        <w:rPr>
          <w:rFonts w:ascii="宋体" w:hAnsi="宋体"/>
          <w:sz w:val="28"/>
          <w:szCs w:val="28"/>
          <w:highlight w:val="none"/>
        </w:rPr>
        <w:t>文件</w:t>
      </w:r>
      <w:r>
        <w:rPr>
          <w:rFonts w:hint="eastAsia" w:ascii="宋体" w:hAnsi="宋体"/>
          <w:sz w:val="28"/>
          <w:szCs w:val="28"/>
          <w:highlight w:val="none"/>
        </w:rPr>
        <w:t>应当</w:t>
      </w:r>
      <w:r>
        <w:rPr>
          <w:rFonts w:ascii="宋体" w:hAnsi="宋体"/>
          <w:sz w:val="28"/>
          <w:szCs w:val="28"/>
          <w:highlight w:val="none"/>
        </w:rPr>
        <w:t>工整、规范、统一、清晰，采用A4幅面纸</w:t>
      </w:r>
      <w:r>
        <w:rPr>
          <w:rFonts w:hint="eastAsia" w:ascii="宋体" w:hAnsi="宋体"/>
          <w:sz w:val="28"/>
          <w:szCs w:val="28"/>
          <w:highlight w:val="none"/>
        </w:rPr>
        <w:t>打印，页面不可抽取，不得有活页。商务技术文件和资格证明文件</w:t>
      </w:r>
      <w:r>
        <w:rPr>
          <w:rFonts w:hint="eastAsia" w:ascii="宋体" w:hAnsi="宋体"/>
          <w:bCs/>
          <w:sz w:val="28"/>
          <w:szCs w:val="28"/>
          <w:highlight w:val="none"/>
          <w:lang w:val="zh-CN"/>
        </w:rPr>
        <w:t>应当</w:t>
      </w:r>
      <w:r>
        <w:rPr>
          <w:rFonts w:ascii="宋体" w:hAnsi="宋体"/>
          <w:sz w:val="28"/>
          <w:szCs w:val="28"/>
          <w:highlight w:val="none"/>
        </w:rPr>
        <w:t>胶装成册</w:t>
      </w:r>
      <w:r>
        <w:rPr>
          <w:rFonts w:hint="eastAsia" w:ascii="宋体" w:hAnsi="宋体"/>
          <w:sz w:val="28"/>
          <w:szCs w:val="28"/>
          <w:highlight w:val="none"/>
        </w:rPr>
        <w:t>；价格文件纸张在</w:t>
      </w:r>
      <w:r>
        <w:rPr>
          <w:rFonts w:ascii="宋体" w:hAnsi="宋体"/>
          <w:sz w:val="28"/>
          <w:szCs w:val="28"/>
          <w:highlight w:val="none"/>
        </w:rPr>
        <w:t>10</w:t>
      </w:r>
      <w:r>
        <w:rPr>
          <w:rFonts w:hint="eastAsia" w:ascii="宋体" w:hAnsi="宋体"/>
          <w:sz w:val="28"/>
          <w:szCs w:val="28"/>
          <w:highlight w:val="none"/>
        </w:rPr>
        <w:t>张以上的也应当</w:t>
      </w:r>
      <w:r>
        <w:rPr>
          <w:rFonts w:ascii="宋体" w:hAnsi="宋体"/>
          <w:sz w:val="28"/>
          <w:szCs w:val="28"/>
          <w:highlight w:val="none"/>
        </w:rPr>
        <w:t>胶装成册</w:t>
      </w:r>
      <w:r>
        <w:rPr>
          <w:rFonts w:hint="eastAsia" w:ascii="宋体" w:hAnsi="宋体"/>
          <w:sz w:val="28"/>
          <w:szCs w:val="28"/>
          <w:highlight w:val="none"/>
        </w:rPr>
        <w:t>，不足</w:t>
      </w:r>
      <w:r>
        <w:rPr>
          <w:rFonts w:ascii="宋体" w:hAnsi="宋体"/>
          <w:sz w:val="28"/>
          <w:szCs w:val="28"/>
          <w:highlight w:val="none"/>
        </w:rPr>
        <w:t>10</w:t>
      </w:r>
      <w:r>
        <w:rPr>
          <w:rFonts w:hint="eastAsia" w:ascii="宋体" w:hAnsi="宋体"/>
          <w:sz w:val="28"/>
          <w:szCs w:val="28"/>
          <w:highlight w:val="none"/>
        </w:rPr>
        <w:t>张的应当装订</w:t>
      </w:r>
      <w:r>
        <w:rPr>
          <w:rFonts w:hint="eastAsia" w:ascii="宋体" w:hAnsi="宋体"/>
          <w:bCs/>
          <w:sz w:val="28"/>
          <w:szCs w:val="28"/>
          <w:highlight w:val="none"/>
          <w:lang w:val="zh-CN"/>
        </w:rPr>
        <w:t>或胶装成册</w:t>
      </w:r>
      <w:r>
        <w:rPr>
          <w:rFonts w:hint="eastAsia" w:ascii="宋体" w:hAnsi="宋体"/>
          <w:sz w:val="28"/>
          <w:szCs w:val="28"/>
          <w:highlight w:val="none"/>
        </w:rPr>
        <w:t>。</w:t>
      </w:r>
    </w:p>
    <w:p w14:paraId="141736B8">
      <w:pPr>
        <w:spacing w:line="560" w:lineRule="exact"/>
        <w:ind w:firstLine="560" w:firstLineChars="200"/>
        <w:rPr>
          <w:rFonts w:ascii="宋体" w:hAnsi="宋体"/>
          <w:sz w:val="28"/>
          <w:szCs w:val="28"/>
          <w:highlight w:val="none"/>
        </w:rPr>
      </w:pPr>
      <w:r>
        <w:rPr>
          <w:rFonts w:ascii="宋体" w:hAnsi="宋体"/>
          <w:sz w:val="28"/>
          <w:szCs w:val="28"/>
          <w:highlight w:val="none"/>
        </w:rPr>
        <w:t>14.3</w:t>
      </w:r>
      <w:r>
        <w:rPr>
          <w:rFonts w:hint="eastAsia" w:ascii="宋体" w:hAnsi="宋体"/>
          <w:sz w:val="28"/>
          <w:szCs w:val="28"/>
          <w:highlight w:val="none"/>
        </w:rPr>
        <w:t>报价</w:t>
      </w:r>
      <w:r>
        <w:rPr>
          <w:rFonts w:ascii="宋体" w:hAnsi="宋体"/>
          <w:sz w:val="28"/>
          <w:szCs w:val="28"/>
          <w:highlight w:val="none"/>
        </w:rPr>
        <w:t>文件</w:t>
      </w:r>
      <w:r>
        <w:rPr>
          <w:rFonts w:hint="eastAsia" w:ascii="宋体" w:hAnsi="宋体"/>
          <w:sz w:val="28"/>
          <w:szCs w:val="28"/>
          <w:highlight w:val="none"/>
        </w:rPr>
        <w:t>应当</w:t>
      </w:r>
      <w:r>
        <w:rPr>
          <w:rFonts w:ascii="宋体" w:hAnsi="宋体"/>
          <w:sz w:val="28"/>
          <w:szCs w:val="28"/>
          <w:highlight w:val="none"/>
        </w:rPr>
        <w:t>打印或用黑色、蓝黑色墨水填写。</w:t>
      </w:r>
    </w:p>
    <w:p w14:paraId="7044D09C">
      <w:pPr>
        <w:spacing w:line="560" w:lineRule="exact"/>
        <w:ind w:firstLine="560" w:firstLineChars="200"/>
        <w:rPr>
          <w:rFonts w:ascii="宋体" w:hAnsi="宋体"/>
          <w:bCs/>
          <w:sz w:val="28"/>
          <w:szCs w:val="28"/>
          <w:highlight w:val="none"/>
          <w:lang w:val="zh-CN"/>
        </w:rPr>
      </w:pPr>
      <w:r>
        <w:rPr>
          <w:rFonts w:ascii="宋体" w:hAnsi="宋体"/>
          <w:sz w:val="28"/>
          <w:szCs w:val="28"/>
          <w:highlight w:val="none"/>
        </w:rPr>
        <w:t>14.4</w:t>
      </w:r>
      <w:r>
        <w:rPr>
          <w:rFonts w:hint="eastAsia" w:ascii="宋体" w:hAnsi="宋体"/>
          <w:bCs/>
          <w:sz w:val="28"/>
          <w:szCs w:val="28"/>
          <w:highlight w:val="none"/>
          <w:lang w:val="zh-CN"/>
        </w:rPr>
        <w:t>报价</w:t>
      </w:r>
      <w:r>
        <w:rPr>
          <w:rFonts w:ascii="宋体" w:hAnsi="宋体"/>
          <w:bCs/>
          <w:sz w:val="28"/>
          <w:szCs w:val="28"/>
          <w:highlight w:val="none"/>
          <w:lang w:val="zh-CN"/>
        </w:rPr>
        <w:t>一览表</w:t>
      </w:r>
      <w:r>
        <w:rPr>
          <w:rFonts w:hint="eastAsia" w:ascii="宋体" w:hAnsi="宋体"/>
          <w:bCs/>
          <w:sz w:val="28"/>
          <w:szCs w:val="28"/>
          <w:highlight w:val="none"/>
          <w:lang w:val="zh-CN"/>
        </w:rPr>
        <w:t>表格</w:t>
      </w:r>
      <w:r>
        <w:rPr>
          <w:rFonts w:hint="eastAsia" w:ascii="宋体" w:hAnsi="宋体"/>
          <w:sz w:val="28"/>
          <w:szCs w:val="28"/>
          <w:highlight w:val="none"/>
        </w:rPr>
        <w:t>应当</w:t>
      </w:r>
      <w:r>
        <w:rPr>
          <w:rFonts w:ascii="宋体" w:hAnsi="宋体"/>
          <w:bCs/>
          <w:sz w:val="28"/>
          <w:szCs w:val="28"/>
          <w:highlight w:val="none"/>
          <w:lang w:val="zh-CN"/>
        </w:rPr>
        <w:t>按照规定的</w:t>
      </w:r>
      <w:r>
        <w:rPr>
          <w:rFonts w:hint="eastAsia" w:ascii="宋体" w:hAnsi="宋体"/>
          <w:bCs/>
          <w:sz w:val="28"/>
          <w:szCs w:val="28"/>
          <w:highlight w:val="none"/>
          <w:lang w:val="zh-CN"/>
        </w:rPr>
        <w:t>要素</w:t>
      </w:r>
      <w:r>
        <w:rPr>
          <w:rFonts w:ascii="宋体" w:hAnsi="宋体"/>
          <w:bCs/>
          <w:sz w:val="28"/>
          <w:szCs w:val="28"/>
          <w:highlight w:val="none"/>
          <w:lang w:val="zh-CN"/>
        </w:rPr>
        <w:t>填写，</w:t>
      </w:r>
      <w:r>
        <w:rPr>
          <w:rFonts w:hint="eastAsia" w:ascii="宋体" w:hAnsi="宋体"/>
          <w:bCs/>
          <w:sz w:val="28"/>
          <w:szCs w:val="28"/>
          <w:highlight w:val="none"/>
          <w:lang w:val="zh-CN"/>
        </w:rPr>
        <w:t>其中：</w:t>
      </w:r>
    </w:p>
    <w:p w14:paraId="469EF394">
      <w:pPr>
        <w:adjustRightInd w:val="0"/>
        <w:snapToGrid w:val="0"/>
        <w:spacing w:line="560" w:lineRule="exact"/>
        <w:ind w:firstLine="560" w:firstLineChars="200"/>
        <w:rPr>
          <w:rFonts w:ascii="宋体" w:hAnsi="宋体"/>
          <w:bCs/>
          <w:sz w:val="28"/>
          <w:szCs w:val="28"/>
          <w:highlight w:val="none"/>
          <w:lang w:val="zh-CN"/>
        </w:rPr>
      </w:pPr>
      <w:r>
        <w:rPr>
          <w:rFonts w:hint="eastAsia" w:ascii="宋体" w:hAnsi="宋体"/>
          <w:bCs/>
          <w:sz w:val="28"/>
          <w:szCs w:val="28"/>
          <w:highlight w:val="none"/>
          <w:lang w:val="zh-CN"/>
        </w:rPr>
        <w:t>（1）表格各列不得自行增减，不得调整顺序。</w:t>
      </w:r>
    </w:p>
    <w:p w14:paraId="100ABB6C">
      <w:pPr>
        <w:adjustRightInd w:val="0"/>
        <w:snapToGrid w:val="0"/>
        <w:spacing w:line="560" w:lineRule="exact"/>
        <w:ind w:firstLine="560" w:firstLineChars="200"/>
        <w:rPr>
          <w:rFonts w:ascii="宋体" w:hAnsi="宋体"/>
          <w:bCs/>
          <w:sz w:val="28"/>
          <w:szCs w:val="28"/>
          <w:highlight w:val="none"/>
          <w:lang w:val="zh-CN"/>
        </w:rPr>
      </w:pPr>
      <w:r>
        <w:rPr>
          <w:rFonts w:hint="eastAsia" w:ascii="宋体" w:hAnsi="宋体"/>
          <w:bCs/>
          <w:sz w:val="28"/>
          <w:szCs w:val="28"/>
          <w:highlight w:val="none"/>
          <w:lang w:val="zh-CN"/>
        </w:rPr>
        <w:t>（2）谈判文件已经明确物资明细的，应当严格按照明确的物资名称填写各行内容，不得自行增减，调整顺序的不影响报价有效性；未明确物资明细的，自行填写各行内容，应当包含所投所有物资。</w:t>
      </w:r>
    </w:p>
    <w:p w14:paraId="327EEC16">
      <w:pPr>
        <w:adjustRightInd w:val="0"/>
        <w:snapToGrid w:val="0"/>
        <w:spacing w:line="560" w:lineRule="exact"/>
        <w:ind w:firstLine="560" w:firstLineChars="200"/>
        <w:rPr>
          <w:rFonts w:ascii="宋体" w:hAnsi="宋体"/>
          <w:bCs/>
          <w:sz w:val="28"/>
          <w:szCs w:val="28"/>
          <w:highlight w:val="none"/>
          <w:lang w:val="zh-CN"/>
        </w:rPr>
      </w:pPr>
      <w:r>
        <w:rPr>
          <w:rFonts w:hint="eastAsia" w:ascii="宋体" w:hAnsi="宋体"/>
          <w:bCs/>
          <w:sz w:val="28"/>
          <w:szCs w:val="28"/>
          <w:highlight w:val="none"/>
          <w:lang w:val="zh-CN"/>
        </w:rPr>
        <w:t>（3）单元格内容相同的，可以合并。</w:t>
      </w:r>
    </w:p>
    <w:p w14:paraId="2C43B9A8">
      <w:pPr>
        <w:adjustRightInd w:val="0"/>
        <w:snapToGrid w:val="0"/>
        <w:spacing w:line="560" w:lineRule="exact"/>
        <w:ind w:firstLine="560" w:firstLineChars="200"/>
        <w:rPr>
          <w:rFonts w:asciiTheme="minorEastAsia" w:hAnsiTheme="minorEastAsia" w:eastAsiaTheme="minorEastAsia"/>
          <w:bCs/>
          <w:sz w:val="28"/>
          <w:szCs w:val="28"/>
          <w:highlight w:val="none"/>
        </w:rPr>
      </w:pPr>
      <w:r>
        <w:rPr>
          <w:rFonts w:hint="eastAsia" w:ascii="宋体" w:hAnsi="宋体"/>
          <w:sz w:val="28"/>
          <w:szCs w:val="28"/>
          <w:highlight w:val="none"/>
          <w:lang w:val="zh-CN"/>
        </w:rPr>
        <w:t>（</w:t>
      </w:r>
      <w:r>
        <w:rPr>
          <w:rFonts w:ascii="宋体" w:hAnsi="宋体"/>
          <w:sz w:val="28"/>
          <w:szCs w:val="28"/>
          <w:highlight w:val="none"/>
          <w:lang w:val="zh-CN"/>
        </w:rPr>
        <w:t>4</w:t>
      </w:r>
      <w:r>
        <w:rPr>
          <w:rFonts w:hint="eastAsia" w:ascii="宋体" w:hAnsi="宋体"/>
          <w:sz w:val="28"/>
          <w:szCs w:val="28"/>
          <w:highlight w:val="none"/>
          <w:lang w:val="zh-CN"/>
        </w:rPr>
        <w:t>）不得增加附件。</w:t>
      </w:r>
    </w:p>
    <w:p w14:paraId="68AD5EAE">
      <w:pPr>
        <w:adjustRightInd w:val="0"/>
        <w:snapToGrid w:val="0"/>
        <w:spacing w:line="560" w:lineRule="exact"/>
        <w:ind w:firstLine="560" w:firstLineChars="200"/>
        <w:rPr>
          <w:rFonts w:asciiTheme="minorEastAsia" w:hAnsiTheme="minorEastAsia" w:eastAsiaTheme="minorEastAsia"/>
          <w:bCs/>
          <w:sz w:val="28"/>
          <w:szCs w:val="28"/>
          <w:highlight w:val="none"/>
        </w:rPr>
      </w:pPr>
      <w:r>
        <w:rPr>
          <w:rFonts w:ascii="宋体" w:hAnsi="宋体"/>
          <w:bCs/>
          <w:sz w:val="28"/>
          <w:szCs w:val="28"/>
          <w:highlight w:val="none"/>
        </w:rPr>
        <w:t>14.5</w:t>
      </w:r>
      <w:r>
        <w:rPr>
          <w:rFonts w:hint="eastAsia" w:asciiTheme="minorEastAsia" w:hAnsiTheme="minorEastAsia" w:eastAsiaTheme="minorEastAsia"/>
          <w:bCs/>
          <w:sz w:val="28"/>
          <w:szCs w:val="28"/>
          <w:highlight w:val="none"/>
        </w:rPr>
        <w:t>报价文件正本应当打印，并按照谈判文件规定，应当盖章处加</w:t>
      </w:r>
      <w:r>
        <w:rPr>
          <w:rFonts w:hint="eastAsia" w:ascii="宋体" w:hAnsi="宋体"/>
          <w:bCs/>
          <w:sz w:val="28"/>
          <w:szCs w:val="28"/>
          <w:highlight w:val="none"/>
        </w:rPr>
        <w:t>盖报价供应商公章，</w:t>
      </w:r>
      <w:r>
        <w:rPr>
          <w:rFonts w:hint="eastAsia" w:asciiTheme="minorEastAsia" w:hAnsiTheme="minorEastAsia" w:eastAsiaTheme="minorEastAsia"/>
          <w:bCs/>
          <w:sz w:val="28"/>
          <w:szCs w:val="28"/>
          <w:highlight w:val="none"/>
        </w:rPr>
        <w:t>应当签字处由报价供应商代表签字。</w:t>
      </w:r>
      <w:r>
        <w:rPr>
          <w:rFonts w:hint="eastAsia" w:ascii="宋体" w:hAnsi="宋体"/>
          <w:bCs/>
          <w:sz w:val="28"/>
          <w:szCs w:val="28"/>
          <w:highlight w:val="none"/>
        </w:rPr>
        <w:t>由报价供应商的法定代表人签字的，应当附法定代表人身份证明；报价</w:t>
      </w:r>
      <w:r>
        <w:rPr>
          <w:rFonts w:hint="eastAsia" w:asciiTheme="minorEastAsia" w:hAnsiTheme="minorEastAsia" w:eastAsiaTheme="minorEastAsia"/>
          <w:bCs/>
          <w:sz w:val="28"/>
          <w:szCs w:val="28"/>
          <w:highlight w:val="none"/>
        </w:rPr>
        <w:t>供应商代表不是报价供应商的法定代表人的，应当提供法定代表人授权委托书。报价文件的副本可以是正本已盖章和签字文件的复印件。报价文件的正本与副本应当分别装订成册。</w:t>
      </w:r>
    </w:p>
    <w:p w14:paraId="3B80A509">
      <w:pPr>
        <w:adjustRightInd w:val="0"/>
        <w:snapToGrid w:val="0"/>
        <w:spacing w:line="560" w:lineRule="exact"/>
        <w:ind w:firstLine="560" w:firstLineChars="200"/>
        <w:rPr>
          <w:rFonts w:ascii="宋体" w:hAnsi="宋体"/>
          <w:bCs/>
          <w:sz w:val="28"/>
          <w:szCs w:val="28"/>
          <w:highlight w:val="none"/>
        </w:rPr>
      </w:pPr>
      <w:r>
        <w:rPr>
          <w:rFonts w:ascii="宋体" w:hAnsi="宋体"/>
          <w:bCs/>
          <w:sz w:val="28"/>
          <w:szCs w:val="28"/>
          <w:highlight w:val="none"/>
        </w:rPr>
        <w:t>14.6</w:t>
      </w:r>
      <w:r>
        <w:rPr>
          <w:rFonts w:hint="eastAsia" w:ascii="宋体" w:hAnsi="宋体"/>
          <w:bCs/>
          <w:sz w:val="28"/>
          <w:szCs w:val="28"/>
          <w:highlight w:val="none"/>
        </w:rPr>
        <w:t>报价</w:t>
      </w:r>
      <w:r>
        <w:rPr>
          <w:rFonts w:hint="eastAsia" w:ascii="宋体" w:hAnsi="宋体"/>
          <w:bCs/>
          <w:sz w:val="28"/>
          <w:szCs w:val="28"/>
          <w:highlight w:val="none"/>
          <w:lang w:val="zh-CN"/>
        </w:rPr>
        <w:t>供应商应当提交</w:t>
      </w:r>
      <w:r>
        <w:rPr>
          <w:rFonts w:hint="eastAsia" w:ascii="宋体" w:hAnsi="宋体"/>
          <w:bCs/>
          <w:sz w:val="28"/>
          <w:szCs w:val="28"/>
          <w:highlight w:val="none"/>
        </w:rPr>
        <w:t>报价文件正本一份，副本、电子版份数见</w:t>
      </w:r>
      <w:r>
        <w:rPr>
          <w:rFonts w:hint="eastAsia" w:ascii="宋体" w:hAnsi="宋体"/>
          <w:bCs/>
          <w:sz w:val="28"/>
          <w:szCs w:val="28"/>
          <w:highlight w:val="none"/>
          <w:lang w:val="zh-CN"/>
        </w:rPr>
        <w:t>【</w:t>
      </w:r>
      <w:r>
        <w:rPr>
          <w:rFonts w:hint="eastAsia" w:asciiTheme="minorEastAsia" w:hAnsiTheme="minorEastAsia" w:eastAsiaTheme="minorEastAsia"/>
          <w:bCs/>
          <w:sz w:val="28"/>
          <w:szCs w:val="28"/>
          <w:highlight w:val="none"/>
        </w:rPr>
        <w:t>报价供应商</w:t>
      </w:r>
      <w:r>
        <w:rPr>
          <w:rFonts w:hint="eastAsia" w:ascii="宋体" w:hAnsi="宋体"/>
          <w:bCs/>
          <w:sz w:val="28"/>
          <w:szCs w:val="28"/>
          <w:highlight w:val="none"/>
          <w:lang w:val="zh-CN"/>
        </w:rPr>
        <w:t>须知前附表】</w:t>
      </w:r>
      <w:r>
        <w:rPr>
          <w:rFonts w:hint="eastAsia" w:ascii="宋体" w:hAnsi="宋体"/>
          <w:bCs/>
          <w:sz w:val="28"/>
          <w:szCs w:val="28"/>
          <w:highlight w:val="none"/>
        </w:rPr>
        <w:t>。报价文件正本和副本的封面右上角上应当清楚标记“正本”或“副本”字样。当副本和正本不一致或电子版文件与纸质正本文件不一致时，以纸质正本文件为准。</w:t>
      </w:r>
    </w:p>
    <w:p w14:paraId="0361B6AE">
      <w:pPr>
        <w:adjustRightInd w:val="0"/>
        <w:snapToGrid w:val="0"/>
        <w:spacing w:line="560" w:lineRule="exact"/>
        <w:ind w:firstLine="560" w:firstLineChars="200"/>
        <w:rPr>
          <w:rFonts w:ascii="宋体" w:hAnsi="宋体"/>
          <w:bCs/>
          <w:sz w:val="28"/>
          <w:szCs w:val="28"/>
          <w:highlight w:val="none"/>
          <w:lang w:val="zh-CN"/>
        </w:rPr>
      </w:pPr>
      <w:r>
        <w:rPr>
          <w:rFonts w:hint="eastAsia" w:asciiTheme="minorEastAsia" w:hAnsiTheme="minorEastAsia" w:eastAsiaTheme="minorEastAsia"/>
          <w:bCs/>
          <w:sz w:val="28"/>
          <w:szCs w:val="28"/>
          <w:highlight w:val="none"/>
        </w:rPr>
        <w:t>1</w:t>
      </w:r>
      <w:r>
        <w:rPr>
          <w:rFonts w:asciiTheme="minorEastAsia" w:hAnsiTheme="minorEastAsia" w:eastAsiaTheme="minorEastAsia"/>
          <w:bCs/>
          <w:sz w:val="28"/>
          <w:szCs w:val="28"/>
          <w:highlight w:val="none"/>
        </w:rPr>
        <w:t>4.7</w:t>
      </w:r>
      <w:r>
        <w:rPr>
          <w:rFonts w:hint="eastAsia" w:ascii="宋体" w:hAnsi="宋体"/>
          <w:bCs/>
          <w:sz w:val="28"/>
          <w:szCs w:val="28"/>
          <w:highlight w:val="none"/>
          <w:lang w:val="zh-CN"/>
        </w:rPr>
        <w:t>电子版报价文件提交要求：</w:t>
      </w:r>
    </w:p>
    <w:p w14:paraId="7B6F0B61">
      <w:pPr>
        <w:adjustRightInd w:val="0"/>
        <w:snapToGrid w:val="0"/>
        <w:spacing w:line="560" w:lineRule="exact"/>
        <w:ind w:firstLine="560" w:firstLineChars="200"/>
        <w:rPr>
          <w:rFonts w:ascii="宋体" w:hAnsi="宋体"/>
          <w:bCs/>
          <w:sz w:val="28"/>
          <w:szCs w:val="28"/>
          <w:highlight w:val="none"/>
          <w:lang w:val="zh-CN"/>
        </w:rPr>
      </w:pPr>
      <w:r>
        <w:rPr>
          <w:rFonts w:hint="eastAsia" w:ascii="宋体" w:hAnsi="宋体"/>
          <w:bCs/>
          <w:sz w:val="28"/>
          <w:szCs w:val="28"/>
          <w:highlight w:val="none"/>
          <w:lang w:val="zh-CN"/>
        </w:rPr>
        <w:t>（1）电子版报价文件必须采用光盘刻录；</w:t>
      </w:r>
    </w:p>
    <w:p w14:paraId="0CF63291">
      <w:pPr>
        <w:adjustRightInd w:val="0"/>
        <w:snapToGrid w:val="0"/>
        <w:spacing w:line="560" w:lineRule="exact"/>
        <w:ind w:firstLine="560" w:firstLineChars="200"/>
        <w:rPr>
          <w:rFonts w:ascii="宋体" w:hAnsi="宋体"/>
          <w:bCs/>
          <w:sz w:val="28"/>
          <w:szCs w:val="28"/>
          <w:highlight w:val="none"/>
          <w:lang w:val="zh-CN"/>
        </w:rPr>
      </w:pPr>
      <w:r>
        <w:rPr>
          <w:rFonts w:hint="eastAsia" w:ascii="宋体" w:hAnsi="宋体"/>
          <w:bCs/>
          <w:sz w:val="28"/>
          <w:szCs w:val="28"/>
          <w:highlight w:val="none"/>
          <w:lang w:val="zh-CN"/>
        </w:rPr>
        <w:t>（2）光盘应加贴标签，注明“项目名称、项目编号、包号、报价供应商名称”，每包单独密封；</w:t>
      </w:r>
    </w:p>
    <w:p w14:paraId="4FB73FB2">
      <w:pPr>
        <w:adjustRightInd w:val="0"/>
        <w:snapToGrid w:val="0"/>
        <w:spacing w:line="560" w:lineRule="exact"/>
        <w:ind w:firstLine="560" w:firstLineChars="200"/>
        <w:rPr>
          <w:rFonts w:asciiTheme="minorEastAsia" w:hAnsiTheme="minorEastAsia" w:eastAsiaTheme="minorEastAsia"/>
          <w:bCs/>
          <w:sz w:val="28"/>
          <w:szCs w:val="28"/>
          <w:highlight w:val="none"/>
        </w:rPr>
      </w:pPr>
      <w:r>
        <w:rPr>
          <w:rFonts w:hint="eastAsia" w:ascii="宋体" w:hAnsi="宋体"/>
          <w:bCs/>
          <w:sz w:val="28"/>
          <w:szCs w:val="28"/>
          <w:highlight w:val="none"/>
          <w:lang w:val="zh-CN"/>
        </w:rPr>
        <w:t>（3）电子版报价文件为纸质价格文件、商务技术文件、资格证明文件正本的PDF格式和DOC格式文档，目录与相应内容具有链接索引功能，文件名格式：“第X包-项目名称-报价供应商名称”。</w:t>
      </w:r>
    </w:p>
    <w:p w14:paraId="4360B117">
      <w:pPr>
        <w:adjustRightInd w:val="0"/>
        <w:snapToGrid w:val="0"/>
        <w:spacing w:line="560" w:lineRule="exact"/>
        <w:ind w:firstLine="560" w:firstLineChars="200"/>
        <w:rPr>
          <w:rFonts w:asciiTheme="minorEastAsia" w:hAnsiTheme="minorEastAsia" w:eastAsiaTheme="minorEastAsia"/>
          <w:bCs/>
          <w:sz w:val="28"/>
          <w:szCs w:val="28"/>
          <w:highlight w:val="none"/>
        </w:rPr>
      </w:pPr>
      <w:r>
        <w:rPr>
          <w:rFonts w:asciiTheme="minorEastAsia" w:hAnsiTheme="minorEastAsia" w:eastAsiaTheme="minorEastAsia"/>
          <w:bCs/>
          <w:sz w:val="28"/>
          <w:szCs w:val="28"/>
          <w:highlight w:val="none"/>
        </w:rPr>
        <w:t>14</w:t>
      </w:r>
      <w:r>
        <w:rPr>
          <w:rFonts w:hint="eastAsia" w:asciiTheme="minorEastAsia" w:hAnsiTheme="minorEastAsia" w:eastAsiaTheme="minorEastAsia"/>
          <w:bCs/>
          <w:sz w:val="28"/>
          <w:szCs w:val="28"/>
          <w:highlight w:val="none"/>
        </w:rPr>
        <w:t>.</w:t>
      </w:r>
      <w:r>
        <w:rPr>
          <w:rFonts w:asciiTheme="minorEastAsia" w:hAnsiTheme="minorEastAsia" w:eastAsiaTheme="minorEastAsia"/>
          <w:bCs/>
          <w:sz w:val="28"/>
          <w:szCs w:val="28"/>
          <w:highlight w:val="none"/>
        </w:rPr>
        <w:t>8</w:t>
      </w:r>
      <w:r>
        <w:rPr>
          <w:rFonts w:hint="eastAsia" w:asciiTheme="minorEastAsia" w:hAnsiTheme="minorEastAsia" w:eastAsiaTheme="minorEastAsia"/>
          <w:bCs/>
          <w:sz w:val="28"/>
          <w:szCs w:val="28"/>
          <w:highlight w:val="none"/>
        </w:rPr>
        <w:t>报价文件正本应当加盖骑缝章</w:t>
      </w:r>
      <w:r>
        <w:rPr>
          <w:rFonts w:hint="eastAsia" w:ascii="宋体" w:hAnsi="宋体"/>
          <w:bCs/>
          <w:sz w:val="28"/>
          <w:szCs w:val="28"/>
          <w:highlight w:val="none"/>
          <w:lang w:val="zh-CN"/>
        </w:rPr>
        <w:t>（每页均加盖公章的，可以不盖骑缝章）</w:t>
      </w:r>
      <w:r>
        <w:rPr>
          <w:rFonts w:hint="eastAsia" w:asciiTheme="minorEastAsia" w:hAnsiTheme="minorEastAsia" w:eastAsiaTheme="minorEastAsia"/>
          <w:bCs/>
          <w:sz w:val="28"/>
          <w:szCs w:val="28"/>
          <w:highlight w:val="none"/>
        </w:rPr>
        <w:t>，不得随意涂改和增删。如有修改错漏之处，应当由法定代表人或授权代表签字。</w:t>
      </w:r>
    </w:p>
    <w:p w14:paraId="217FDEA3">
      <w:pPr>
        <w:pStyle w:val="6"/>
        <w:keepNext w:val="0"/>
        <w:keepLines w:val="0"/>
        <w:adjustRightInd w:val="0"/>
        <w:snapToGrid w:val="0"/>
        <w:spacing w:before="0" w:after="0" w:line="560" w:lineRule="exact"/>
        <w:ind w:firstLine="560" w:firstLineChars="200"/>
        <w:rPr>
          <w:rFonts w:ascii="黑体" w:hAnsi="黑体"/>
          <w:b w:val="0"/>
          <w:highlight w:val="none"/>
        </w:rPr>
      </w:pPr>
      <w:bookmarkStart w:id="164" w:name="_Toc21035"/>
      <w:bookmarkStart w:id="165" w:name="_Toc545"/>
      <w:bookmarkStart w:id="166" w:name="_Toc30409"/>
      <w:bookmarkStart w:id="167" w:name="_Toc13302"/>
      <w:bookmarkStart w:id="168" w:name="_Toc11908"/>
      <w:bookmarkStart w:id="169" w:name="_Toc112768397"/>
      <w:r>
        <w:rPr>
          <w:rFonts w:ascii="黑体" w:hAnsi="黑体"/>
          <w:b w:val="0"/>
          <w:highlight w:val="none"/>
        </w:rPr>
        <w:t>15.</w:t>
      </w:r>
      <w:r>
        <w:rPr>
          <w:rFonts w:hint="eastAsia" w:ascii="黑体" w:hAnsi="黑体"/>
          <w:b w:val="0"/>
          <w:highlight w:val="none"/>
        </w:rPr>
        <w:t>报价有效期</w:t>
      </w:r>
      <w:bookmarkEnd w:id="164"/>
      <w:bookmarkEnd w:id="165"/>
      <w:bookmarkEnd w:id="166"/>
      <w:bookmarkEnd w:id="167"/>
      <w:bookmarkEnd w:id="168"/>
      <w:bookmarkEnd w:id="169"/>
    </w:p>
    <w:p w14:paraId="08E41482">
      <w:pPr>
        <w:adjustRightInd w:val="0"/>
        <w:snapToGrid w:val="0"/>
        <w:spacing w:line="560" w:lineRule="exact"/>
        <w:ind w:firstLine="560" w:firstLineChars="200"/>
        <w:rPr>
          <w:rFonts w:ascii="宋体" w:hAnsi="宋体"/>
          <w:bCs/>
          <w:sz w:val="28"/>
          <w:szCs w:val="28"/>
          <w:highlight w:val="none"/>
          <w:lang w:val="zh-CN"/>
        </w:rPr>
      </w:pPr>
      <w:r>
        <w:rPr>
          <w:rFonts w:ascii="宋体" w:hAnsi="宋体"/>
          <w:bCs/>
          <w:sz w:val="28"/>
          <w:szCs w:val="28"/>
          <w:highlight w:val="none"/>
          <w:lang w:val="zh-CN"/>
        </w:rPr>
        <w:t>15.1报价</w:t>
      </w:r>
      <w:r>
        <w:rPr>
          <w:rFonts w:hint="eastAsia" w:ascii="宋体" w:hAnsi="宋体"/>
          <w:bCs/>
          <w:sz w:val="28"/>
          <w:szCs w:val="28"/>
          <w:highlight w:val="none"/>
          <w:lang w:val="zh-CN"/>
        </w:rPr>
        <w:t>有效期从提交报价文件的截止之日起算。报价文件中承诺的谈判有效期应当不少于【</w:t>
      </w:r>
      <w:r>
        <w:rPr>
          <w:rFonts w:hint="eastAsia" w:asciiTheme="minorEastAsia" w:hAnsiTheme="minorEastAsia" w:eastAsiaTheme="minorEastAsia"/>
          <w:bCs/>
          <w:sz w:val="28"/>
          <w:szCs w:val="28"/>
          <w:highlight w:val="none"/>
        </w:rPr>
        <w:t>报价供应商</w:t>
      </w:r>
      <w:r>
        <w:rPr>
          <w:rFonts w:hint="eastAsia" w:ascii="宋体" w:hAnsi="宋体"/>
          <w:bCs/>
          <w:sz w:val="28"/>
          <w:szCs w:val="28"/>
          <w:highlight w:val="none"/>
          <w:lang w:val="zh-CN"/>
        </w:rPr>
        <w:t>须知前附表】中载明的谈判有效期，否则视为无效报价。</w:t>
      </w:r>
    </w:p>
    <w:p w14:paraId="4A8E5722">
      <w:pPr>
        <w:adjustRightInd w:val="0"/>
        <w:snapToGrid w:val="0"/>
        <w:spacing w:line="560" w:lineRule="exact"/>
        <w:ind w:firstLine="560" w:firstLineChars="200"/>
        <w:rPr>
          <w:rFonts w:ascii="宋体" w:hAnsi="宋体"/>
          <w:bCs/>
          <w:sz w:val="28"/>
          <w:szCs w:val="28"/>
          <w:highlight w:val="none"/>
        </w:rPr>
      </w:pPr>
      <w:r>
        <w:rPr>
          <w:rFonts w:ascii="宋体" w:hAnsi="宋体"/>
          <w:bCs/>
          <w:sz w:val="28"/>
          <w:szCs w:val="28"/>
          <w:highlight w:val="none"/>
          <w:lang w:val="zh-CN"/>
        </w:rPr>
        <w:t>15.2报价有效期需要延长的，采购机构可与</w:t>
      </w:r>
      <w:r>
        <w:rPr>
          <w:rFonts w:hint="eastAsia" w:ascii="宋体" w:hAnsi="宋体"/>
          <w:bCs/>
          <w:sz w:val="28"/>
          <w:szCs w:val="28"/>
          <w:highlight w:val="none"/>
          <w:lang w:val="zh-CN"/>
        </w:rPr>
        <w:t>报价</w:t>
      </w:r>
      <w:r>
        <w:rPr>
          <w:rFonts w:ascii="宋体" w:hAnsi="宋体"/>
          <w:bCs/>
          <w:sz w:val="28"/>
          <w:szCs w:val="28"/>
          <w:highlight w:val="none"/>
          <w:lang w:val="zh-CN"/>
        </w:rPr>
        <w:t>供应商进行协商，并以书面形式确认，谈判保证金有效期相应延长。</w:t>
      </w:r>
      <w:r>
        <w:rPr>
          <w:rFonts w:hint="eastAsia" w:ascii="宋体" w:hAnsi="宋体"/>
          <w:bCs/>
          <w:sz w:val="28"/>
          <w:szCs w:val="28"/>
          <w:highlight w:val="none"/>
          <w:lang w:val="zh-CN"/>
        </w:rPr>
        <w:t>报价</w:t>
      </w:r>
      <w:r>
        <w:rPr>
          <w:rFonts w:ascii="宋体" w:hAnsi="宋体"/>
          <w:bCs/>
          <w:sz w:val="28"/>
          <w:szCs w:val="28"/>
          <w:highlight w:val="none"/>
          <w:lang w:val="zh-CN"/>
        </w:rPr>
        <w:t>供应商拒绝延长有效期不影响退还谈判保证金。同意延长有效期的</w:t>
      </w:r>
      <w:r>
        <w:rPr>
          <w:rFonts w:hint="eastAsia" w:ascii="宋体" w:hAnsi="宋体"/>
          <w:bCs/>
          <w:sz w:val="28"/>
          <w:szCs w:val="28"/>
          <w:highlight w:val="none"/>
          <w:lang w:val="zh-CN"/>
        </w:rPr>
        <w:t>报价</w:t>
      </w:r>
      <w:r>
        <w:rPr>
          <w:rFonts w:ascii="宋体" w:hAnsi="宋体"/>
          <w:bCs/>
          <w:sz w:val="28"/>
          <w:szCs w:val="28"/>
          <w:highlight w:val="none"/>
          <w:lang w:val="zh-CN"/>
        </w:rPr>
        <w:t>供应商不</w:t>
      </w:r>
      <w:r>
        <w:rPr>
          <w:rFonts w:hint="eastAsia" w:ascii="宋体" w:hAnsi="宋体"/>
          <w:bCs/>
          <w:sz w:val="28"/>
          <w:szCs w:val="28"/>
          <w:highlight w:val="none"/>
          <w:lang w:val="zh-CN"/>
        </w:rPr>
        <w:t>得</w:t>
      </w:r>
      <w:r>
        <w:rPr>
          <w:rFonts w:ascii="宋体" w:hAnsi="宋体"/>
          <w:bCs/>
          <w:sz w:val="28"/>
          <w:szCs w:val="28"/>
          <w:highlight w:val="none"/>
          <w:lang w:val="zh-CN"/>
        </w:rPr>
        <w:t>修改报价文件。</w:t>
      </w:r>
    </w:p>
    <w:p w14:paraId="196FC855">
      <w:pPr>
        <w:pStyle w:val="6"/>
        <w:keepNext w:val="0"/>
        <w:keepLines w:val="0"/>
        <w:adjustRightInd w:val="0"/>
        <w:snapToGrid w:val="0"/>
        <w:spacing w:before="0" w:after="0" w:line="560" w:lineRule="exact"/>
        <w:ind w:firstLine="560" w:firstLineChars="200"/>
        <w:rPr>
          <w:rFonts w:ascii="黑体" w:hAnsi="黑体"/>
          <w:b w:val="0"/>
          <w:highlight w:val="none"/>
        </w:rPr>
      </w:pPr>
      <w:bookmarkStart w:id="170" w:name="_Toc32522"/>
      <w:bookmarkStart w:id="171" w:name="_Toc112768398"/>
      <w:bookmarkStart w:id="172" w:name="_Toc3099"/>
      <w:bookmarkStart w:id="173" w:name="_Toc31206"/>
      <w:bookmarkStart w:id="174" w:name="_Toc9287"/>
      <w:bookmarkStart w:id="175" w:name="_Toc16433"/>
      <w:r>
        <w:rPr>
          <w:rFonts w:ascii="黑体" w:hAnsi="黑体"/>
          <w:b w:val="0"/>
          <w:highlight w:val="none"/>
        </w:rPr>
        <w:t>16.</w:t>
      </w:r>
      <w:r>
        <w:rPr>
          <w:rFonts w:hint="eastAsia" w:ascii="黑体" w:hAnsi="黑体"/>
          <w:b w:val="0"/>
          <w:highlight w:val="none"/>
        </w:rPr>
        <w:t>报价要求</w:t>
      </w:r>
      <w:bookmarkEnd w:id="170"/>
      <w:bookmarkEnd w:id="171"/>
      <w:bookmarkEnd w:id="172"/>
      <w:bookmarkEnd w:id="173"/>
      <w:bookmarkEnd w:id="174"/>
      <w:bookmarkEnd w:id="175"/>
    </w:p>
    <w:p w14:paraId="0E88C515">
      <w:pPr>
        <w:adjustRightInd w:val="0"/>
        <w:snapToGrid w:val="0"/>
        <w:spacing w:line="560" w:lineRule="exact"/>
        <w:ind w:firstLine="560" w:firstLineChars="200"/>
        <w:rPr>
          <w:rFonts w:ascii="宋体" w:hAnsi="宋体"/>
          <w:bCs/>
          <w:sz w:val="28"/>
          <w:szCs w:val="28"/>
          <w:highlight w:val="none"/>
        </w:rPr>
      </w:pPr>
      <w:r>
        <w:rPr>
          <w:rFonts w:ascii="宋体" w:hAnsi="宋体"/>
          <w:bCs/>
          <w:sz w:val="28"/>
          <w:szCs w:val="28"/>
          <w:highlight w:val="none"/>
          <w:lang w:val="zh-CN"/>
        </w:rPr>
        <w:t>16.1所有报价均以人民币为货币单位</w:t>
      </w:r>
      <w:r>
        <w:rPr>
          <w:rFonts w:ascii="宋体" w:hAnsi="宋体"/>
          <w:bCs/>
          <w:sz w:val="28"/>
          <w:szCs w:val="28"/>
          <w:highlight w:val="none"/>
        </w:rPr>
        <w:t>。</w:t>
      </w:r>
    </w:p>
    <w:p w14:paraId="62A2722B">
      <w:pPr>
        <w:adjustRightInd w:val="0"/>
        <w:snapToGrid w:val="0"/>
        <w:spacing w:line="560" w:lineRule="exact"/>
        <w:ind w:firstLine="560" w:firstLineChars="200"/>
        <w:rPr>
          <w:rFonts w:ascii="宋体" w:hAnsi="宋体"/>
          <w:bCs/>
          <w:sz w:val="28"/>
          <w:szCs w:val="28"/>
          <w:highlight w:val="none"/>
          <w:lang w:val="zh-CN"/>
        </w:rPr>
      </w:pPr>
      <w:r>
        <w:rPr>
          <w:rFonts w:ascii="宋体" w:hAnsi="宋体"/>
          <w:bCs/>
          <w:sz w:val="28"/>
          <w:szCs w:val="28"/>
          <w:highlight w:val="none"/>
          <w:lang w:val="zh-CN"/>
        </w:rPr>
        <w:t>16.2所有单价和总价按照</w:t>
      </w:r>
      <w:r>
        <w:rPr>
          <w:rFonts w:hint="eastAsia" w:ascii="宋体" w:hAnsi="宋体"/>
          <w:bCs/>
          <w:sz w:val="28"/>
          <w:szCs w:val="28"/>
          <w:highlight w:val="none"/>
          <w:lang w:val="zh-CN"/>
        </w:rPr>
        <w:t>“报价</w:t>
      </w:r>
      <w:r>
        <w:rPr>
          <w:rFonts w:ascii="宋体" w:hAnsi="宋体"/>
          <w:bCs/>
          <w:sz w:val="28"/>
          <w:szCs w:val="28"/>
          <w:highlight w:val="none"/>
          <w:lang w:val="zh-CN"/>
        </w:rPr>
        <w:t>一览表</w:t>
      </w:r>
      <w:r>
        <w:rPr>
          <w:rFonts w:hint="eastAsia" w:ascii="宋体" w:hAnsi="宋体"/>
          <w:bCs/>
          <w:sz w:val="28"/>
          <w:szCs w:val="28"/>
          <w:highlight w:val="none"/>
          <w:lang w:val="zh-CN"/>
        </w:rPr>
        <w:t>”</w:t>
      </w:r>
      <w:r>
        <w:rPr>
          <w:rFonts w:ascii="宋体" w:hAnsi="宋体"/>
          <w:bCs/>
          <w:sz w:val="28"/>
          <w:szCs w:val="28"/>
          <w:highlight w:val="none"/>
          <w:lang w:val="zh-CN"/>
        </w:rPr>
        <w:t>格式要求填报。</w:t>
      </w:r>
      <w:r>
        <w:rPr>
          <w:rFonts w:ascii="宋体" w:hAnsi="宋体"/>
          <w:bCs/>
          <w:snapToGrid w:val="0"/>
          <w:sz w:val="28"/>
          <w:szCs w:val="28"/>
          <w:highlight w:val="none"/>
          <w:lang w:val="zh-CN"/>
        </w:rPr>
        <w:t>报价应包括货款、标准附件、备品备件、专用工具、包装、安装、调试、培训、保修等费用和税金。</w:t>
      </w:r>
    </w:p>
    <w:p w14:paraId="1292A4A6">
      <w:pPr>
        <w:adjustRightInd w:val="0"/>
        <w:snapToGrid w:val="0"/>
        <w:spacing w:line="560" w:lineRule="exact"/>
        <w:ind w:firstLine="560" w:firstLineChars="200"/>
        <w:rPr>
          <w:rFonts w:ascii="宋体" w:hAnsi="宋体"/>
          <w:bCs/>
          <w:sz w:val="28"/>
          <w:szCs w:val="28"/>
          <w:highlight w:val="none"/>
          <w:lang w:val="zh-CN"/>
        </w:rPr>
      </w:pPr>
      <w:r>
        <w:rPr>
          <w:rFonts w:ascii="宋体" w:hAnsi="宋体"/>
          <w:bCs/>
          <w:sz w:val="28"/>
          <w:szCs w:val="28"/>
          <w:highlight w:val="none"/>
          <w:lang w:val="zh-CN"/>
        </w:rPr>
        <w:t>16.3</w:t>
      </w:r>
      <w:r>
        <w:rPr>
          <w:rFonts w:hint="eastAsia" w:ascii="宋体" w:hAnsi="宋体"/>
          <w:bCs/>
          <w:sz w:val="28"/>
          <w:szCs w:val="28"/>
          <w:highlight w:val="none"/>
          <w:lang w:val="zh-CN"/>
        </w:rPr>
        <w:t>报价</w:t>
      </w:r>
      <w:r>
        <w:rPr>
          <w:rFonts w:ascii="宋体" w:hAnsi="宋体"/>
          <w:bCs/>
          <w:sz w:val="28"/>
          <w:szCs w:val="28"/>
          <w:highlight w:val="none"/>
          <w:lang w:val="zh-CN"/>
        </w:rPr>
        <w:t>供应商</w:t>
      </w:r>
      <w:r>
        <w:rPr>
          <w:rFonts w:ascii="宋体" w:hAnsi="宋体"/>
          <w:bCs/>
          <w:sz w:val="28"/>
          <w:szCs w:val="28"/>
          <w:highlight w:val="none"/>
        </w:rPr>
        <w:t>对同一种物资只允许有</w:t>
      </w:r>
      <w:r>
        <w:rPr>
          <w:rFonts w:hint="eastAsia" w:ascii="宋体" w:hAnsi="宋体"/>
          <w:bCs/>
          <w:sz w:val="28"/>
          <w:szCs w:val="28"/>
          <w:highlight w:val="none"/>
        </w:rPr>
        <w:t>唯一</w:t>
      </w:r>
      <w:r>
        <w:rPr>
          <w:rFonts w:ascii="宋体" w:hAnsi="宋体"/>
          <w:bCs/>
          <w:sz w:val="28"/>
          <w:szCs w:val="28"/>
          <w:highlight w:val="none"/>
        </w:rPr>
        <w:t>报价，任何有选择的报价或有附加条件的报价</w:t>
      </w:r>
      <w:r>
        <w:rPr>
          <w:rFonts w:hint="eastAsia" w:ascii="宋体" w:hAnsi="宋体"/>
          <w:bCs/>
          <w:sz w:val="28"/>
          <w:szCs w:val="28"/>
          <w:highlight w:val="none"/>
        </w:rPr>
        <w:t>，视为无效报价。</w:t>
      </w:r>
    </w:p>
    <w:p w14:paraId="680618F7">
      <w:pPr>
        <w:adjustRightInd w:val="0"/>
        <w:snapToGrid w:val="0"/>
        <w:spacing w:line="560" w:lineRule="exact"/>
        <w:ind w:firstLine="560" w:firstLineChars="200"/>
        <w:rPr>
          <w:rFonts w:ascii="宋体" w:hAnsi="宋体"/>
          <w:bCs/>
          <w:sz w:val="28"/>
          <w:szCs w:val="28"/>
          <w:highlight w:val="none"/>
          <w:lang w:val="zh-CN"/>
        </w:rPr>
      </w:pPr>
      <w:r>
        <w:rPr>
          <w:rFonts w:ascii="宋体" w:hAnsi="宋体"/>
          <w:bCs/>
          <w:sz w:val="28"/>
          <w:szCs w:val="28"/>
          <w:highlight w:val="none"/>
          <w:lang w:val="zh-CN"/>
        </w:rPr>
        <w:t>16.4</w:t>
      </w:r>
      <w:r>
        <w:rPr>
          <w:rFonts w:hint="eastAsia" w:ascii="宋体" w:hAnsi="宋体"/>
          <w:bCs/>
          <w:sz w:val="28"/>
          <w:szCs w:val="28"/>
          <w:highlight w:val="none"/>
          <w:lang w:val="zh-CN"/>
        </w:rPr>
        <w:t>谈判报价的其他要求见【</w:t>
      </w:r>
      <w:r>
        <w:rPr>
          <w:rFonts w:hint="eastAsia" w:asciiTheme="minorEastAsia" w:hAnsiTheme="minorEastAsia" w:eastAsiaTheme="minorEastAsia"/>
          <w:bCs/>
          <w:sz w:val="28"/>
          <w:szCs w:val="28"/>
          <w:highlight w:val="none"/>
        </w:rPr>
        <w:t>报价供应商</w:t>
      </w:r>
      <w:r>
        <w:rPr>
          <w:rFonts w:hint="eastAsia" w:ascii="宋体" w:hAnsi="宋体"/>
          <w:bCs/>
          <w:sz w:val="28"/>
          <w:szCs w:val="28"/>
          <w:highlight w:val="none"/>
          <w:lang w:val="zh-CN"/>
        </w:rPr>
        <w:t>须知前附表】。</w:t>
      </w:r>
    </w:p>
    <w:p w14:paraId="6DC0353A">
      <w:pPr>
        <w:pStyle w:val="6"/>
        <w:keepNext w:val="0"/>
        <w:keepLines w:val="0"/>
        <w:adjustRightInd w:val="0"/>
        <w:snapToGrid w:val="0"/>
        <w:spacing w:before="0" w:after="0" w:line="560" w:lineRule="exact"/>
        <w:ind w:firstLine="560" w:firstLineChars="200"/>
        <w:rPr>
          <w:rFonts w:ascii="黑体" w:hAnsi="黑体"/>
          <w:b w:val="0"/>
          <w:highlight w:val="none"/>
        </w:rPr>
      </w:pPr>
      <w:bookmarkStart w:id="176" w:name="_Toc9356"/>
      <w:bookmarkStart w:id="177" w:name="_Toc7152"/>
      <w:bookmarkStart w:id="178" w:name="_Toc28577"/>
      <w:bookmarkStart w:id="179" w:name="_Toc112768399"/>
      <w:bookmarkStart w:id="180" w:name="_Toc13739"/>
      <w:bookmarkStart w:id="181" w:name="_Toc26562"/>
      <w:r>
        <w:rPr>
          <w:rFonts w:ascii="黑体" w:hAnsi="黑体"/>
          <w:b w:val="0"/>
          <w:highlight w:val="none"/>
        </w:rPr>
        <w:t>17.</w:t>
      </w:r>
      <w:r>
        <w:rPr>
          <w:rFonts w:hint="eastAsia" w:ascii="黑体" w:hAnsi="黑体"/>
          <w:b w:val="0"/>
          <w:highlight w:val="none"/>
        </w:rPr>
        <w:t>谈判保证金</w:t>
      </w:r>
      <w:bookmarkEnd w:id="176"/>
      <w:bookmarkEnd w:id="177"/>
      <w:bookmarkEnd w:id="178"/>
      <w:bookmarkEnd w:id="179"/>
      <w:bookmarkEnd w:id="180"/>
      <w:bookmarkEnd w:id="181"/>
    </w:p>
    <w:p w14:paraId="50A83921">
      <w:pPr>
        <w:adjustRightInd w:val="0"/>
        <w:snapToGrid w:val="0"/>
        <w:spacing w:line="560" w:lineRule="exact"/>
        <w:ind w:firstLine="560" w:firstLineChars="200"/>
        <w:rPr>
          <w:rFonts w:ascii="宋体" w:hAnsi="宋体"/>
          <w:bCs/>
          <w:sz w:val="28"/>
          <w:szCs w:val="28"/>
          <w:highlight w:val="none"/>
          <w:lang w:val="zh-CN"/>
        </w:rPr>
      </w:pPr>
      <w:r>
        <w:rPr>
          <w:rFonts w:ascii="宋体" w:hAnsi="宋体"/>
          <w:bCs/>
          <w:sz w:val="28"/>
          <w:szCs w:val="28"/>
          <w:highlight w:val="none"/>
          <w:lang w:val="zh-CN"/>
        </w:rPr>
        <w:t>17.1谈判</w:t>
      </w:r>
      <w:r>
        <w:rPr>
          <w:rFonts w:hint="eastAsia" w:ascii="宋体" w:hAnsi="宋体"/>
          <w:bCs/>
          <w:sz w:val="28"/>
          <w:szCs w:val="28"/>
          <w:highlight w:val="none"/>
          <w:lang w:val="zh-CN"/>
        </w:rPr>
        <w:t>保证金金额、账号及缴纳截止时间见【</w:t>
      </w:r>
      <w:r>
        <w:rPr>
          <w:rFonts w:hint="eastAsia" w:asciiTheme="minorEastAsia" w:hAnsiTheme="minorEastAsia" w:eastAsiaTheme="minorEastAsia"/>
          <w:bCs/>
          <w:sz w:val="28"/>
          <w:szCs w:val="28"/>
          <w:highlight w:val="none"/>
        </w:rPr>
        <w:t>报价供应商</w:t>
      </w:r>
      <w:r>
        <w:rPr>
          <w:rFonts w:hint="eastAsia" w:ascii="宋体" w:hAnsi="宋体"/>
          <w:bCs/>
          <w:sz w:val="28"/>
          <w:szCs w:val="28"/>
          <w:highlight w:val="none"/>
          <w:lang w:val="zh-CN"/>
        </w:rPr>
        <w:t>须知前附表】。</w:t>
      </w:r>
    </w:p>
    <w:p w14:paraId="207A063C">
      <w:pPr>
        <w:adjustRightInd w:val="0"/>
        <w:snapToGrid w:val="0"/>
        <w:spacing w:line="560" w:lineRule="exact"/>
        <w:ind w:firstLine="560" w:firstLineChars="200"/>
        <w:rPr>
          <w:rFonts w:ascii="宋体" w:hAnsi="宋体"/>
          <w:bCs/>
          <w:sz w:val="28"/>
          <w:szCs w:val="28"/>
          <w:highlight w:val="none"/>
          <w:lang w:val="zh-CN"/>
        </w:rPr>
      </w:pPr>
      <w:r>
        <w:rPr>
          <w:rFonts w:ascii="宋体" w:hAnsi="宋体"/>
          <w:bCs/>
          <w:sz w:val="28"/>
          <w:szCs w:val="28"/>
          <w:highlight w:val="none"/>
        </w:rPr>
        <w:t>17.2谈判</w:t>
      </w:r>
      <w:r>
        <w:rPr>
          <w:rFonts w:ascii="宋体" w:hAnsi="宋体"/>
          <w:bCs/>
          <w:sz w:val="28"/>
          <w:szCs w:val="28"/>
          <w:highlight w:val="none"/>
          <w:lang w:val="zh-CN"/>
        </w:rPr>
        <w:t>保证金</w:t>
      </w:r>
      <w:r>
        <w:rPr>
          <w:rFonts w:hint="eastAsia" w:ascii="宋体" w:hAnsi="宋体"/>
          <w:bCs/>
          <w:sz w:val="28"/>
          <w:szCs w:val="28"/>
          <w:highlight w:val="none"/>
          <w:lang w:val="zh-CN"/>
        </w:rPr>
        <w:t>应当</w:t>
      </w:r>
      <w:r>
        <w:rPr>
          <w:rFonts w:ascii="宋体" w:hAnsi="宋体"/>
          <w:bCs/>
          <w:sz w:val="28"/>
          <w:szCs w:val="28"/>
          <w:highlight w:val="none"/>
          <w:lang w:val="zh-CN"/>
        </w:rPr>
        <w:t>采取非现金方式</w:t>
      </w:r>
      <w:r>
        <w:rPr>
          <w:rFonts w:hint="eastAsia" w:ascii="宋体" w:hAnsi="宋体"/>
          <w:bCs/>
          <w:sz w:val="28"/>
          <w:szCs w:val="28"/>
          <w:highlight w:val="none"/>
        </w:rPr>
        <w:t>缴纳</w:t>
      </w:r>
      <w:r>
        <w:rPr>
          <w:rFonts w:hint="eastAsia" w:ascii="宋体" w:hAnsi="宋体"/>
          <w:bCs/>
          <w:sz w:val="28"/>
          <w:szCs w:val="28"/>
          <w:highlight w:val="none"/>
          <w:lang w:val="zh-CN"/>
        </w:rPr>
        <w:t>。采取汇款方式缴纳的，谈判保证金应当从报价供应商的银行账户缴纳且在报价截止时间前到达采购机构账户内，否则视为无效报价；报价供应商在汇款时应当在备注信息中注明本项目的编号及用途（如“项目编号，谈判保证金”），以便采购机构的财务人员查证入账。采取</w:t>
      </w:r>
      <w:r>
        <w:rPr>
          <w:rFonts w:ascii="宋体" w:hAnsi="宋体"/>
          <w:bCs/>
          <w:sz w:val="28"/>
          <w:szCs w:val="28"/>
          <w:highlight w:val="none"/>
          <w:lang w:val="zh-CN"/>
        </w:rPr>
        <w:t>银行保函</w:t>
      </w:r>
      <w:r>
        <w:rPr>
          <w:rFonts w:hint="eastAsia" w:ascii="宋体" w:hAnsi="宋体"/>
          <w:bCs/>
          <w:sz w:val="28"/>
          <w:szCs w:val="28"/>
          <w:highlight w:val="none"/>
          <w:lang w:val="zh-CN"/>
        </w:rPr>
        <w:t>方式缴纳的，应当提供</w:t>
      </w:r>
      <w:r>
        <w:rPr>
          <w:rFonts w:ascii="宋体" w:hAnsi="宋体"/>
          <w:bCs/>
          <w:sz w:val="28"/>
          <w:szCs w:val="28"/>
          <w:highlight w:val="none"/>
          <w:lang w:val="zh-CN"/>
        </w:rPr>
        <w:t>1份银行保函原件，谈判时单独</w:t>
      </w:r>
      <w:r>
        <w:rPr>
          <w:rFonts w:hint="eastAsia" w:ascii="宋体" w:hAnsi="宋体"/>
          <w:bCs/>
          <w:sz w:val="28"/>
          <w:szCs w:val="28"/>
          <w:highlight w:val="none"/>
          <w:lang w:val="zh-CN"/>
        </w:rPr>
        <w:t>提</w:t>
      </w:r>
      <w:r>
        <w:rPr>
          <w:rFonts w:ascii="宋体" w:hAnsi="宋体"/>
          <w:bCs/>
          <w:sz w:val="28"/>
          <w:szCs w:val="28"/>
          <w:highlight w:val="none"/>
          <w:lang w:val="zh-CN"/>
        </w:rPr>
        <w:t>交。</w:t>
      </w:r>
      <w:r>
        <w:rPr>
          <w:rFonts w:hint="eastAsia" w:ascii="宋体" w:hAnsi="宋体"/>
          <w:sz w:val="28"/>
          <w:szCs w:val="28"/>
          <w:highlight w:val="none"/>
        </w:rPr>
        <w:t>未按规定缴纳谈判保证金的，视为无效报价。</w:t>
      </w:r>
    </w:p>
    <w:p w14:paraId="60BB87AD">
      <w:pPr>
        <w:adjustRightInd w:val="0"/>
        <w:snapToGrid w:val="0"/>
        <w:spacing w:line="560" w:lineRule="exact"/>
        <w:ind w:firstLine="560" w:firstLineChars="200"/>
        <w:rPr>
          <w:rFonts w:ascii="宋体" w:hAnsi="宋体"/>
          <w:bCs/>
          <w:sz w:val="28"/>
          <w:szCs w:val="28"/>
          <w:highlight w:val="none"/>
        </w:rPr>
      </w:pPr>
      <w:r>
        <w:rPr>
          <w:rFonts w:ascii="宋体" w:hAnsi="宋体"/>
          <w:bCs/>
          <w:sz w:val="28"/>
          <w:szCs w:val="28"/>
          <w:highlight w:val="none"/>
          <w:lang w:val="zh-CN"/>
        </w:rPr>
        <w:t>17.3</w:t>
      </w:r>
      <w:r>
        <w:rPr>
          <w:rFonts w:ascii="宋体" w:hAnsi="宋体"/>
          <w:bCs/>
          <w:sz w:val="28"/>
          <w:szCs w:val="28"/>
          <w:highlight w:val="none"/>
        </w:rPr>
        <w:t>成交供应商的谈判保证金，在签订正式合同后5个工作日内全额无息退还。未成交供应商的谈判保证金，将在采购机构发出未成交通知书后5个工作日内全额无息退还。</w:t>
      </w:r>
    </w:p>
    <w:p w14:paraId="586A5567">
      <w:pPr>
        <w:adjustRightInd w:val="0"/>
        <w:snapToGrid w:val="0"/>
        <w:spacing w:line="560" w:lineRule="exact"/>
        <w:ind w:firstLine="560" w:firstLineChars="200"/>
        <w:rPr>
          <w:rFonts w:ascii="宋体" w:hAnsi="宋体"/>
          <w:bCs/>
          <w:sz w:val="28"/>
          <w:szCs w:val="28"/>
          <w:highlight w:val="none"/>
        </w:rPr>
      </w:pPr>
      <w:r>
        <w:rPr>
          <w:rFonts w:ascii="宋体" w:hAnsi="宋体"/>
          <w:bCs/>
          <w:sz w:val="28"/>
          <w:szCs w:val="28"/>
          <w:highlight w:val="none"/>
        </w:rPr>
        <w:t>17.4有下列情况之一的，谈判保证金将不予退还：</w:t>
      </w:r>
    </w:p>
    <w:p w14:paraId="3F6AA0E4">
      <w:pPr>
        <w:adjustRightInd w:val="0"/>
        <w:snapToGrid w:val="0"/>
        <w:spacing w:line="560" w:lineRule="exact"/>
        <w:ind w:firstLine="560" w:firstLineChars="200"/>
        <w:rPr>
          <w:rFonts w:ascii="宋体" w:hAnsi="宋体"/>
          <w:bCs/>
          <w:sz w:val="28"/>
          <w:szCs w:val="28"/>
          <w:highlight w:val="none"/>
        </w:rPr>
      </w:pPr>
      <w:r>
        <w:rPr>
          <w:rFonts w:hint="eastAsia" w:ascii="宋体" w:hAnsi="宋体"/>
          <w:bCs/>
          <w:sz w:val="28"/>
          <w:szCs w:val="28"/>
          <w:highlight w:val="none"/>
        </w:rPr>
        <w:t>（</w:t>
      </w:r>
      <w:r>
        <w:rPr>
          <w:rFonts w:ascii="宋体" w:hAnsi="宋体"/>
          <w:bCs/>
          <w:sz w:val="28"/>
          <w:szCs w:val="28"/>
          <w:highlight w:val="none"/>
        </w:rPr>
        <w:t>1）</w:t>
      </w:r>
      <w:r>
        <w:rPr>
          <w:rFonts w:hint="eastAsia" w:ascii="宋体" w:hAnsi="宋体"/>
          <w:bCs/>
          <w:sz w:val="28"/>
          <w:szCs w:val="28"/>
          <w:highlight w:val="none"/>
        </w:rPr>
        <w:t>报价</w:t>
      </w:r>
      <w:r>
        <w:rPr>
          <w:rFonts w:ascii="宋体" w:hAnsi="宋体"/>
          <w:bCs/>
          <w:sz w:val="28"/>
          <w:szCs w:val="28"/>
          <w:highlight w:val="none"/>
        </w:rPr>
        <w:t>供应商</w:t>
      </w:r>
      <w:r>
        <w:rPr>
          <w:rFonts w:hint="eastAsia" w:ascii="宋体" w:hAnsi="宋体"/>
          <w:bCs/>
          <w:sz w:val="28"/>
          <w:szCs w:val="28"/>
          <w:highlight w:val="none"/>
        </w:rPr>
        <w:t>在提交首次报价文件截止时间</w:t>
      </w:r>
      <w:r>
        <w:rPr>
          <w:rFonts w:ascii="宋体" w:hAnsi="宋体"/>
          <w:bCs/>
          <w:sz w:val="28"/>
          <w:szCs w:val="28"/>
          <w:highlight w:val="none"/>
        </w:rPr>
        <w:t>后</w:t>
      </w:r>
      <w:r>
        <w:rPr>
          <w:rFonts w:hint="eastAsia" w:ascii="宋体" w:hAnsi="宋体"/>
          <w:bCs/>
          <w:sz w:val="28"/>
          <w:szCs w:val="28"/>
          <w:highlight w:val="none"/>
        </w:rPr>
        <w:t>，</w:t>
      </w:r>
      <w:r>
        <w:rPr>
          <w:rFonts w:ascii="宋体" w:hAnsi="宋体"/>
          <w:bCs/>
          <w:sz w:val="28"/>
          <w:szCs w:val="28"/>
          <w:highlight w:val="none"/>
        </w:rPr>
        <w:t>在谈判有效期内撤回其报价文件的；</w:t>
      </w:r>
    </w:p>
    <w:p w14:paraId="38AEC467">
      <w:pPr>
        <w:adjustRightInd w:val="0"/>
        <w:snapToGrid w:val="0"/>
        <w:spacing w:line="560" w:lineRule="exact"/>
        <w:ind w:firstLine="560" w:firstLineChars="200"/>
        <w:rPr>
          <w:rFonts w:ascii="宋体" w:hAnsi="宋体"/>
          <w:bCs/>
          <w:sz w:val="28"/>
          <w:szCs w:val="28"/>
          <w:highlight w:val="none"/>
        </w:rPr>
      </w:pPr>
      <w:r>
        <w:rPr>
          <w:rFonts w:hint="eastAsia" w:ascii="宋体" w:hAnsi="宋体"/>
          <w:bCs/>
          <w:sz w:val="28"/>
          <w:szCs w:val="28"/>
          <w:highlight w:val="none"/>
        </w:rPr>
        <w:t>（</w:t>
      </w:r>
      <w:r>
        <w:rPr>
          <w:rFonts w:ascii="宋体" w:hAnsi="宋体"/>
          <w:bCs/>
          <w:sz w:val="28"/>
          <w:szCs w:val="28"/>
          <w:highlight w:val="none"/>
        </w:rPr>
        <w:t>2）</w:t>
      </w:r>
      <w:r>
        <w:rPr>
          <w:rFonts w:hint="eastAsia" w:ascii="宋体" w:hAnsi="宋体"/>
          <w:bCs/>
          <w:sz w:val="28"/>
          <w:szCs w:val="28"/>
          <w:highlight w:val="none"/>
        </w:rPr>
        <w:t>报价</w:t>
      </w:r>
      <w:r>
        <w:rPr>
          <w:rFonts w:ascii="宋体" w:hAnsi="宋体"/>
          <w:bCs/>
          <w:sz w:val="28"/>
          <w:szCs w:val="28"/>
          <w:highlight w:val="none"/>
        </w:rPr>
        <w:t>供应商干扰</w:t>
      </w:r>
      <w:r>
        <w:rPr>
          <w:rFonts w:hint="eastAsia" w:ascii="宋体" w:hAnsi="宋体"/>
          <w:bCs/>
          <w:sz w:val="28"/>
          <w:szCs w:val="28"/>
          <w:highlight w:val="none"/>
        </w:rPr>
        <w:t>谈判或评审</w:t>
      </w:r>
      <w:r>
        <w:rPr>
          <w:rFonts w:ascii="宋体" w:hAnsi="宋体"/>
          <w:bCs/>
          <w:sz w:val="28"/>
          <w:szCs w:val="28"/>
          <w:highlight w:val="none"/>
        </w:rPr>
        <w:t>活动，造成严重影响和后果的；</w:t>
      </w:r>
    </w:p>
    <w:p w14:paraId="2D480C61">
      <w:pPr>
        <w:adjustRightInd w:val="0"/>
        <w:snapToGrid w:val="0"/>
        <w:spacing w:line="560" w:lineRule="exact"/>
        <w:ind w:firstLine="560" w:firstLineChars="200"/>
        <w:rPr>
          <w:rFonts w:ascii="宋体" w:hAnsi="宋体"/>
          <w:bCs/>
          <w:sz w:val="28"/>
          <w:szCs w:val="28"/>
          <w:highlight w:val="none"/>
        </w:rPr>
      </w:pPr>
      <w:r>
        <w:rPr>
          <w:rFonts w:hint="eastAsia" w:ascii="宋体" w:hAnsi="宋体"/>
          <w:bCs/>
          <w:sz w:val="28"/>
          <w:szCs w:val="28"/>
          <w:highlight w:val="none"/>
        </w:rPr>
        <w:t>（</w:t>
      </w:r>
      <w:r>
        <w:rPr>
          <w:rFonts w:ascii="宋体" w:hAnsi="宋体"/>
          <w:bCs/>
          <w:sz w:val="28"/>
          <w:szCs w:val="28"/>
          <w:highlight w:val="none"/>
        </w:rPr>
        <w:t>3）虚假</w:t>
      </w:r>
      <w:r>
        <w:rPr>
          <w:rFonts w:hint="eastAsia" w:ascii="宋体" w:hAnsi="宋体"/>
          <w:bCs/>
          <w:sz w:val="28"/>
          <w:szCs w:val="28"/>
          <w:highlight w:val="none"/>
        </w:rPr>
        <w:t>报价或恶意</w:t>
      </w:r>
      <w:r>
        <w:rPr>
          <w:rFonts w:ascii="宋体" w:hAnsi="宋体"/>
          <w:bCs/>
          <w:sz w:val="28"/>
          <w:szCs w:val="28"/>
          <w:highlight w:val="none"/>
        </w:rPr>
        <w:t>串通的；</w:t>
      </w:r>
    </w:p>
    <w:p w14:paraId="3B400C18">
      <w:pPr>
        <w:adjustRightInd w:val="0"/>
        <w:snapToGrid w:val="0"/>
        <w:spacing w:line="560" w:lineRule="exact"/>
        <w:ind w:firstLine="560" w:firstLineChars="200"/>
        <w:rPr>
          <w:rFonts w:ascii="宋体" w:hAnsi="宋体"/>
          <w:bCs/>
          <w:sz w:val="28"/>
          <w:szCs w:val="28"/>
          <w:highlight w:val="none"/>
        </w:rPr>
      </w:pPr>
      <w:r>
        <w:rPr>
          <w:rFonts w:hint="eastAsia" w:ascii="宋体" w:hAnsi="宋体"/>
          <w:bCs/>
          <w:sz w:val="28"/>
          <w:szCs w:val="28"/>
          <w:highlight w:val="none"/>
        </w:rPr>
        <w:t>（</w:t>
      </w:r>
      <w:r>
        <w:rPr>
          <w:rFonts w:ascii="宋体" w:hAnsi="宋体"/>
          <w:bCs/>
          <w:sz w:val="28"/>
          <w:szCs w:val="28"/>
          <w:highlight w:val="none"/>
        </w:rPr>
        <w:t>4）成交</w:t>
      </w:r>
      <w:r>
        <w:rPr>
          <w:rFonts w:hint="eastAsia" w:ascii="宋体" w:hAnsi="宋体"/>
          <w:bCs/>
          <w:sz w:val="28"/>
          <w:szCs w:val="28"/>
          <w:highlight w:val="none"/>
        </w:rPr>
        <w:t>（预成交）</w:t>
      </w:r>
      <w:r>
        <w:rPr>
          <w:rFonts w:ascii="宋体" w:hAnsi="宋体"/>
          <w:bCs/>
          <w:sz w:val="28"/>
          <w:szCs w:val="28"/>
          <w:highlight w:val="none"/>
        </w:rPr>
        <w:t>供应商无正当理由放弃成交的；</w:t>
      </w:r>
    </w:p>
    <w:p w14:paraId="08C4F87A">
      <w:pPr>
        <w:adjustRightInd w:val="0"/>
        <w:snapToGrid w:val="0"/>
        <w:spacing w:line="560" w:lineRule="exact"/>
        <w:ind w:firstLine="560" w:firstLineChars="200"/>
        <w:rPr>
          <w:rFonts w:ascii="宋体" w:hAnsi="宋体"/>
          <w:bCs/>
          <w:sz w:val="28"/>
          <w:szCs w:val="28"/>
          <w:highlight w:val="none"/>
        </w:rPr>
      </w:pPr>
      <w:r>
        <w:rPr>
          <w:rFonts w:hint="eastAsia" w:ascii="宋体" w:hAnsi="宋体"/>
          <w:bCs/>
          <w:sz w:val="28"/>
          <w:szCs w:val="28"/>
          <w:highlight w:val="none"/>
        </w:rPr>
        <w:t>（</w:t>
      </w:r>
      <w:r>
        <w:rPr>
          <w:rFonts w:ascii="宋体" w:hAnsi="宋体"/>
          <w:bCs/>
          <w:sz w:val="28"/>
          <w:szCs w:val="28"/>
          <w:highlight w:val="none"/>
        </w:rPr>
        <w:t>5）</w:t>
      </w:r>
      <w:r>
        <w:rPr>
          <w:rFonts w:hint="eastAsia" w:ascii="宋体" w:hAnsi="宋体"/>
          <w:bCs/>
          <w:sz w:val="28"/>
          <w:szCs w:val="28"/>
          <w:highlight w:val="none"/>
        </w:rPr>
        <w:t>成交供应商无正当理由不与采购单位订立合同，在签订合同时向采购单位提出附加条件，或不按照谈判文件要求提交履约保证金的</w:t>
      </w:r>
      <w:r>
        <w:rPr>
          <w:rFonts w:ascii="宋体" w:hAnsi="宋体"/>
          <w:bCs/>
          <w:sz w:val="28"/>
          <w:szCs w:val="28"/>
          <w:highlight w:val="none"/>
        </w:rPr>
        <w:t>；</w:t>
      </w:r>
    </w:p>
    <w:p w14:paraId="4DC1CBC2">
      <w:pPr>
        <w:adjustRightInd w:val="0"/>
        <w:snapToGrid w:val="0"/>
        <w:spacing w:line="560" w:lineRule="exact"/>
        <w:ind w:firstLine="560" w:firstLineChars="200"/>
        <w:rPr>
          <w:rFonts w:ascii="宋体" w:hAnsi="宋体"/>
          <w:bCs/>
          <w:sz w:val="28"/>
          <w:szCs w:val="28"/>
          <w:highlight w:val="none"/>
        </w:rPr>
      </w:pPr>
      <w:r>
        <w:rPr>
          <w:rFonts w:hint="eastAsia" w:ascii="宋体" w:hAnsi="宋体"/>
          <w:bCs/>
          <w:sz w:val="28"/>
          <w:szCs w:val="28"/>
          <w:highlight w:val="none"/>
        </w:rPr>
        <w:t>（</w:t>
      </w:r>
      <w:r>
        <w:rPr>
          <w:rFonts w:ascii="宋体" w:hAnsi="宋体"/>
          <w:bCs/>
          <w:sz w:val="28"/>
          <w:szCs w:val="28"/>
          <w:highlight w:val="none"/>
        </w:rPr>
        <w:t>6）其他违反国家和军队法律法规行为的。</w:t>
      </w:r>
      <w:bookmarkStart w:id="182" w:name="_Toc112317770"/>
    </w:p>
    <w:p w14:paraId="718629FB">
      <w:pPr>
        <w:pStyle w:val="5"/>
        <w:keepNext w:val="0"/>
        <w:keepLines w:val="0"/>
        <w:adjustRightInd w:val="0"/>
        <w:snapToGrid w:val="0"/>
        <w:spacing w:before="120" w:beforeLines="50" w:after="120" w:afterLines="50" w:line="560" w:lineRule="exact"/>
        <w:jc w:val="center"/>
        <w:rPr>
          <w:b w:val="0"/>
          <w:highlight w:val="none"/>
        </w:rPr>
      </w:pPr>
      <w:bookmarkStart w:id="183" w:name="_Toc3577"/>
      <w:bookmarkStart w:id="184" w:name="_Toc28556"/>
      <w:bookmarkStart w:id="185" w:name="_Toc17138"/>
      <w:bookmarkStart w:id="186" w:name="_Toc5580"/>
      <w:bookmarkStart w:id="187" w:name="_Toc112768400"/>
      <w:bookmarkStart w:id="188" w:name="_Toc1169"/>
      <w:bookmarkStart w:id="189" w:name="_Toc26260"/>
      <w:bookmarkStart w:id="190" w:name="_Toc1834"/>
      <w:bookmarkStart w:id="191" w:name="_Toc20465"/>
      <w:bookmarkStart w:id="192" w:name="_Toc152058255"/>
      <w:bookmarkStart w:id="193" w:name="_Toc2551"/>
      <w:bookmarkStart w:id="194" w:name="_Toc20632"/>
      <w:bookmarkStart w:id="195" w:name="_Toc29319"/>
      <w:r>
        <w:rPr>
          <w:rFonts w:hint="eastAsia"/>
          <w:b w:val="0"/>
          <w:highlight w:val="none"/>
        </w:rPr>
        <w:t>四、报价文件提交</w:t>
      </w:r>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p>
    <w:p w14:paraId="1E00EC42">
      <w:pPr>
        <w:pStyle w:val="6"/>
        <w:keepNext w:val="0"/>
        <w:keepLines w:val="0"/>
        <w:adjustRightInd w:val="0"/>
        <w:snapToGrid w:val="0"/>
        <w:spacing w:before="0" w:after="0" w:line="560" w:lineRule="exact"/>
        <w:ind w:firstLine="560" w:firstLineChars="200"/>
        <w:rPr>
          <w:rFonts w:ascii="黑体" w:hAnsi="黑体"/>
          <w:b w:val="0"/>
          <w:highlight w:val="none"/>
        </w:rPr>
      </w:pPr>
      <w:bookmarkStart w:id="196" w:name="_Toc28622"/>
      <w:bookmarkStart w:id="197" w:name="_Toc7142"/>
      <w:bookmarkStart w:id="198" w:name="_Toc9678"/>
      <w:bookmarkStart w:id="199" w:name="_Toc13473"/>
      <w:bookmarkStart w:id="200" w:name="_Toc16757"/>
      <w:bookmarkStart w:id="201" w:name="_Toc112768401"/>
      <w:r>
        <w:rPr>
          <w:rFonts w:ascii="黑体" w:hAnsi="黑体"/>
          <w:b w:val="0"/>
          <w:highlight w:val="none"/>
        </w:rPr>
        <w:t>18.</w:t>
      </w:r>
      <w:r>
        <w:rPr>
          <w:rFonts w:hint="eastAsia" w:ascii="黑体" w:hAnsi="黑体"/>
          <w:b w:val="0"/>
          <w:highlight w:val="none"/>
        </w:rPr>
        <w:t>报价文件密封及标记</w:t>
      </w:r>
      <w:bookmarkEnd w:id="196"/>
      <w:bookmarkEnd w:id="197"/>
      <w:bookmarkEnd w:id="198"/>
      <w:bookmarkEnd w:id="199"/>
      <w:bookmarkEnd w:id="200"/>
      <w:bookmarkEnd w:id="201"/>
    </w:p>
    <w:p w14:paraId="204BF642">
      <w:pPr>
        <w:adjustRightInd w:val="0"/>
        <w:snapToGrid w:val="0"/>
        <w:spacing w:line="560" w:lineRule="exact"/>
        <w:ind w:firstLine="560" w:firstLineChars="200"/>
        <w:rPr>
          <w:rFonts w:ascii="宋体" w:hAnsi="宋体"/>
          <w:bCs/>
          <w:sz w:val="28"/>
          <w:szCs w:val="28"/>
          <w:highlight w:val="none"/>
        </w:rPr>
      </w:pPr>
      <w:r>
        <w:rPr>
          <w:rFonts w:ascii="宋体" w:hAnsi="宋体"/>
          <w:bCs/>
          <w:sz w:val="28"/>
          <w:szCs w:val="28"/>
          <w:highlight w:val="none"/>
        </w:rPr>
        <w:t>18.1</w:t>
      </w:r>
      <w:r>
        <w:rPr>
          <w:rFonts w:hint="eastAsia" w:ascii="宋体" w:hAnsi="宋体"/>
          <w:bCs/>
          <w:sz w:val="28"/>
          <w:szCs w:val="28"/>
          <w:highlight w:val="none"/>
        </w:rPr>
        <w:t>报价文件中“价格文件”应当与“商务技术文件”和“资格证明文件”分开单独密封包装，并在封套的封口处加盖报价供应商公章。</w:t>
      </w:r>
    </w:p>
    <w:p w14:paraId="7178C611">
      <w:pPr>
        <w:adjustRightInd w:val="0"/>
        <w:snapToGrid w:val="0"/>
        <w:spacing w:line="560" w:lineRule="exact"/>
        <w:ind w:firstLine="560" w:firstLineChars="200"/>
        <w:rPr>
          <w:rFonts w:ascii="宋体" w:hAnsi="宋体"/>
          <w:bCs/>
          <w:sz w:val="28"/>
          <w:szCs w:val="28"/>
          <w:highlight w:val="none"/>
        </w:rPr>
      </w:pPr>
      <w:r>
        <w:rPr>
          <w:rFonts w:ascii="宋体" w:hAnsi="宋体"/>
          <w:bCs/>
          <w:sz w:val="28"/>
          <w:szCs w:val="28"/>
          <w:highlight w:val="none"/>
        </w:rPr>
        <w:t>18.2</w:t>
      </w:r>
      <w:r>
        <w:rPr>
          <w:rFonts w:hint="eastAsia" w:ascii="宋体" w:hAnsi="宋体"/>
          <w:bCs/>
          <w:sz w:val="28"/>
          <w:szCs w:val="28"/>
          <w:highlight w:val="none"/>
        </w:rPr>
        <w:t>报价文件封套上应当写明</w:t>
      </w:r>
      <w:r>
        <w:rPr>
          <w:rFonts w:ascii="宋体" w:hAnsi="宋体"/>
          <w:bCs/>
          <w:sz w:val="28"/>
          <w:szCs w:val="28"/>
          <w:highlight w:val="none"/>
        </w:rPr>
        <w:t>项目名称、项目编号、包号、</w:t>
      </w:r>
      <w:r>
        <w:rPr>
          <w:rFonts w:hint="eastAsia" w:ascii="宋体" w:hAnsi="宋体"/>
          <w:bCs/>
          <w:sz w:val="28"/>
          <w:szCs w:val="28"/>
          <w:highlight w:val="none"/>
        </w:rPr>
        <w:t>报价</w:t>
      </w:r>
      <w:r>
        <w:rPr>
          <w:rFonts w:ascii="宋体" w:hAnsi="宋体"/>
          <w:bCs/>
          <w:sz w:val="28"/>
          <w:szCs w:val="28"/>
          <w:highlight w:val="none"/>
        </w:rPr>
        <w:t>供应商名称</w:t>
      </w:r>
      <w:r>
        <w:rPr>
          <w:rFonts w:hint="eastAsia" w:ascii="宋体" w:hAnsi="宋体"/>
          <w:bCs/>
          <w:sz w:val="28"/>
          <w:szCs w:val="28"/>
          <w:highlight w:val="none"/>
        </w:rPr>
        <w:t>，以及“价格文件”“商务技术文件”或“资格证明文件”</w:t>
      </w:r>
      <w:r>
        <w:rPr>
          <w:rFonts w:ascii="宋体" w:hAnsi="宋体"/>
          <w:bCs/>
          <w:sz w:val="28"/>
          <w:szCs w:val="28"/>
          <w:highlight w:val="none"/>
        </w:rPr>
        <w:t>和“</w:t>
      </w:r>
      <w:r>
        <w:rPr>
          <w:rFonts w:hint="eastAsia" w:ascii="宋体" w:hAnsi="宋体"/>
          <w:bCs/>
          <w:sz w:val="28"/>
          <w:szCs w:val="28"/>
          <w:highlight w:val="none"/>
        </w:rPr>
        <w:t>谈判</w:t>
      </w:r>
      <w:r>
        <w:rPr>
          <w:rFonts w:ascii="宋体" w:hAnsi="宋体"/>
          <w:bCs/>
          <w:sz w:val="28"/>
          <w:szCs w:val="28"/>
          <w:highlight w:val="none"/>
        </w:rPr>
        <w:t>时启封”字样。</w:t>
      </w:r>
    </w:p>
    <w:p w14:paraId="1B385871">
      <w:pPr>
        <w:adjustRightInd w:val="0"/>
        <w:snapToGrid w:val="0"/>
        <w:spacing w:line="560" w:lineRule="exact"/>
        <w:ind w:firstLine="560" w:firstLineChars="200"/>
        <w:rPr>
          <w:rFonts w:ascii="宋体" w:hAnsi="宋体"/>
          <w:bCs/>
          <w:sz w:val="28"/>
          <w:szCs w:val="28"/>
          <w:highlight w:val="none"/>
        </w:rPr>
      </w:pPr>
      <w:r>
        <w:rPr>
          <w:rFonts w:ascii="宋体" w:hAnsi="宋体"/>
          <w:bCs/>
          <w:sz w:val="28"/>
          <w:szCs w:val="28"/>
          <w:highlight w:val="none"/>
        </w:rPr>
        <w:t>18.3</w:t>
      </w:r>
      <w:r>
        <w:rPr>
          <w:rFonts w:hint="eastAsia" w:ascii="宋体" w:hAnsi="宋体"/>
          <w:bCs/>
          <w:sz w:val="28"/>
          <w:szCs w:val="28"/>
          <w:highlight w:val="none"/>
        </w:rPr>
        <w:t>报价</w:t>
      </w:r>
      <w:r>
        <w:rPr>
          <w:rFonts w:ascii="宋体" w:hAnsi="宋体"/>
          <w:bCs/>
          <w:sz w:val="28"/>
          <w:szCs w:val="28"/>
          <w:highlight w:val="none"/>
        </w:rPr>
        <w:t>供应商应当在</w:t>
      </w:r>
      <w:r>
        <w:rPr>
          <w:rFonts w:hint="eastAsia" w:ascii="宋体" w:hAnsi="宋体"/>
          <w:bCs/>
          <w:sz w:val="28"/>
          <w:szCs w:val="28"/>
          <w:highlight w:val="none"/>
          <w:lang w:val="zh-CN"/>
        </w:rPr>
        <w:t>【</w:t>
      </w:r>
      <w:r>
        <w:rPr>
          <w:rFonts w:hint="eastAsia" w:asciiTheme="minorEastAsia" w:hAnsiTheme="minorEastAsia" w:eastAsiaTheme="minorEastAsia"/>
          <w:bCs/>
          <w:sz w:val="28"/>
          <w:szCs w:val="28"/>
          <w:highlight w:val="none"/>
        </w:rPr>
        <w:t>报价供应商</w:t>
      </w:r>
      <w:r>
        <w:rPr>
          <w:rFonts w:hint="eastAsia" w:ascii="宋体" w:hAnsi="宋体"/>
          <w:bCs/>
          <w:sz w:val="28"/>
          <w:szCs w:val="28"/>
          <w:highlight w:val="none"/>
          <w:lang w:val="zh-CN"/>
        </w:rPr>
        <w:t>须知前附表】</w:t>
      </w:r>
      <w:r>
        <w:rPr>
          <w:rFonts w:hint="eastAsia" w:asciiTheme="minorEastAsia" w:hAnsiTheme="minorEastAsia" w:eastAsiaTheme="minorEastAsia"/>
          <w:bCs/>
          <w:sz w:val="28"/>
          <w:szCs w:val="28"/>
          <w:highlight w:val="none"/>
        </w:rPr>
        <w:t>明确</w:t>
      </w:r>
      <w:r>
        <w:rPr>
          <w:rFonts w:ascii="宋体" w:hAnsi="宋体"/>
          <w:bCs/>
          <w:sz w:val="28"/>
          <w:szCs w:val="28"/>
          <w:highlight w:val="none"/>
        </w:rPr>
        <w:t>的</w:t>
      </w:r>
      <w:r>
        <w:rPr>
          <w:rFonts w:hint="eastAsia" w:ascii="宋体" w:hAnsi="宋体"/>
          <w:bCs/>
          <w:sz w:val="28"/>
          <w:szCs w:val="28"/>
          <w:highlight w:val="none"/>
        </w:rPr>
        <w:t>提</w:t>
      </w:r>
      <w:r>
        <w:rPr>
          <w:rFonts w:ascii="宋体" w:hAnsi="宋体"/>
          <w:bCs/>
          <w:sz w:val="28"/>
          <w:szCs w:val="28"/>
          <w:highlight w:val="none"/>
        </w:rPr>
        <w:t>交</w:t>
      </w:r>
      <w:r>
        <w:rPr>
          <w:rFonts w:hint="eastAsia" w:ascii="宋体" w:hAnsi="宋体"/>
          <w:bCs/>
          <w:sz w:val="28"/>
          <w:szCs w:val="28"/>
          <w:highlight w:val="none"/>
        </w:rPr>
        <w:t>首次</w:t>
      </w:r>
      <w:r>
        <w:rPr>
          <w:rFonts w:ascii="宋体" w:hAnsi="宋体"/>
          <w:bCs/>
          <w:sz w:val="28"/>
          <w:szCs w:val="28"/>
          <w:highlight w:val="none"/>
        </w:rPr>
        <w:t>报价文件截止时间前，将报价文件送达采购机构指定地点。</w:t>
      </w:r>
      <w:bookmarkStart w:id="202" w:name="_Hlk112260229"/>
      <w:r>
        <w:rPr>
          <w:rFonts w:ascii="宋体" w:hAnsi="宋体"/>
          <w:bCs/>
          <w:sz w:val="28"/>
          <w:szCs w:val="28"/>
          <w:highlight w:val="none"/>
        </w:rPr>
        <w:t>逾期</w:t>
      </w:r>
      <w:r>
        <w:rPr>
          <w:rFonts w:hint="eastAsia" w:ascii="宋体" w:hAnsi="宋体"/>
          <w:bCs/>
          <w:sz w:val="28"/>
          <w:szCs w:val="28"/>
          <w:highlight w:val="none"/>
        </w:rPr>
        <w:t>提</w:t>
      </w:r>
      <w:r>
        <w:rPr>
          <w:rFonts w:ascii="宋体" w:hAnsi="宋体"/>
          <w:bCs/>
          <w:sz w:val="28"/>
          <w:szCs w:val="28"/>
          <w:highlight w:val="none"/>
        </w:rPr>
        <w:t>交</w:t>
      </w:r>
      <w:r>
        <w:rPr>
          <w:rFonts w:hint="eastAsia" w:ascii="宋体" w:hAnsi="宋体"/>
          <w:bCs/>
          <w:sz w:val="28"/>
          <w:szCs w:val="28"/>
          <w:highlight w:val="none"/>
        </w:rPr>
        <w:t>的报价文件</w:t>
      </w:r>
      <w:r>
        <w:rPr>
          <w:rFonts w:ascii="宋体" w:hAnsi="宋体"/>
          <w:bCs/>
          <w:sz w:val="28"/>
          <w:szCs w:val="28"/>
          <w:highlight w:val="none"/>
        </w:rPr>
        <w:t>，采购机构将拒收</w:t>
      </w:r>
      <w:bookmarkEnd w:id="202"/>
      <w:r>
        <w:rPr>
          <w:rFonts w:ascii="宋体" w:hAnsi="宋体"/>
          <w:bCs/>
          <w:sz w:val="28"/>
          <w:szCs w:val="28"/>
          <w:highlight w:val="none"/>
        </w:rPr>
        <w:t>。</w:t>
      </w:r>
    </w:p>
    <w:p w14:paraId="7826C71D">
      <w:pPr>
        <w:adjustRightInd w:val="0"/>
        <w:snapToGrid w:val="0"/>
        <w:spacing w:line="560" w:lineRule="exact"/>
        <w:ind w:firstLine="560" w:firstLineChars="200"/>
        <w:rPr>
          <w:rFonts w:ascii="宋体" w:hAnsi="宋体"/>
          <w:bCs/>
          <w:sz w:val="28"/>
          <w:szCs w:val="28"/>
          <w:highlight w:val="none"/>
        </w:rPr>
      </w:pPr>
      <w:r>
        <w:rPr>
          <w:rFonts w:ascii="宋体" w:hAnsi="宋体"/>
          <w:bCs/>
          <w:sz w:val="28"/>
          <w:szCs w:val="28"/>
          <w:highlight w:val="none"/>
        </w:rPr>
        <w:t>18.4电报、电话、电传、邮寄等形式的报价文件概不接</w:t>
      </w:r>
      <w:r>
        <w:rPr>
          <w:rFonts w:hint="eastAsia" w:ascii="宋体" w:hAnsi="宋体"/>
          <w:bCs/>
          <w:sz w:val="28"/>
          <w:szCs w:val="28"/>
          <w:highlight w:val="none"/>
        </w:rPr>
        <w:t>收</w:t>
      </w:r>
      <w:r>
        <w:rPr>
          <w:rFonts w:ascii="宋体" w:hAnsi="宋体"/>
          <w:bCs/>
          <w:sz w:val="28"/>
          <w:szCs w:val="28"/>
          <w:highlight w:val="none"/>
        </w:rPr>
        <w:t>。</w:t>
      </w:r>
    </w:p>
    <w:p w14:paraId="73CAB746">
      <w:pPr>
        <w:adjustRightInd w:val="0"/>
        <w:snapToGrid w:val="0"/>
        <w:spacing w:line="560" w:lineRule="exact"/>
        <w:ind w:firstLine="560" w:firstLineChars="200"/>
        <w:rPr>
          <w:rFonts w:ascii="宋体" w:hAnsi="宋体"/>
          <w:bCs/>
          <w:sz w:val="28"/>
          <w:szCs w:val="28"/>
          <w:highlight w:val="none"/>
        </w:rPr>
      </w:pPr>
      <w:r>
        <w:rPr>
          <w:rFonts w:ascii="宋体" w:hAnsi="宋体"/>
          <w:bCs/>
          <w:sz w:val="28"/>
          <w:szCs w:val="28"/>
          <w:highlight w:val="none"/>
        </w:rPr>
        <w:t>18.5报价文件未按要求密封、标记的，采购机构将拒收。</w:t>
      </w:r>
    </w:p>
    <w:p w14:paraId="5482D6A6">
      <w:pPr>
        <w:pStyle w:val="6"/>
        <w:keepNext w:val="0"/>
        <w:keepLines w:val="0"/>
        <w:adjustRightInd w:val="0"/>
        <w:snapToGrid w:val="0"/>
        <w:spacing w:before="0" w:after="0" w:line="560" w:lineRule="exact"/>
        <w:ind w:firstLine="560" w:firstLineChars="200"/>
        <w:rPr>
          <w:rFonts w:ascii="黑体" w:hAnsi="黑体"/>
          <w:b w:val="0"/>
          <w:highlight w:val="none"/>
        </w:rPr>
      </w:pPr>
      <w:bookmarkStart w:id="203" w:name="_Toc29345"/>
      <w:bookmarkStart w:id="204" w:name="_Toc17963"/>
      <w:bookmarkStart w:id="205" w:name="_Toc112768402"/>
      <w:bookmarkStart w:id="206" w:name="_Toc7126"/>
      <w:bookmarkStart w:id="207" w:name="_Toc18991"/>
      <w:bookmarkStart w:id="208" w:name="_Toc3846"/>
      <w:r>
        <w:rPr>
          <w:rFonts w:ascii="黑体" w:hAnsi="黑体"/>
          <w:b w:val="0"/>
          <w:highlight w:val="none"/>
        </w:rPr>
        <w:t>19.</w:t>
      </w:r>
      <w:r>
        <w:rPr>
          <w:rFonts w:hint="eastAsia" w:ascii="黑体" w:hAnsi="黑体"/>
          <w:b w:val="0"/>
          <w:highlight w:val="none"/>
        </w:rPr>
        <w:t>报价文件的修改和撤回</w:t>
      </w:r>
      <w:bookmarkEnd w:id="203"/>
      <w:bookmarkEnd w:id="204"/>
      <w:bookmarkEnd w:id="205"/>
      <w:bookmarkEnd w:id="206"/>
      <w:bookmarkEnd w:id="207"/>
      <w:bookmarkEnd w:id="208"/>
    </w:p>
    <w:p w14:paraId="3CD709FF">
      <w:pPr>
        <w:adjustRightInd w:val="0"/>
        <w:snapToGrid w:val="0"/>
        <w:spacing w:line="560" w:lineRule="exact"/>
        <w:ind w:firstLine="560" w:firstLineChars="200"/>
        <w:rPr>
          <w:rFonts w:ascii="宋体" w:hAnsi="宋体"/>
          <w:bCs/>
          <w:sz w:val="28"/>
          <w:szCs w:val="28"/>
          <w:highlight w:val="none"/>
          <w:lang w:val="zh-CN"/>
        </w:rPr>
      </w:pPr>
      <w:r>
        <w:rPr>
          <w:rFonts w:ascii="宋体" w:hAnsi="宋体"/>
          <w:bCs/>
          <w:sz w:val="28"/>
          <w:szCs w:val="28"/>
          <w:highlight w:val="none"/>
          <w:lang w:val="zh-CN"/>
        </w:rPr>
        <w:t>19.1</w:t>
      </w:r>
      <w:r>
        <w:rPr>
          <w:rFonts w:hint="eastAsia" w:ascii="宋体" w:hAnsi="宋体"/>
          <w:bCs/>
          <w:sz w:val="28"/>
          <w:szCs w:val="28"/>
          <w:highlight w:val="none"/>
          <w:lang w:val="zh-CN"/>
        </w:rPr>
        <w:t>报价</w:t>
      </w:r>
      <w:r>
        <w:rPr>
          <w:rFonts w:ascii="宋体" w:hAnsi="宋体"/>
          <w:bCs/>
          <w:sz w:val="28"/>
          <w:szCs w:val="28"/>
          <w:highlight w:val="none"/>
          <w:lang w:val="zh-CN"/>
        </w:rPr>
        <w:t>供应商在</w:t>
      </w:r>
      <w:r>
        <w:rPr>
          <w:rFonts w:hint="eastAsia" w:ascii="宋体" w:hAnsi="宋体"/>
          <w:bCs/>
          <w:sz w:val="28"/>
          <w:szCs w:val="28"/>
          <w:highlight w:val="none"/>
          <w:lang w:val="zh-CN"/>
        </w:rPr>
        <w:t>提</w:t>
      </w:r>
      <w:r>
        <w:rPr>
          <w:rFonts w:ascii="宋体" w:hAnsi="宋体"/>
          <w:bCs/>
          <w:sz w:val="28"/>
          <w:szCs w:val="28"/>
          <w:highlight w:val="none"/>
        </w:rPr>
        <w:t>交</w:t>
      </w:r>
      <w:r>
        <w:rPr>
          <w:rFonts w:hint="eastAsia" w:ascii="宋体" w:hAnsi="宋体"/>
          <w:bCs/>
          <w:sz w:val="28"/>
          <w:szCs w:val="28"/>
          <w:highlight w:val="none"/>
        </w:rPr>
        <w:t>首次</w:t>
      </w:r>
      <w:r>
        <w:rPr>
          <w:rFonts w:ascii="宋体" w:hAnsi="宋体"/>
          <w:bCs/>
          <w:sz w:val="28"/>
          <w:szCs w:val="28"/>
          <w:highlight w:val="none"/>
        </w:rPr>
        <w:t>报价文件截止时间</w:t>
      </w:r>
      <w:r>
        <w:rPr>
          <w:rFonts w:ascii="宋体" w:hAnsi="宋体"/>
          <w:bCs/>
          <w:sz w:val="28"/>
          <w:szCs w:val="28"/>
          <w:highlight w:val="none"/>
          <w:lang w:val="zh-CN"/>
        </w:rPr>
        <w:t>前，可以对提交的报价文件进行补充、修改或撤回</w:t>
      </w:r>
      <w:r>
        <w:rPr>
          <w:rFonts w:hint="eastAsia" w:ascii="宋体" w:hAnsi="宋体"/>
          <w:bCs/>
          <w:sz w:val="28"/>
          <w:szCs w:val="28"/>
          <w:highlight w:val="none"/>
          <w:lang w:val="zh-CN"/>
        </w:rPr>
        <w:t>，</w:t>
      </w:r>
      <w:r>
        <w:rPr>
          <w:rFonts w:ascii="宋体" w:hAnsi="宋体"/>
          <w:bCs/>
          <w:sz w:val="28"/>
          <w:szCs w:val="28"/>
          <w:highlight w:val="none"/>
          <w:lang w:val="zh-CN"/>
        </w:rPr>
        <w:t>补充</w:t>
      </w:r>
      <w:r>
        <w:rPr>
          <w:rFonts w:hint="eastAsia" w:ascii="宋体" w:hAnsi="宋体"/>
          <w:bCs/>
          <w:sz w:val="28"/>
          <w:szCs w:val="28"/>
          <w:highlight w:val="none"/>
          <w:lang w:val="zh-CN"/>
        </w:rPr>
        <w:t>或</w:t>
      </w:r>
      <w:r>
        <w:rPr>
          <w:rFonts w:ascii="宋体" w:hAnsi="宋体"/>
          <w:bCs/>
          <w:sz w:val="28"/>
          <w:szCs w:val="28"/>
          <w:highlight w:val="none"/>
          <w:lang w:val="zh-CN"/>
        </w:rPr>
        <w:t>修改的内容应当以书面形式</w:t>
      </w:r>
      <w:r>
        <w:rPr>
          <w:rFonts w:hint="eastAsia" w:ascii="宋体" w:hAnsi="宋体"/>
          <w:bCs/>
          <w:sz w:val="28"/>
          <w:szCs w:val="28"/>
          <w:highlight w:val="none"/>
          <w:lang w:val="zh-CN"/>
        </w:rPr>
        <w:t>提交</w:t>
      </w:r>
      <w:r>
        <w:rPr>
          <w:rFonts w:ascii="宋体" w:hAnsi="宋体"/>
          <w:bCs/>
          <w:sz w:val="28"/>
          <w:szCs w:val="28"/>
          <w:highlight w:val="none"/>
          <w:lang w:val="zh-CN"/>
        </w:rPr>
        <w:t>采购机构，并按照谈判文件要求</w:t>
      </w:r>
      <w:r>
        <w:rPr>
          <w:rFonts w:hint="eastAsia" w:ascii="宋体" w:hAnsi="宋体"/>
          <w:bCs/>
          <w:sz w:val="28"/>
          <w:szCs w:val="28"/>
          <w:highlight w:val="none"/>
          <w:lang w:val="zh-CN"/>
        </w:rPr>
        <w:t>签字</w:t>
      </w:r>
      <w:r>
        <w:rPr>
          <w:rFonts w:ascii="宋体" w:hAnsi="宋体"/>
          <w:bCs/>
          <w:sz w:val="28"/>
          <w:szCs w:val="28"/>
          <w:highlight w:val="none"/>
          <w:lang w:val="zh-CN"/>
        </w:rPr>
        <w:t>盖章，作为报价文件的组成部分。</w:t>
      </w:r>
    </w:p>
    <w:p w14:paraId="418D9291">
      <w:pPr>
        <w:adjustRightInd w:val="0"/>
        <w:snapToGrid w:val="0"/>
        <w:spacing w:line="560" w:lineRule="exact"/>
        <w:ind w:firstLine="560" w:firstLineChars="200"/>
        <w:rPr>
          <w:rFonts w:ascii="宋体" w:hAnsi="宋体"/>
          <w:bCs/>
          <w:sz w:val="28"/>
          <w:szCs w:val="28"/>
          <w:highlight w:val="none"/>
          <w:lang w:val="zh-CN"/>
        </w:rPr>
      </w:pPr>
      <w:r>
        <w:rPr>
          <w:rFonts w:ascii="宋体" w:hAnsi="宋体"/>
          <w:bCs/>
          <w:sz w:val="28"/>
          <w:szCs w:val="28"/>
          <w:highlight w:val="none"/>
          <w:lang w:val="zh-CN"/>
        </w:rPr>
        <w:t>19.2</w:t>
      </w:r>
      <w:r>
        <w:rPr>
          <w:rFonts w:hint="eastAsia" w:ascii="宋体" w:hAnsi="宋体"/>
          <w:bCs/>
          <w:sz w:val="28"/>
          <w:szCs w:val="28"/>
          <w:highlight w:val="none"/>
        </w:rPr>
        <w:t>报价</w:t>
      </w:r>
      <w:r>
        <w:rPr>
          <w:rFonts w:hint="eastAsia" w:ascii="宋体" w:hAnsi="宋体"/>
          <w:bCs/>
          <w:sz w:val="28"/>
          <w:szCs w:val="28"/>
          <w:highlight w:val="none"/>
          <w:lang w:val="zh-CN"/>
        </w:rPr>
        <w:t>截止时间后，</w:t>
      </w:r>
      <w:r>
        <w:rPr>
          <w:rFonts w:ascii="宋体" w:hAnsi="宋体"/>
          <w:bCs/>
          <w:sz w:val="28"/>
          <w:szCs w:val="28"/>
          <w:highlight w:val="none"/>
          <w:lang w:val="zh-CN"/>
        </w:rPr>
        <w:t>采购机构不接受对</w:t>
      </w:r>
      <w:r>
        <w:rPr>
          <w:rFonts w:hint="eastAsia" w:ascii="宋体" w:hAnsi="宋体"/>
          <w:bCs/>
          <w:sz w:val="28"/>
          <w:szCs w:val="28"/>
          <w:highlight w:val="none"/>
        </w:rPr>
        <w:t>报价文件</w:t>
      </w:r>
      <w:r>
        <w:rPr>
          <w:rFonts w:ascii="宋体" w:hAnsi="宋体"/>
          <w:bCs/>
          <w:sz w:val="28"/>
          <w:szCs w:val="28"/>
          <w:highlight w:val="none"/>
          <w:lang w:val="zh-CN"/>
        </w:rPr>
        <w:t>内容的实质性修改</w:t>
      </w:r>
      <w:r>
        <w:rPr>
          <w:rFonts w:hint="eastAsia" w:ascii="宋体" w:hAnsi="宋体"/>
          <w:bCs/>
          <w:sz w:val="28"/>
          <w:szCs w:val="28"/>
          <w:highlight w:val="none"/>
          <w:lang w:val="zh-CN"/>
        </w:rPr>
        <w:t>。</w:t>
      </w:r>
    </w:p>
    <w:p w14:paraId="249F7761">
      <w:pPr>
        <w:adjustRightInd w:val="0"/>
        <w:snapToGrid w:val="0"/>
        <w:spacing w:line="560" w:lineRule="exact"/>
        <w:ind w:firstLine="560" w:firstLineChars="200"/>
        <w:rPr>
          <w:rFonts w:ascii="宋体" w:hAnsi="宋体"/>
          <w:bCs/>
          <w:sz w:val="28"/>
          <w:szCs w:val="28"/>
          <w:highlight w:val="none"/>
        </w:rPr>
      </w:pPr>
      <w:r>
        <w:rPr>
          <w:rFonts w:ascii="宋体" w:hAnsi="宋体"/>
          <w:bCs/>
          <w:sz w:val="28"/>
          <w:szCs w:val="28"/>
          <w:highlight w:val="none"/>
          <w:lang w:val="zh-CN"/>
        </w:rPr>
        <w:t>19.</w:t>
      </w:r>
      <w:r>
        <w:rPr>
          <w:rFonts w:ascii="宋体" w:hAnsi="宋体"/>
          <w:bCs/>
          <w:sz w:val="28"/>
          <w:szCs w:val="28"/>
          <w:highlight w:val="none"/>
        </w:rPr>
        <w:t>3</w:t>
      </w:r>
      <w:r>
        <w:rPr>
          <w:rFonts w:hint="eastAsia" w:ascii="宋体" w:hAnsi="宋体"/>
          <w:bCs/>
          <w:sz w:val="28"/>
          <w:szCs w:val="28"/>
          <w:highlight w:val="none"/>
        </w:rPr>
        <w:t>报价</w:t>
      </w:r>
      <w:r>
        <w:rPr>
          <w:rFonts w:ascii="宋体" w:hAnsi="宋体"/>
          <w:bCs/>
          <w:sz w:val="28"/>
          <w:szCs w:val="28"/>
          <w:highlight w:val="none"/>
          <w:lang w:val="zh-CN"/>
        </w:rPr>
        <w:t>供应商修改报价文件的书面材料，</w:t>
      </w:r>
      <w:r>
        <w:rPr>
          <w:rFonts w:hint="eastAsia" w:ascii="宋体" w:hAnsi="宋体"/>
          <w:bCs/>
          <w:sz w:val="28"/>
          <w:szCs w:val="28"/>
          <w:highlight w:val="none"/>
        </w:rPr>
        <w:t>应当</w:t>
      </w:r>
      <w:r>
        <w:rPr>
          <w:rFonts w:ascii="宋体" w:hAnsi="宋体"/>
          <w:bCs/>
          <w:sz w:val="28"/>
          <w:szCs w:val="28"/>
          <w:highlight w:val="none"/>
        </w:rPr>
        <w:t>密封送达谈判地点，并在封面上标明项目名称、项目编号、</w:t>
      </w:r>
      <w:r>
        <w:rPr>
          <w:rFonts w:hint="eastAsia" w:ascii="宋体" w:hAnsi="宋体"/>
          <w:bCs/>
          <w:sz w:val="28"/>
          <w:szCs w:val="28"/>
          <w:highlight w:val="none"/>
        </w:rPr>
        <w:t>报价</w:t>
      </w:r>
      <w:r>
        <w:rPr>
          <w:rFonts w:ascii="宋体" w:hAnsi="宋体"/>
          <w:bCs/>
          <w:sz w:val="28"/>
          <w:szCs w:val="28"/>
          <w:highlight w:val="none"/>
        </w:rPr>
        <w:t>供应商名称和</w:t>
      </w:r>
      <w:r>
        <w:rPr>
          <w:rFonts w:hint="eastAsia" w:ascii="宋体" w:hAnsi="宋体"/>
          <w:bCs/>
          <w:sz w:val="28"/>
          <w:szCs w:val="28"/>
          <w:highlight w:val="none"/>
        </w:rPr>
        <w:t>“</w:t>
      </w:r>
      <w:r>
        <w:rPr>
          <w:rFonts w:ascii="宋体" w:hAnsi="宋体"/>
          <w:bCs/>
          <w:sz w:val="28"/>
          <w:szCs w:val="28"/>
          <w:highlight w:val="none"/>
        </w:rPr>
        <w:t>谈判修改文件</w:t>
      </w:r>
      <w:r>
        <w:rPr>
          <w:rFonts w:hint="eastAsia" w:ascii="宋体" w:hAnsi="宋体"/>
          <w:bCs/>
          <w:sz w:val="28"/>
          <w:szCs w:val="28"/>
          <w:highlight w:val="none"/>
        </w:rPr>
        <w:t>”</w:t>
      </w:r>
      <w:r>
        <w:rPr>
          <w:rFonts w:ascii="宋体" w:hAnsi="宋体"/>
          <w:bCs/>
          <w:sz w:val="28"/>
          <w:szCs w:val="28"/>
          <w:highlight w:val="none"/>
        </w:rPr>
        <w:t>“谈判时启封”字样。</w:t>
      </w:r>
    </w:p>
    <w:p w14:paraId="5E3FF45E">
      <w:pPr>
        <w:adjustRightInd w:val="0"/>
        <w:snapToGrid w:val="0"/>
        <w:spacing w:line="560" w:lineRule="exact"/>
        <w:ind w:firstLine="560" w:firstLineChars="200"/>
        <w:rPr>
          <w:rFonts w:ascii="宋体" w:hAnsi="宋体"/>
          <w:bCs/>
          <w:sz w:val="28"/>
          <w:szCs w:val="28"/>
          <w:highlight w:val="none"/>
        </w:rPr>
      </w:pPr>
      <w:r>
        <w:rPr>
          <w:rFonts w:ascii="宋体" w:hAnsi="宋体"/>
          <w:bCs/>
          <w:sz w:val="28"/>
          <w:szCs w:val="28"/>
          <w:highlight w:val="none"/>
        </w:rPr>
        <w:t>19.4</w:t>
      </w:r>
      <w:r>
        <w:rPr>
          <w:rFonts w:hint="eastAsia" w:ascii="宋体" w:hAnsi="宋体"/>
          <w:bCs/>
          <w:sz w:val="28"/>
          <w:szCs w:val="28"/>
          <w:highlight w:val="none"/>
        </w:rPr>
        <w:t>报价</w:t>
      </w:r>
      <w:r>
        <w:rPr>
          <w:rFonts w:ascii="宋体" w:hAnsi="宋体"/>
          <w:bCs/>
          <w:sz w:val="28"/>
          <w:szCs w:val="28"/>
          <w:highlight w:val="none"/>
        </w:rPr>
        <w:t>供应商撤回</w:t>
      </w:r>
      <w:r>
        <w:rPr>
          <w:rFonts w:hint="eastAsia" w:ascii="宋体" w:hAnsi="宋体"/>
          <w:bCs/>
          <w:sz w:val="28"/>
          <w:szCs w:val="28"/>
          <w:highlight w:val="none"/>
        </w:rPr>
        <w:t>报价文件</w:t>
      </w:r>
      <w:r>
        <w:rPr>
          <w:rFonts w:ascii="宋体" w:hAnsi="宋体"/>
          <w:bCs/>
          <w:sz w:val="28"/>
          <w:szCs w:val="28"/>
          <w:highlight w:val="none"/>
        </w:rPr>
        <w:t>应当以书面形式通知采购机构。采取电报或传真形式撤回谈判的，</w:t>
      </w:r>
      <w:r>
        <w:rPr>
          <w:rFonts w:hint="eastAsia" w:ascii="宋体" w:hAnsi="宋体"/>
          <w:bCs/>
          <w:sz w:val="28"/>
          <w:szCs w:val="28"/>
          <w:highlight w:val="none"/>
        </w:rPr>
        <w:t>应当</w:t>
      </w:r>
      <w:r>
        <w:rPr>
          <w:rFonts w:ascii="宋体" w:hAnsi="宋体"/>
          <w:bCs/>
          <w:sz w:val="28"/>
          <w:szCs w:val="28"/>
          <w:highlight w:val="none"/>
        </w:rPr>
        <w:t>补充法定代表人或授权代表</w:t>
      </w:r>
      <w:r>
        <w:rPr>
          <w:rFonts w:hint="eastAsia" w:ascii="宋体" w:hAnsi="宋体"/>
          <w:bCs/>
          <w:sz w:val="28"/>
          <w:szCs w:val="28"/>
          <w:highlight w:val="none"/>
        </w:rPr>
        <w:t>签字</w:t>
      </w:r>
      <w:r>
        <w:rPr>
          <w:rFonts w:ascii="宋体" w:hAnsi="宋体"/>
          <w:bCs/>
          <w:sz w:val="28"/>
          <w:szCs w:val="28"/>
          <w:highlight w:val="none"/>
        </w:rPr>
        <w:t>的撤回</w:t>
      </w:r>
      <w:r>
        <w:rPr>
          <w:rFonts w:hint="eastAsia" w:ascii="宋体" w:hAnsi="宋体"/>
          <w:bCs/>
          <w:sz w:val="28"/>
          <w:szCs w:val="28"/>
          <w:highlight w:val="none"/>
        </w:rPr>
        <w:t>报价文件</w:t>
      </w:r>
      <w:r>
        <w:rPr>
          <w:rFonts w:ascii="宋体" w:hAnsi="宋体"/>
          <w:bCs/>
          <w:sz w:val="28"/>
          <w:szCs w:val="28"/>
          <w:highlight w:val="none"/>
        </w:rPr>
        <w:t>的正式文件。撤回</w:t>
      </w:r>
      <w:r>
        <w:rPr>
          <w:rFonts w:hint="eastAsia" w:ascii="宋体" w:hAnsi="宋体"/>
          <w:bCs/>
          <w:sz w:val="28"/>
          <w:szCs w:val="28"/>
          <w:highlight w:val="none"/>
        </w:rPr>
        <w:t>报价文件</w:t>
      </w:r>
      <w:r>
        <w:rPr>
          <w:rFonts w:ascii="宋体" w:hAnsi="宋体"/>
          <w:bCs/>
          <w:sz w:val="28"/>
          <w:szCs w:val="28"/>
          <w:highlight w:val="none"/>
        </w:rPr>
        <w:t>的时间以</w:t>
      </w:r>
      <w:r>
        <w:rPr>
          <w:rFonts w:hint="eastAsia" w:ascii="宋体" w:hAnsi="宋体"/>
          <w:bCs/>
          <w:sz w:val="28"/>
          <w:szCs w:val="28"/>
          <w:highlight w:val="none"/>
        </w:rPr>
        <w:t>报价</w:t>
      </w:r>
      <w:r>
        <w:rPr>
          <w:rFonts w:ascii="宋体" w:hAnsi="宋体"/>
          <w:bCs/>
          <w:sz w:val="28"/>
          <w:szCs w:val="28"/>
          <w:highlight w:val="none"/>
        </w:rPr>
        <w:t>供应商的书面撤回通知送达采购机构时间为准。</w:t>
      </w:r>
    </w:p>
    <w:p w14:paraId="0130E0A7">
      <w:pPr>
        <w:adjustRightInd w:val="0"/>
        <w:snapToGrid w:val="0"/>
        <w:spacing w:line="560" w:lineRule="exact"/>
        <w:ind w:firstLine="560" w:firstLineChars="200"/>
        <w:rPr>
          <w:rFonts w:ascii="宋体" w:hAnsi="宋体"/>
          <w:bCs/>
          <w:sz w:val="28"/>
          <w:szCs w:val="28"/>
          <w:highlight w:val="none"/>
        </w:rPr>
      </w:pPr>
      <w:r>
        <w:rPr>
          <w:rFonts w:ascii="宋体" w:hAnsi="宋体"/>
          <w:bCs/>
          <w:sz w:val="28"/>
          <w:szCs w:val="28"/>
          <w:highlight w:val="none"/>
        </w:rPr>
        <w:t>19.5</w:t>
      </w:r>
      <w:bookmarkStart w:id="209" w:name="_Hlk150331220"/>
      <w:bookmarkStart w:id="210" w:name="_Toc112317771"/>
      <w:r>
        <w:rPr>
          <w:rFonts w:hint="eastAsia" w:ascii="宋体" w:hAnsi="宋体"/>
          <w:bCs/>
          <w:sz w:val="28"/>
          <w:szCs w:val="28"/>
          <w:highlight w:val="none"/>
        </w:rPr>
        <w:t>报价供应商在提交首次报价文件截止时间后，至谈判结束前，均不得撤回报价文件。供应商在进入谈判至提交最终报价前，可以根据谈判进展情况退出谈判；退出谈判的，不计入评审排名，应退还谈判保证金；退出谈判且撤回报价文件的，不予退还谈判保证金</w:t>
      </w:r>
      <w:bookmarkEnd w:id="209"/>
      <w:r>
        <w:rPr>
          <w:rFonts w:hint="eastAsia" w:ascii="宋体" w:hAnsi="宋体"/>
          <w:bCs/>
          <w:sz w:val="28"/>
          <w:szCs w:val="28"/>
          <w:highlight w:val="none"/>
        </w:rPr>
        <w:t>。</w:t>
      </w:r>
    </w:p>
    <w:p w14:paraId="63F36C02">
      <w:pPr>
        <w:pStyle w:val="5"/>
        <w:keepNext w:val="0"/>
        <w:keepLines w:val="0"/>
        <w:adjustRightInd w:val="0"/>
        <w:snapToGrid w:val="0"/>
        <w:spacing w:before="120" w:beforeLines="50" w:after="120" w:afterLines="50" w:line="560" w:lineRule="exact"/>
        <w:jc w:val="center"/>
        <w:rPr>
          <w:b w:val="0"/>
          <w:highlight w:val="none"/>
        </w:rPr>
      </w:pPr>
      <w:bookmarkStart w:id="211" w:name="_Toc4312"/>
      <w:bookmarkStart w:id="212" w:name="_Toc12345"/>
      <w:bookmarkStart w:id="213" w:name="_Toc11435"/>
      <w:bookmarkStart w:id="214" w:name="_Toc112768403"/>
      <w:bookmarkStart w:id="215" w:name="_Toc14953"/>
      <w:bookmarkStart w:id="216" w:name="_Toc18473"/>
      <w:bookmarkStart w:id="217" w:name="_Toc28021"/>
      <w:bookmarkStart w:id="218" w:name="_Toc24026"/>
      <w:bookmarkStart w:id="219" w:name="_Toc152058256"/>
      <w:bookmarkStart w:id="220" w:name="_Toc24471"/>
      <w:bookmarkStart w:id="221" w:name="_Toc23985"/>
      <w:bookmarkStart w:id="222" w:name="_Toc11417"/>
      <w:bookmarkStart w:id="223" w:name="_Toc7001"/>
      <w:r>
        <w:rPr>
          <w:rFonts w:hint="eastAsia"/>
          <w:b w:val="0"/>
          <w:highlight w:val="none"/>
        </w:rPr>
        <w:t>五、</w:t>
      </w:r>
      <w:bookmarkEnd w:id="210"/>
      <w:r>
        <w:rPr>
          <w:rFonts w:hint="eastAsia"/>
          <w:b w:val="0"/>
          <w:highlight w:val="none"/>
        </w:rPr>
        <w:t>谈判与评审</w:t>
      </w:r>
      <w:bookmarkEnd w:id="211"/>
      <w:bookmarkEnd w:id="212"/>
      <w:bookmarkEnd w:id="213"/>
      <w:bookmarkEnd w:id="214"/>
      <w:bookmarkEnd w:id="215"/>
      <w:bookmarkEnd w:id="216"/>
      <w:bookmarkEnd w:id="217"/>
      <w:bookmarkEnd w:id="218"/>
      <w:bookmarkEnd w:id="219"/>
      <w:bookmarkEnd w:id="220"/>
      <w:bookmarkEnd w:id="221"/>
      <w:bookmarkEnd w:id="222"/>
      <w:bookmarkEnd w:id="223"/>
    </w:p>
    <w:p w14:paraId="0AD62AD2">
      <w:pPr>
        <w:pStyle w:val="6"/>
        <w:keepNext w:val="0"/>
        <w:keepLines w:val="0"/>
        <w:adjustRightInd w:val="0"/>
        <w:snapToGrid w:val="0"/>
        <w:spacing w:before="0" w:after="0" w:line="560" w:lineRule="exact"/>
        <w:ind w:firstLine="560" w:firstLineChars="200"/>
        <w:rPr>
          <w:rFonts w:ascii="黑体" w:hAnsi="黑体"/>
          <w:b w:val="0"/>
          <w:highlight w:val="none"/>
        </w:rPr>
      </w:pPr>
      <w:bookmarkStart w:id="224" w:name="_Toc31840"/>
      <w:bookmarkStart w:id="225" w:name="_Toc4028"/>
      <w:bookmarkStart w:id="226" w:name="_Toc2752"/>
      <w:bookmarkStart w:id="227" w:name="_Toc15066"/>
      <w:bookmarkStart w:id="228" w:name="_Toc20834"/>
      <w:bookmarkStart w:id="229" w:name="_Toc112768404"/>
      <w:r>
        <w:rPr>
          <w:rFonts w:hint="eastAsia" w:ascii="黑体" w:hAnsi="黑体"/>
          <w:b w:val="0"/>
          <w:highlight w:val="none"/>
        </w:rPr>
        <w:t>20.报价文件开启</w:t>
      </w:r>
    </w:p>
    <w:p w14:paraId="4F4F5DB2">
      <w:pPr>
        <w:autoSpaceDE w:val="0"/>
        <w:autoSpaceDN w:val="0"/>
        <w:adjustRightInd w:val="0"/>
        <w:snapToGrid w:val="0"/>
        <w:spacing w:line="560" w:lineRule="exact"/>
        <w:ind w:firstLine="560" w:firstLineChars="200"/>
        <w:rPr>
          <w:rFonts w:ascii="宋体" w:hAnsi="宋体"/>
          <w:b/>
          <w:snapToGrid w:val="0"/>
          <w:highlight w:val="none"/>
          <w:lang w:val="zh-CN"/>
        </w:rPr>
      </w:pPr>
      <w:r>
        <w:rPr>
          <w:rFonts w:ascii="宋体" w:hAnsi="宋体"/>
          <w:bCs/>
          <w:snapToGrid w:val="0"/>
          <w:sz w:val="28"/>
          <w:szCs w:val="28"/>
          <w:highlight w:val="none"/>
          <w:lang w:val="zh-CN"/>
        </w:rPr>
        <w:t>20.1</w:t>
      </w:r>
      <w:r>
        <w:rPr>
          <w:rFonts w:hint="eastAsia" w:ascii="宋体" w:hAnsi="宋体"/>
          <w:bCs/>
          <w:sz w:val="28"/>
          <w:szCs w:val="28"/>
          <w:highlight w:val="none"/>
        </w:rPr>
        <w:t>成功提交报价文件的报价供应商不足</w:t>
      </w:r>
      <w:r>
        <w:rPr>
          <w:rFonts w:ascii="宋体" w:hAnsi="宋体"/>
          <w:bCs/>
          <w:sz w:val="28"/>
          <w:szCs w:val="28"/>
          <w:highlight w:val="none"/>
        </w:rPr>
        <w:t>3家的，</w:t>
      </w:r>
      <w:r>
        <w:rPr>
          <w:rFonts w:hint="eastAsia" w:ascii="宋体" w:hAnsi="宋体"/>
          <w:bCs/>
          <w:sz w:val="28"/>
          <w:szCs w:val="28"/>
          <w:highlight w:val="none"/>
        </w:rPr>
        <w:t>一般不得组织谈判，满足第</w:t>
      </w:r>
      <w:r>
        <w:rPr>
          <w:rFonts w:ascii="宋体" w:hAnsi="宋体"/>
          <w:bCs/>
          <w:sz w:val="28"/>
          <w:szCs w:val="28"/>
          <w:highlight w:val="none"/>
        </w:rPr>
        <w:t>41.1</w:t>
      </w:r>
      <w:r>
        <w:rPr>
          <w:rFonts w:hint="eastAsia" w:ascii="宋体" w:hAnsi="宋体"/>
          <w:bCs/>
          <w:sz w:val="28"/>
          <w:szCs w:val="28"/>
          <w:highlight w:val="none"/>
        </w:rPr>
        <w:t>条情形的除外。</w:t>
      </w:r>
      <w:r>
        <w:rPr>
          <w:rFonts w:ascii="宋体" w:hAnsi="宋体"/>
          <w:bCs/>
          <w:snapToGrid w:val="0"/>
          <w:sz w:val="28"/>
          <w:szCs w:val="28"/>
          <w:highlight w:val="none"/>
          <w:lang w:val="zh-CN"/>
        </w:rPr>
        <w:t>报价文件开启时间及地点见【</w:t>
      </w:r>
      <w:r>
        <w:rPr>
          <w:rFonts w:hint="eastAsia" w:asciiTheme="minorEastAsia" w:hAnsiTheme="minorEastAsia" w:eastAsiaTheme="minorEastAsia"/>
          <w:bCs/>
          <w:sz w:val="28"/>
          <w:szCs w:val="28"/>
          <w:highlight w:val="none"/>
        </w:rPr>
        <w:t>报价供应商</w:t>
      </w:r>
      <w:r>
        <w:rPr>
          <w:rFonts w:hint="eastAsia" w:ascii="宋体" w:hAnsi="宋体"/>
          <w:bCs/>
          <w:snapToGrid w:val="0"/>
          <w:sz w:val="28"/>
          <w:szCs w:val="28"/>
          <w:highlight w:val="none"/>
          <w:lang w:val="zh-CN"/>
        </w:rPr>
        <w:t>须知前附表】。</w:t>
      </w:r>
    </w:p>
    <w:p w14:paraId="35A1716D">
      <w:pPr>
        <w:pStyle w:val="6"/>
        <w:keepNext w:val="0"/>
        <w:keepLines w:val="0"/>
        <w:adjustRightInd w:val="0"/>
        <w:snapToGrid w:val="0"/>
        <w:spacing w:before="0" w:after="0" w:line="560" w:lineRule="exact"/>
        <w:ind w:firstLine="560" w:firstLineChars="200"/>
        <w:rPr>
          <w:rFonts w:ascii="黑体" w:hAnsi="黑体"/>
          <w:b w:val="0"/>
          <w:highlight w:val="none"/>
        </w:rPr>
      </w:pPr>
      <w:r>
        <w:rPr>
          <w:rFonts w:ascii="黑体" w:hAnsi="黑体"/>
          <w:b w:val="0"/>
          <w:highlight w:val="none"/>
        </w:rPr>
        <w:t>21.</w:t>
      </w:r>
      <w:r>
        <w:rPr>
          <w:rFonts w:hint="eastAsia" w:ascii="黑体" w:hAnsi="黑体"/>
          <w:b w:val="0"/>
          <w:highlight w:val="none"/>
        </w:rPr>
        <w:t>评审</w:t>
      </w:r>
      <w:bookmarkEnd w:id="224"/>
      <w:bookmarkEnd w:id="225"/>
      <w:bookmarkEnd w:id="226"/>
      <w:bookmarkEnd w:id="227"/>
      <w:bookmarkEnd w:id="228"/>
      <w:bookmarkEnd w:id="229"/>
      <w:r>
        <w:rPr>
          <w:rFonts w:hint="eastAsia" w:ascii="黑体" w:hAnsi="黑体"/>
          <w:b w:val="0"/>
          <w:highlight w:val="none"/>
        </w:rPr>
        <w:t>原则</w:t>
      </w:r>
    </w:p>
    <w:p w14:paraId="6C2932C0">
      <w:pPr>
        <w:adjustRightInd w:val="0"/>
        <w:snapToGrid w:val="0"/>
        <w:spacing w:line="560" w:lineRule="exact"/>
        <w:ind w:firstLine="560" w:firstLineChars="200"/>
        <w:rPr>
          <w:rFonts w:ascii="宋体" w:hAnsi="宋体"/>
          <w:bCs/>
          <w:sz w:val="28"/>
          <w:szCs w:val="28"/>
          <w:highlight w:val="none"/>
        </w:rPr>
      </w:pPr>
      <w:r>
        <w:rPr>
          <w:rFonts w:ascii="宋体" w:hAnsi="宋体"/>
          <w:bCs/>
          <w:sz w:val="28"/>
          <w:szCs w:val="28"/>
          <w:highlight w:val="none"/>
        </w:rPr>
        <w:t>21.1评审原则</w:t>
      </w:r>
    </w:p>
    <w:p w14:paraId="1F4844B7">
      <w:pPr>
        <w:adjustRightInd w:val="0"/>
        <w:snapToGrid w:val="0"/>
        <w:spacing w:line="560" w:lineRule="exact"/>
        <w:ind w:firstLine="560" w:firstLineChars="200"/>
        <w:rPr>
          <w:rFonts w:ascii="宋体" w:hAnsi="宋体"/>
          <w:bCs/>
          <w:sz w:val="28"/>
          <w:szCs w:val="28"/>
          <w:highlight w:val="none"/>
        </w:rPr>
      </w:pPr>
      <w:r>
        <w:rPr>
          <w:rFonts w:hint="eastAsia" w:ascii="宋体" w:hAnsi="宋体"/>
          <w:bCs/>
          <w:sz w:val="28"/>
          <w:szCs w:val="28"/>
          <w:highlight w:val="none"/>
        </w:rPr>
        <w:t>（</w:t>
      </w:r>
      <w:r>
        <w:rPr>
          <w:rFonts w:ascii="宋体" w:hAnsi="宋体"/>
          <w:bCs/>
          <w:sz w:val="28"/>
          <w:szCs w:val="28"/>
          <w:highlight w:val="none"/>
        </w:rPr>
        <w:t>1）评审活动遵循公平、公正、科学和择优的原则</w:t>
      </w:r>
      <w:r>
        <w:rPr>
          <w:rFonts w:hint="eastAsia" w:ascii="宋体" w:hAnsi="宋体"/>
          <w:bCs/>
          <w:sz w:val="28"/>
          <w:szCs w:val="28"/>
          <w:highlight w:val="none"/>
        </w:rPr>
        <w:t>。</w:t>
      </w:r>
    </w:p>
    <w:p w14:paraId="5B45CF45">
      <w:pPr>
        <w:adjustRightInd w:val="0"/>
        <w:snapToGrid w:val="0"/>
        <w:spacing w:line="560" w:lineRule="exact"/>
        <w:ind w:firstLine="560" w:firstLineChars="200"/>
        <w:rPr>
          <w:bCs/>
          <w:sz w:val="28"/>
          <w:szCs w:val="28"/>
          <w:highlight w:val="none"/>
        </w:rPr>
      </w:pPr>
      <w:r>
        <w:rPr>
          <w:rFonts w:hint="eastAsia" w:ascii="宋体" w:hAnsi="宋体"/>
          <w:bCs/>
          <w:sz w:val="28"/>
          <w:szCs w:val="28"/>
          <w:highlight w:val="none"/>
        </w:rPr>
        <w:t>（</w:t>
      </w:r>
      <w:r>
        <w:rPr>
          <w:rFonts w:ascii="宋体" w:hAnsi="宋体"/>
          <w:bCs/>
          <w:sz w:val="28"/>
          <w:szCs w:val="28"/>
          <w:highlight w:val="none"/>
        </w:rPr>
        <w:t>2</w:t>
      </w:r>
      <w:r>
        <w:rPr>
          <w:rFonts w:hint="eastAsia" w:ascii="宋体" w:hAnsi="宋体"/>
          <w:bCs/>
          <w:sz w:val="28"/>
          <w:szCs w:val="28"/>
          <w:highlight w:val="none"/>
        </w:rPr>
        <w:t>）严格依据谈判文件规定的评审方法、程序和标准评审。不得以投票表决等形式修改谈判文件规定的评审方法、程序和标准；谈判文件</w:t>
      </w:r>
      <w:r>
        <w:rPr>
          <w:rFonts w:hint="eastAsia"/>
          <w:bCs/>
          <w:sz w:val="28"/>
          <w:szCs w:val="28"/>
          <w:highlight w:val="none"/>
        </w:rPr>
        <w:t>没有规定的评审方法、程序和标准，不得作为</w:t>
      </w:r>
      <w:r>
        <w:rPr>
          <w:rFonts w:hint="eastAsia" w:ascii="宋体" w:hAnsi="宋体"/>
          <w:bCs/>
          <w:sz w:val="28"/>
          <w:szCs w:val="28"/>
          <w:highlight w:val="none"/>
        </w:rPr>
        <w:t>评审</w:t>
      </w:r>
      <w:r>
        <w:rPr>
          <w:rFonts w:hint="eastAsia"/>
          <w:bCs/>
          <w:sz w:val="28"/>
          <w:szCs w:val="28"/>
          <w:highlight w:val="none"/>
        </w:rPr>
        <w:t>依据。</w:t>
      </w:r>
    </w:p>
    <w:p w14:paraId="1265909B">
      <w:pPr>
        <w:adjustRightInd w:val="0"/>
        <w:snapToGrid w:val="0"/>
        <w:spacing w:line="560" w:lineRule="exact"/>
        <w:ind w:firstLine="560" w:firstLineChars="200"/>
        <w:rPr>
          <w:rFonts w:ascii="宋体" w:hAnsi="宋体"/>
          <w:bCs/>
          <w:sz w:val="28"/>
          <w:szCs w:val="28"/>
          <w:highlight w:val="none"/>
        </w:rPr>
      </w:pPr>
      <w:r>
        <w:rPr>
          <w:rFonts w:hint="eastAsia" w:ascii="宋体" w:hAnsi="宋体"/>
          <w:bCs/>
          <w:sz w:val="28"/>
          <w:szCs w:val="28"/>
          <w:highlight w:val="none"/>
        </w:rPr>
        <w:t>（</w:t>
      </w:r>
      <w:r>
        <w:rPr>
          <w:rFonts w:ascii="宋体" w:hAnsi="宋体"/>
          <w:bCs/>
          <w:sz w:val="28"/>
          <w:szCs w:val="28"/>
          <w:highlight w:val="none"/>
        </w:rPr>
        <w:t>3）对所有</w:t>
      </w:r>
      <w:r>
        <w:rPr>
          <w:rFonts w:hint="eastAsia" w:ascii="宋体" w:hAnsi="宋体"/>
          <w:bCs/>
          <w:sz w:val="28"/>
          <w:szCs w:val="28"/>
          <w:highlight w:val="none"/>
        </w:rPr>
        <w:t>报价文件的评审依据和评审尺度保持一致。</w:t>
      </w:r>
    </w:p>
    <w:p w14:paraId="311AE1C2">
      <w:pPr>
        <w:adjustRightInd w:val="0"/>
        <w:snapToGrid w:val="0"/>
        <w:spacing w:line="560" w:lineRule="exact"/>
        <w:ind w:firstLine="560" w:firstLineChars="200"/>
        <w:rPr>
          <w:rFonts w:ascii="宋体" w:hAnsi="宋体"/>
          <w:bCs/>
          <w:sz w:val="28"/>
          <w:szCs w:val="28"/>
          <w:highlight w:val="none"/>
        </w:rPr>
      </w:pPr>
      <w:r>
        <w:rPr>
          <w:rFonts w:hint="eastAsia" w:ascii="宋体" w:hAnsi="宋体"/>
          <w:bCs/>
          <w:sz w:val="28"/>
          <w:szCs w:val="28"/>
          <w:highlight w:val="none"/>
        </w:rPr>
        <w:t>（</w:t>
      </w:r>
      <w:r>
        <w:rPr>
          <w:rFonts w:ascii="宋体" w:hAnsi="宋体"/>
          <w:bCs/>
          <w:sz w:val="28"/>
          <w:szCs w:val="28"/>
          <w:highlight w:val="none"/>
        </w:rPr>
        <w:t>4）</w:t>
      </w:r>
      <w:r>
        <w:rPr>
          <w:rFonts w:hint="eastAsia" w:ascii="宋体" w:hAnsi="宋体"/>
          <w:bCs/>
          <w:sz w:val="28"/>
          <w:szCs w:val="28"/>
          <w:highlight w:val="none"/>
        </w:rPr>
        <w:t>对谈判文件和报价文件的解释澄清，在不改变文件原义的前提下，应当以有利于报价供应商为原则。</w:t>
      </w:r>
    </w:p>
    <w:p w14:paraId="38B6EFB8">
      <w:pPr>
        <w:pStyle w:val="6"/>
        <w:keepNext w:val="0"/>
        <w:keepLines w:val="0"/>
        <w:adjustRightInd w:val="0"/>
        <w:snapToGrid w:val="0"/>
        <w:spacing w:before="0" w:after="0" w:line="560" w:lineRule="exact"/>
        <w:ind w:firstLine="560" w:firstLineChars="200"/>
        <w:rPr>
          <w:rFonts w:ascii="黑体" w:hAnsi="黑体"/>
          <w:b w:val="0"/>
          <w:highlight w:val="none"/>
        </w:rPr>
      </w:pPr>
      <w:r>
        <w:rPr>
          <w:rFonts w:hint="eastAsia" w:ascii="黑体" w:hAnsi="黑体"/>
          <w:b w:val="0"/>
          <w:highlight w:val="none"/>
        </w:rPr>
        <w:t>2</w:t>
      </w:r>
      <w:r>
        <w:rPr>
          <w:rFonts w:ascii="黑体" w:hAnsi="黑体"/>
          <w:b w:val="0"/>
          <w:highlight w:val="none"/>
        </w:rPr>
        <w:t>2.</w:t>
      </w:r>
      <w:r>
        <w:rPr>
          <w:rFonts w:hint="eastAsia" w:ascii="黑体" w:hAnsi="黑体"/>
          <w:b w:val="0"/>
          <w:highlight w:val="none"/>
        </w:rPr>
        <w:t>评审方法</w:t>
      </w:r>
    </w:p>
    <w:p w14:paraId="2CBD8430">
      <w:pPr>
        <w:adjustRightInd w:val="0"/>
        <w:snapToGrid w:val="0"/>
        <w:spacing w:line="560" w:lineRule="exact"/>
        <w:ind w:firstLine="560" w:firstLineChars="200"/>
        <w:rPr>
          <w:rFonts w:ascii="宋体" w:hAnsi="宋体"/>
          <w:bCs/>
          <w:sz w:val="28"/>
          <w:szCs w:val="28"/>
          <w:highlight w:val="none"/>
        </w:rPr>
      </w:pPr>
      <w:r>
        <w:rPr>
          <w:rFonts w:ascii="宋体" w:hAnsi="宋体"/>
          <w:bCs/>
          <w:sz w:val="28"/>
          <w:szCs w:val="28"/>
          <w:highlight w:val="none"/>
        </w:rPr>
        <w:t>22.1评</w:t>
      </w:r>
      <w:r>
        <w:rPr>
          <w:rFonts w:hint="eastAsia" w:ascii="宋体" w:hAnsi="宋体"/>
          <w:bCs/>
          <w:sz w:val="28"/>
          <w:szCs w:val="28"/>
          <w:highlight w:val="none"/>
        </w:rPr>
        <w:t>审</w:t>
      </w:r>
      <w:r>
        <w:rPr>
          <w:rFonts w:ascii="宋体" w:hAnsi="宋体"/>
          <w:bCs/>
          <w:sz w:val="28"/>
          <w:szCs w:val="28"/>
          <w:highlight w:val="none"/>
        </w:rPr>
        <w:t>方法</w:t>
      </w:r>
    </w:p>
    <w:p w14:paraId="33014195">
      <w:pPr>
        <w:adjustRightInd w:val="0"/>
        <w:snapToGrid w:val="0"/>
        <w:spacing w:line="560" w:lineRule="exact"/>
        <w:ind w:firstLine="560" w:firstLineChars="200"/>
        <w:rPr>
          <w:rFonts w:ascii="宋体" w:hAnsi="宋体"/>
          <w:bCs/>
          <w:sz w:val="28"/>
          <w:szCs w:val="28"/>
          <w:highlight w:val="none"/>
        </w:rPr>
      </w:pPr>
      <w:r>
        <w:rPr>
          <w:rFonts w:hint="eastAsia" w:asciiTheme="minorEastAsia" w:hAnsiTheme="minorEastAsia" w:eastAsiaTheme="minorEastAsia"/>
          <w:bCs/>
          <w:sz w:val="28"/>
          <w:szCs w:val="28"/>
          <w:highlight w:val="none"/>
        </w:rPr>
        <w:t>采购机构在【报价供应商须知前附表】中明确采用下列一种评审方法：</w:t>
      </w:r>
    </w:p>
    <w:p w14:paraId="45555F30">
      <w:pPr>
        <w:adjustRightInd w:val="0"/>
        <w:snapToGrid w:val="0"/>
        <w:spacing w:line="560" w:lineRule="exact"/>
        <w:ind w:firstLine="560" w:firstLineChars="200"/>
        <w:rPr>
          <w:rFonts w:ascii="宋体" w:hAnsi="宋体"/>
          <w:bCs/>
          <w:sz w:val="28"/>
          <w:szCs w:val="28"/>
          <w:highlight w:val="none"/>
        </w:rPr>
      </w:pPr>
      <w:r>
        <w:rPr>
          <w:rFonts w:hint="eastAsia" w:ascii="宋体" w:hAnsi="宋体"/>
          <w:bCs/>
          <w:sz w:val="28"/>
          <w:szCs w:val="28"/>
          <w:highlight w:val="none"/>
        </w:rPr>
        <w:t>（</w:t>
      </w:r>
      <w:r>
        <w:rPr>
          <w:rFonts w:ascii="宋体" w:hAnsi="宋体"/>
          <w:bCs/>
          <w:sz w:val="28"/>
          <w:szCs w:val="28"/>
          <w:highlight w:val="none"/>
        </w:rPr>
        <w:t>1）</w:t>
      </w:r>
      <w:r>
        <w:rPr>
          <w:rFonts w:hint="eastAsia" w:ascii="宋体" w:hAnsi="宋体"/>
          <w:bCs/>
          <w:sz w:val="28"/>
          <w:szCs w:val="28"/>
          <w:highlight w:val="none"/>
        </w:rPr>
        <w:t>综合评分法，是指报价文件满足谈判文件资格性和符合性要求，将按照评审标准综合评审得分最高的报价供应商，作为预成交供应商的评审方法。采用百分制评分。</w:t>
      </w:r>
    </w:p>
    <w:p w14:paraId="16782D78">
      <w:pPr>
        <w:adjustRightInd w:val="0"/>
        <w:snapToGrid w:val="0"/>
        <w:spacing w:line="560" w:lineRule="exact"/>
        <w:ind w:firstLine="560" w:firstLineChars="200"/>
        <w:rPr>
          <w:bCs/>
          <w:sz w:val="28"/>
          <w:szCs w:val="28"/>
          <w:highlight w:val="none"/>
        </w:rPr>
      </w:pPr>
      <w:r>
        <w:rPr>
          <w:rFonts w:hint="eastAsia" w:ascii="宋体" w:hAnsi="宋体"/>
          <w:bCs/>
          <w:sz w:val="28"/>
          <w:szCs w:val="28"/>
          <w:highlight w:val="none"/>
        </w:rPr>
        <w:t>（</w:t>
      </w:r>
      <w:r>
        <w:rPr>
          <w:rFonts w:ascii="宋体" w:hAnsi="宋体"/>
          <w:bCs/>
          <w:sz w:val="28"/>
          <w:szCs w:val="28"/>
          <w:highlight w:val="none"/>
        </w:rPr>
        <w:t>2）</w:t>
      </w:r>
      <w:r>
        <w:rPr>
          <w:rFonts w:hint="eastAsia" w:ascii="宋体" w:hAnsi="宋体"/>
          <w:bCs/>
          <w:sz w:val="28"/>
          <w:szCs w:val="28"/>
          <w:highlight w:val="none"/>
        </w:rPr>
        <w:t>经评审的最低价法，是指报价文件满足谈判文件资格性和符合性要求，将报价最低的报价供应商，作为预成交供应商的评审方法。</w:t>
      </w:r>
    </w:p>
    <w:p w14:paraId="4D40D080">
      <w:pPr>
        <w:pStyle w:val="6"/>
        <w:keepNext w:val="0"/>
        <w:keepLines w:val="0"/>
        <w:adjustRightInd w:val="0"/>
        <w:snapToGrid w:val="0"/>
        <w:spacing w:before="0" w:after="0" w:line="560" w:lineRule="exact"/>
        <w:ind w:firstLine="560" w:firstLineChars="200"/>
        <w:rPr>
          <w:rFonts w:ascii="黑体" w:hAnsi="黑体"/>
          <w:b w:val="0"/>
          <w:highlight w:val="none"/>
        </w:rPr>
      </w:pPr>
      <w:bookmarkStart w:id="230" w:name="_Toc17122"/>
      <w:bookmarkStart w:id="231" w:name="_Toc13655"/>
      <w:bookmarkStart w:id="232" w:name="_Toc30020"/>
      <w:bookmarkStart w:id="233" w:name="_Toc14078"/>
      <w:bookmarkStart w:id="234" w:name="_Toc29240"/>
      <w:bookmarkStart w:id="235" w:name="_Toc112768406"/>
      <w:r>
        <w:rPr>
          <w:rFonts w:ascii="黑体" w:hAnsi="黑体"/>
          <w:b w:val="0"/>
          <w:highlight w:val="none"/>
        </w:rPr>
        <w:t>23</w:t>
      </w:r>
      <w:r>
        <w:rPr>
          <w:rFonts w:hint="eastAsia" w:ascii="黑体" w:hAnsi="黑体"/>
          <w:b w:val="0"/>
          <w:highlight w:val="none"/>
        </w:rPr>
        <w:t>.评审标准</w:t>
      </w:r>
      <w:bookmarkEnd w:id="230"/>
      <w:bookmarkEnd w:id="231"/>
      <w:bookmarkEnd w:id="232"/>
      <w:bookmarkEnd w:id="233"/>
      <w:bookmarkEnd w:id="234"/>
      <w:bookmarkEnd w:id="235"/>
    </w:p>
    <w:p w14:paraId="62E775D8">
      <w:pPr>
        <w:tabs>
          <w:tab w:val="left" w:pos="1020"/>
        </w:tabs>
        <w:adjustRightInd w:val="0"/>
        <w:snapToGrid w:val="0"/>
        <w:spacing w:line="560" w:lineRule="exact"/>
        <w:ind w:firstLine="560" w:firstLineChars="200"/>
        <w:rPr>
          <w:rFonts w:ascii="宋体" w:hAnsi="宋体"/>
          <w:bCs/>
          <w:sz w:val="28"/>
          <w:szCs w:val="28"/>
          <w:highlight w:val="none"/>
        </w:rPr>
      </w:pPr>
      <w:r>
        <w:rPr>
          <w:rFonts w:ascii="宋体" w:hAnsi="宋体"/>
          <w:bCs/>
          <w:sz w:val="28"/>
          <w:szCs w:val="28"/>
          <w:highlight w:val="none"/>
        </w:rPr>
        <w:t>23.1</w:t>
      </w:r>
      <w:r>
        <w:rPr>
          <w:rFonts w:hint="eastAsia" w:ascii="宋体" w:hAnsi="宋体"/>
          <w:bCs/>
          <w:sz w:val="28"/>
          <w:szCs w:val="28"/>
          <w:highlight w:val="none"/>
        </w:rPr>
        <w:t>资格性审查标准，见</w:t>
      </w:r>
      <w:r>
        <w:rPr>
          <w:rFonts w:hint="eastAsia" w:ascii="宋体" w:hAnsi="宋体"/>
          <w:bCs/>
          <w:sz w:val="28"/>
          <w:szCs w:val="28"/>
          <w:highlight w:val="none"/>
          <w:lang w:val="zh-CN"/>
        </w:rPr>
        <w:t>【</w:t>
      </w:r>
      <w:r>
        <w:rPr>
          <w:rFonts w:hint="eastAsia" w:asciiTheme="minorEastAsia" w:hAnsiTheme="minorEastAsia" w:eastAsiaTheme="minorEastAsia"/>
          <w:bCs/>
          <w:sz w:val="28"/>
          <w:szCs w:val="28"/>
          <w:highlight w:val="none"/>
        </w:rPr>
        <w:t>报价供应商</w:t>
      </w:r>
      <w:r>
        <w:rPr>
          <w:rFonts w:hint="eastAsia" w:ascii="宋体" w:hAnsi="宋体"/>
          <w:bCs/>
          <w:sz w:val="28"/>
          <w:szCs w:val="28"/>
          <w:highlight w:val="none"/>
          <w:lang w:val="zh-CN"/>
        </w:rPr>
        <w:t>须知前附表】</w:t>
      </w:r>
      <w:r>
        <w:rPr>
          <w:rFonts w:hint="eastAsia" w:ascii="宋体" w:hAnsi="宋体"/>
          <w:bCs/>
          <w:sz w:val="28"/>
          <w:szCs w:val="28"/>
          <w:highlight w:val="none"/>
        </w:rPr>
        <w:t>。</w:t>
      </w:r>
    </w:p>
    <w:p w14:paraId="5C3CEB1E">
      <w:pPr>
        <w:adjustRightInd w:val="0"/>
        <w:snapToGrid w:val="0"/>
        <w:spacing w:line="560" w:lineRule="exact"/>
        <w:ind w:firstLine="560" w:firstLineChars="200"/>
        <w:rPr>
          <w:rFonts w:ascii="宋体" w:hAnsi="宋体"/>
          <w:bCs/>
          <w:sz w:val="28"/>
          <w:szCs w:val="28"/>
          <w:highlight w:val="none"/>
        </w:rPr>
      </w:pPr>
      <w:r>
        <w:rPr>
          <w:rFonts w:ascii="宋体" w:hAnsi="宋体"/>
          <w:bCs/>
          <w:sz w:val="28"/>
          <w:szCs w:val="28"/>
          <w:highlight w:val="none"/>
        </w:rPr>
        <w:t>23.2</w:t>
      </w:r>
      <w:bookmarkStart w:id="236" w:name="_Hlk112422244"/>
      <w:r>
        <w:rPr>
          <w:rFonts w:hint="eastAsia" w:ascii="宋体" w:hAnsi="宋体"/>
          <w:bCs/>
          <w:sz w:val="28"/>
          <w:szCs w:val="28"/>
          <w:highlight w:val="none"/>
        </w:rPr>
        <w:t>符合性审查标准</w:t>
      </w:r>
      <w:bookmarkEnd w:id="236"/>
      <w:r>
        <w:rPr>
          <w:rFonts w:hint="eastAsia" w:ascii="宋体" w:hAnsi="宋体"/>
          <w:bCs/>
          <w:sz w:val="28"/>
          <w:szCs w:val="28"/>
          <w:highlight w:val="none"/>
        </w:rPr>
        <w:t>，见</w:t>
      </w:r>
      <w:r>
        <w:rPr>
          <w:rFonts w:hint="eastAsia" w:ascii="宋体" w:hAnsi="宋体"/>
          <w:bCs/>
          <w:sz w:val="28"/>
          <w:szCs w:val="28"/>
          <w:highlight w:val="none"/>
          <w:lang w:val="zh-CN"/>
        </w:rPr>
        <w:t>【</w:t>
      </w:r>
      <w:r>
        <w:rPr>
          <w:rFonts w:hint="eastAsia" w:asciiTheme="minorEastAsia" w:hAnsiTheme="minorEastAsia" w:eastAsiaTheme="minorEastAsia"/>
          <w:bCs/>
          <w:sz w:val="28"/>
          <w:szCs w:val="28"/>
          <w:highlight w:val="none"/>
        </w:rPr>
        <w:t>报价供应商</w:t>
      </w:r>
      <w:r>
        <w:rPr>
          <w:rFonts w:hint="eastAsia" w:ascii="宋体" w:hAnsi="宋体"/>
          <w:bCs/>
          <w:sz w:val="28"/>
          <w:szCs w:val="28"/>
          <w:highlight w:val="none"/>
          <w:lang w:val="zh-CN"/>
        </w:rPr>
        <w:t>须知前附表】</w:t>
      </w:r>
      <w:r>
        <w:rPr>
          <w:rFonts w:hint="eastAsia" w:ascii="宋体" w:hAnsi="宋体"/>
          <w:bCs/>
          <w:sz w:val="28"/>
          <w:szCs w:val="28"/>
          <w:highlight w:val="none"/>
        </w:rPr>
        <w:t>。</w:t>
      </w:r>
    </w:p>
    <w:p w14:paraId="51706FD8">
      <w:pPr>
        <w:adjustRightInd w:val="0"/>
        <w:snapToGrid w:val="0"/>
        <w:spacing w:line="560" w:lineRule="exact"/>
        <w:ind w:firstLine="560" w:firstLineChars="200"/>
        <w:rPr>
          <w:rFonts w:ascii="宋体" w:hAnsi="宋体"/>
          <w:bCs/>
          <w:sz w:val="28"/>
          <w:szCs w:val="28"/>
          <w:highlight w:val="none"/>
        </w:rPr>
      </w:pPr>
      <w:r>
        <w:rPr>
          <w:rFonts w:ascii="宋体" w:hAnsi="宋体"/>
          <w:bCs/>
          <w:sz w:val="28"/>
          <w:szCs w:val="28"/>
          <w:highlight w:val="none"/>
        </w:rPr>
        <w:t>23.3</w:t>
      </w:r>
      <w:r>
        <w:rPr>
          <w:rFonts w:hint="eastAsia" w:ascii="宋体" w:hAnsi="宋体"/>
          <w:bCs/>
          <w:sz w:val="28"/>
          <w:szCs w:val="28"/>
          <w:highlight w:val="none"/>
        </w:rPr>
        <w:t>采用综合评分法评审：</w:t>
      </w:r>
    </w:p>
    <w:p w14:paraId="4B230A4E">
      <w:pPr>
        <w:adjustRightInd w:val="0"/>
        <w:snapToGrid w:val="0"/>
        <w:spacing w:line="560" w:lineRule="exact"/>
        <w:ind w:firstLine="560" w:firstLineChars="200"/>
        <w:rPr>
          <w:rFonts w:ascii="宋体" w:hAnsi="宋体"/>
          <w:bCs/>
          <w:sz w:val="28"/>
          <w:szCs w:val="28"/>
          <w:highlight w:val="none"/>
        </w:rPr>
      </w:pPr>
      <w:r>
        <w:rPr>
          <w:rFonts w:hint="eastAsia" w:ascii="宋体" w:hAnsi="宋体"/>
          <w:bCs/>
          <w:sz w:val="28"/>
          <w:szCs w:val="28"/>
          <w:highlight w:val="none"/>
        </w:rPr>
        <w:t>（</w:t>
      </w:r>
      <w:r>
        <w:rPr>
          <w:rFonts w:ascii="宋体" w:hAnsi="宋体"/>
          <w:bCs/>
          <w:sz w:val="28"/>
          <w:szCs w:val="28"/>
          <w:highlight w:val="none"/>
        </w:rPr>
        <w:t>1）商务评审标准，见</w:t>
      </w:r>
      <w:r>
        <w:rPr>
          <w:rFonts w:hint="eastAsia" w:ascii="宋体" w:hAnsi="宋体"/>
          <w:bCs/>
          <w:sz w:val="28"/>
          <w:szCs w:val="28"/>
          <w:highlight w:val="none"/>
        </w:rPr>
        <w:t>【</w:t>
      </w:r>
      <w:r>
        <w:rPr>
          <w:rFonts w:hint="eastAsia" w:asciiTheme="minorEastAsia" w:hAnsiTheme="minorEastAsia" w:eastAsiaTheme="minorEastAsia"/>
          <w:bCs/>
          <w:sz w:val="28"/>
          <w:szCs w:val="28"/>
          <w:highlight w:val="none"/>
        </w:rPr>
        <w:t>报价供应商</w:t>
      </w:r>
      <w:r>
        <w:rPr>
          <w:rFonts w:hint="eastAsia" w:ascii="宋体" w:hAnsi="宋体"/>
          <w:bCs/>
          <w:sz w:val="28"/>
          <w:szCs w:val="28"/>
          <w:highlight w:val="none"/>
        </w:rPr>
        <w:t>须知前附表】。</w:t>
      </w:r>
    </w:p>
    <w:p w14:paraId="7A9B262E">
      <w:pPr>
        <w:adjustRightInd w:val="0"/>
        <w:snapToGrid w:val="0"/>
        <w:spacing w:line="560" w:lineRule="exact"/>
        <w:ind w:firstLine="560" w:firstLineChars="200"/>
        <w:rPr>
          <w:rFonts w:ascii="宋体" w:hAnsi="宋体"/>
          <w:bCs/>
          <w:sz w:val="28"/>
          <w:szCs w:val="28"/>
          <w:highlight w:val="none"/>
        </w:rPr>
      </w:pPr>
      <w:r>
        <w:rPr>
          <w:rFonts w:hint="eastAsia" w:ascii="宋体" w:hAnsi="宋体"/>
          <w:bCs/>
          <w:sz w:val="28"/>
          <w:szCs w:val="28"/>
          <w:highlight w:val="none"/>
        </w:rPr>
        <w:t>（</w:t>
      </w:r>
      <w:r>
        <w:rPr>
          <w:rFonts w:ascii="宋体" w:hAnsi="宋体"/>
          <w:bCs/>
          <w:sz w:val="28"/>
          <w:szCs w:val="28"/>
          <w:highlight w:val="none"/>
        </w:rPr>
        <w:t>2）技术评审标准，见</w:t>
      </w:r>
      <w:r>
        <w:rPr>
          <w:rFonts w:hint="eastAsia" w:ascii="宋体" w:hAnsi="宋体"/>
          <w:bCs/>
          <w:sz w:val="28"/>
          <w:szCs w:val="28"/>
          <w:highlight w:val="none"/>
        </w:rPr>
        <w:t>【</w:t>
      </w:r>
      <w:r>
        <w:rPr>
          <w:rFonts w:hint="eastAsia" w:asciiTheme="minorEastAsia" w:hAnsiTheme="minorEastAsia" w:eastAsiaTheme="minorEastAsia"/>
          <w:bCs/>
          <w:sz w:val="28"/>
          <w:szCs w:val="28"/>
          <w:highlight w:val="none"/>
        </w:rPr>
        <w:t>报价供应商</w:t>
      </w:r>
      <w:r>
        <w:rPr>
          <w:rFonts w:hint="eastAsia" w:ascii="宋体" w:hAnsi="宋体"/>
          <w:bCs/>
          <w:sz w:val="28"/>
          <w:szCs w:val="28"/>
          <w:highlight w:val="none"/>
        </w:rPr>
        <w:t>须知前附表】。</w:t>
      </w:r>
    </w:p>
    <w:p w14:paraId="62ECC823">
      <w:pPr>
        <w:adjustRightInd w:val="0"/>
        <w:snapToGrid w:val="0"/>
        <w:spacing w:line="560" w:lineRule="exact"/>
        <w:ind w:firstLine="560" w:firstLineChars="200"/>
        <w:rPr>
          <w:rFonts w:ascii="宋体" w:hAnsi="宋体"/>
          <w:bCs/>
          <w:sz w:val="28"/>
          <w:szCs w:val="28"/>
          <w:highlight w:val="none"/>
        </w:rPr>
      </w:pPr>
      <w:r>
        <w:rPr>
          <w:rFonts w:hint="eastAsia" w:ascii="宋体" w:hAnsi="宋体"/>
          <w:bCs/>
          <w:sz w:val="28"/>
          <w:szCs w:val="28"/>
          <w:highlight w:val="none"/>
        </w:rPr>
        <w:t>（</w:t>
      </w:r>
      <w:r>
        <w:rPr>
          <w:rFonts w:ascii="宋体" w:hAnsi="宋体"/>
          <w:bCs/>
          <w:sz w:val="28"/>
          <w:szCs w:val="28"/>
          <w:highlight w:val="none"/>
        </w:rPr>
        <w:t>3）价格评审标准，见</w:t>
      </w:r>
      <w:r>
        <w:rPr>
          <w:rFonts w:hint="eastAsia" w:ascii="宋体" w:hAnsi="宋体"/>
          <w:bCs/>
          <w:sz w:val="28"/>
          <w:szCs w:val="28"/>
          <w:highlight w:val="none"/>
          <w:lang w:val="zh-CN"/>
        </w:rPr>
        <w:t>【</w:t>
      </w:r>
      <w:r>
        <w:rPr>
          <w:rFonts w:hint="eastAsia" w:asciiTheme="minorEastAsia" w:hAnsiTheme="minorEastAsia" w:eastAsiaTheme="minorEastAsia"/>
          <w:bCs/>
          <w:sz w:val="28"/>
          <w:szCs w:val="28"/>
          <w:highlight w:val="none"/>
        </w:rPr>
        <w:t>报价供应商</w:t>
      </w:r>
      <w:r>
        <w:rPr>
          <w:rFonts w:hint="eastAsia" w:ascii="宋体" w:hAnsi="宋体"/>
          <w:bCs/>
          <w:sz w:val="28"/>
          <w:szCs w:val="28"/>
          <w:highlight w:val="none"/>
          <w:lang w:val="zh-CN"/>
        </w:rPr>
        <w:t>须知前附表】</w:t>
      </w:r>
      <w:r>
        <w:rPr>
          <w:rFonts w:hint="eastAsia" w:ascii="宋体" w:hAnsi="宋体"/>
          <w:bCs/>
          <w:sz w:val="28"/>
          <w:szCs w:val="28"/>
          <w:highlight w:val="none"/>
        </w:rPr>
        <w:t>。</w:t>
      </w:r>
    </w:p>
    <w:p w14:paraId="39D9F565">
      <w:pPr>
        <w:pStyle w:val="6"/>
        <w:keepNext w:val="0"/>
        <w:keepLines w:val="0"/>
        <w:adjustRightInd w:val="0"/>
        <w:snapToGrid w:val="0"/>
        <w:spacing w:before="0" w:after="0" w:line="560" w:lineRule="exact"/>
        <w:ind w:firstLine="560" w:firstLineChars="200"/>
        <w:rPr>
          <w:rFonts w:ascii="黑体" w:hAnsi="黑体"/>
          <w:b w:val="0"/>
          <w:highlight w:val="none"/>
        </w:rPr>
      </w:pPr>
      <w:bookmarkStart w:id="237" w:name="_Toc29467"/>
      <w:bookmarkStart w:id="238" w:name="_Toc17630"/>
      <w:bookmarkStart w:id="239" w:name="_Toc1538"/>
      <w:bookmarkStart w:id="240" w:name="_Toc22128"/>
      <w:bookmarkStart w:id="241" w:name="_Toc29341"/>
      <w:bookmarkStart w:id="242" w:name="_Toc112768407"/>
      <w:r>
        <w:rPr>
          <w:rFonts w:ascii="黑体" w:hAnsi="黑体"/>
          <w:b w:val="0"/>
          <w:highlight w:val="none"/>
        </w:rPr>
        <w:t>24</w:t>
      </w:r>
      <w:r>
        <w:rPr>
          <w:rFonts w:hint="eastAsia" w:ascii="黑体" w:hAnsi="黑体"/>
          <w:b w:val="0"/>
          <w:highlight w:val="none"/>
        </w:rPr>
        <w:t>.谈判和评审程序</w:t>
      </w:r>
      <w:bookmarkEnd w:id="237"/>
      <w:bookmarkEnd w:id="238"/>
      <w:bookmarkEnd w:id="239"/>
      <w:bookmarkEnd w:id="240"/>
      <w:bookmarkEnd w:id="241"/>
      <w:bookmarkEnd w:id="242"/>
    </w:p>
    <w:p w14:paraId="34823CE0">
      <w:pPr>
        <w:adjustRightInd w:val="0"/>
        <w:snapToGrid w:val="0"/>
        <w:spacing w:line="560" w:lineRule="exact"/>
        <w:ind w:firstLine="560" w:firstLineChars="200"/>
        <w:rPr>
          <w:rFonts w:ascii="宋体" w:hAnsi="宋体"/>
          <w:bCs/>
          <w:sz w:val="28"/>
          <w:szCs w:val="28"/>
          <w:highlight w:val="none"/>
        </w:rPr>
      </w:pPr>
      <w:r>
        <w:rPr>
          <w:rFonts w:ascii="宋体" w:hAnsi="宋体"/>
          <w:bCs/>
          <w:sz w:val="28"/>
          <w:szCs w:val="28"/>
          <w:highlight w:val="none"/>
        </w:rPr>
        <w:t>24.1</w:t>
      </w:r>
      <w:r>
        <w:rPr>
          <w:rFonts w:hint="eastAsia" w:ascii="宋体" w:hAnsi="宋体"/>
          <w:bCs/>
          <w:sz w:val="28"/>
          <w:szCs w:val="28"/>
          <w:highlight w:val="none"/>
        </w:rPr>
        <w:t>按照资格性审查、召开评审预备会、审阅</w:t>
      </w:r>
      <w:r>
        <w:rPr>
          <w:rFonts w:ascii="宋体" w:hAnsi="宋体"/>
          <w:bCs/>
          <w:sz w:val="28"/>
          <w:szCs w:val="28"/>
          <w:highlight w:val="none"/>
        </w:rPr>
        <w:t>谈判文件、</w:t>
      </w:r>
      <w:r>
        <w:rPr>
          <w:rFonts w:hint="eastAsia" w:ascii="宋体" w:hAnsi="宋体"/>
          <w:bCs/>
          <w:sz w:val="28"/>
          <w:szCs w:val="28"/>
          <w:highlight w:val="none"/>
        </w:rPr>
        <w:t>符合性审查、</w:t>
      </w:r>
      <w:r>
        <w:rPr>
          <w:rFonts w:ascii="宋体" w:hAnsi="宋体"/>
          <w:bCs/>
          <w:sz w:val="28"/>
          <w:szCs w:val="28"/>
          <w:highlight w:val="none"/>
        </w:rPr>
        <w:t>谈判</w:t>
      </w:r>
      <w:r>
        <w:rPr>
          <w:rFonts w:hint="eastAsia" w:ascii="宋体" w:hAnsi="宋体"/>
          <w:bCs/>
          <w:sz w:val="28"/>
          <w:szCs w:val="28"/>
          <w:highlight w:val="none"/>
        </w:rPr>
        <w:t>及报价、商务技术</w:t>
      </w:r>
      <w:r>
        <w:rPr>
          <w:rFonts w:ascii="宋体" w:hAnsi="宋体"/>
          <w:bCs/>
          <w:sz w:val="28"/>
          <w:szCs w:val="28"/>
          <w:highlight w:val="none"/>
        </w:rPr>
        <w:t>评审、</w:t>
      </w:r>
      <w:r>
        <w:rPr>
          <w:rFonts w:hint="eastAsia" w:ascii="宋体" w:hAnsi="宋体"/>
          <w:bCs/>
          <w:sz w:val="28"/>
          <w:szCs w:val="28"/>
          <w:highlight w:val="none"/>
        </w:rPr>
        <w:t>价格评审、复核评审结果、出具评审报告、宣布评审结果、公示评审结果的基本程序</w:t>
      </w:r>
      <w:r>
        <w:rPr>
          <w:rFonts w:asciiTheme="minorEastAsia" w:hAnsiTheme="minorEastAsia" w:eastAsiaTheme="minorEastAsia"/>
          <w:bCs/>
          <w:snapToGrid w:val="0"/>
          <w:sz w:val="28"/>
          <w:szCs w:val="28"/>
          <w:highlight w:val="none"/>
          <w:lang w:val="zh-CN"/>
        </w:rPr>
        <w:t>组织实施</w:t>
      </w:r>
      <w:r>
        <w:rPr>
          <w:rFonts w:hint="eastAsia" w:ascii="宋体" w:hAnsi="宋体"/>
          <w:bCs/>
          <w:sz w:val="28"/>
          <w:szCs w:val="28"/>
          <w:highlight w:val="none"/>
        </w:rPr>
        <w:t>。</w:t>
      </w:r>
    </w:p>
    <w:p w14:paraId="1B4FB5FF">
      <w:pPr>
        <w:adjustRightInd w:val="0"/>
        <w:snapToGrid w:val="0"/>
        <w:spacing w:line="560" w:lineRule="exact"/>
        <w:ind w:firstLine="560" w:firstLineChars="200"/>
        <w:rPr>
          <w:rFonts w:ascii="宋体" w:hAnsi="宋体"/>
          <w:bCs/>
          <w:sz w:val="28"/>
          <w:szCs w:val="28"/>
          <w:highlight w:val="none"/>
        </w:rPr>
      </w:pPr>
      <w:r>
        <w:rPr>
          <w:rFonts w:ascii="宋体" w:hAnsi="宋体"/>
          <w:bCs/>
          <w:sz w:val="28"/>
          <w:szCs w:val="28"/>
          <w:highlight w:val="none"/>
        </w:rPr>
        <w:t>24.2谈判过程中</w:t>
      </w:r>
      <w:r>
        <w:rPr>
          <w:rFonts w:hint="eastAsia" w:ascii="宋体" w:hAnsi="宋体"/>
          <w:bCs/>
          <w:sz w:val="28"/>
          <w:szCs w:val="28"/>
          <w:highlight w:val="none"/>
        </w:rPr>
        <w:t>，</w:t>
      </w:r>
      <w:r>
        <w:rPr>
          <w:rFonts w:ascii="宋体" w:hAnsi="宋体"/>
          <w:bCs/>
          <w:sz w:val="28"/>
          <w:szCs w:val="28"/>
          <w:highlight w:val="none"/>
        </w:rPr>
        <w:t>谈判的任何一方不得向他人透露与谈判有关的技术</w:t>
      </w:r>
      <w:r>
        <w:rPr>
          <w:rFonts w:hint="eastAsia" w:ascii="宋体" w:hAnsi="宋体"/>
          <w:bCs/>
          <w:sz w:val="28"/>
          <w:szCs w:val="28"/>
          <w:highlight w:val="none"/>
        </w:rPr>
        <w:t>材料</w:t>
      </w:r>
      <w:r>
        <w:rPr>
          <w:rFonts w:ascii="宋体" w:hAnsi="宋体"/>
          <w:bCs/>
          <w:sz w:val="28"/>
          <w:szCs w:val="28"/>
          <w:highlight w:val="none"/>
        </w:rPr>
        <w:t>、价格或其他信息。</w:t>
      </w:r>
    </w:p>
    <w:p w14:paraId="745127C2">
      <w:pPr>
        <w:pStyle w:val="6"/>
        <w:keepNext w:val="0"/>
        <w:keepLines w:val="0"/>
        <w:adjustRightInd w:val="0"/>
        <w:snapToGrid w:val="0"/>
        <w:spacing w:before="0" w:after="0" w:line="560" w:lineRule="exact"/>
        <w:ind w:firstLine="560" w:firstLineChars="200"/>
        <w:rPr>
          <w:rFonts w:ascii="黑体" w:hAnsi="黑体"/>
          <w:b w:val="0"/>
          <w:highlight w:val="none"/>
        </w:rPr>
      </w:pPr>
      <w:bookmarkStart w:id="243" w:name="_Toc3904"/>
      <w:bookmarkStart w:id="244" w:name="_Toc5447"/>
      <w:bookmarkStart w:id="245" w:name="_Toc18284"/>
      <w:bookmarkStart w:id="246" w:name="_Toc112768408"/>
      <w:bookmarkStart w:id="247" w:name="_Toc11634"/>
      <w:bookmarkStart w:id="248" w:name="_Toc2376"/>
      <w:r>
        <w:rPr>
          <w:rFonts w:ascii="黑体" w:hAnsi="黑体"/>
          <w:b w:val="0"/>
          <w:highlight w:val="none"/>
        </w:rPr>
        <w:t>25.</w:t>
      </w:r>
      <w:r>
        <w:rPr>
          <w:rFonts w:hint="eastAsia" w:ascii="黑体" w:hAnsi="黑体"/>
          <w:b w:val="0"/>
          <w:highlight w:val="none"/>
        </w:rPr>
        <w:t>资格性审查</w:t>
      </w:r>
      <w:bookmarkEnd w:id="243"/>
      <w:bookmarkEnd w:id="244"/>
      <w:bookmarkEnd w:id="245"/>
      <w:bookmarkEnd w:id="246"/>
      <w:bookmarkEnd w:id="247"/>
      <w:bookmarkEnd w:id="248"/>
    </w:p>
    <w:p w14:paraId="6BF14903">
      <w:pPr>
        <w:adjustRightInd w:val="0"/>
        <w:snapToGrid w:val="0"/>
        <w:spacing w:line="560" w:lineRule="exact"/>
        <w:ind w:firstLine="560" w:firstLineChars="200"/>
        <w:rPr>
          <w:rFonts w:ascii="宋体" w:hAnsi="宋体"/>
          <w:bCs/>
          <w:sz w:val="28"/>
          <w:szCs w:val="28"/>
          <w:highlight w:val="none"/>
        </w:rPr>
      </w:pPr>
      <w:r>
        <w:rPr>
          <w:rFonts w:ascii="宋体" w:hAnsi="宋体"/>
          <w:bCs/>
          <w:sz w:val="28"/>
          <w:szCs w:val="28"/>
          <w:highlight w:val="none"/>
        </w:rPr>
        <w:t>25.1</w:t>
      </w:r>
      <w:r>
        <w:rPr>
          <w:rFonts w:hint="eastAsia" w:ascii="宋体" w:hAnsi="宋体"/>
          <w:bCs/>
          <w:sz w:val="28"/>
          <w:szCs w:val="28"/>
          <w:highlight w:val="none"/>
        </w:rPr>
        <w:t>采购机构</w:t>
      </w:r>
      <w:r>
        <w:rPr>
          <w:rFonts w:ascii="宋体" w:hAnsi="宋体"/>
          <w:bCs/>
          <w:sz w:val="28"/>
          <w:szCs w:val="28"/>
          <w:highlight w:val="none"/>
        </w:rPr>
        <w:t>依据谈判文件规定</w:t>
      </w:r>
      <w:r>
        <w:rPr>
          <w:rFonts w:hint="eastAsia" w:ascii="宋体" w:hAnsi="宋体"/>
          <w:bCs/>
          <w:sz w:val="28"/>
          <w:szCs w:val="28"/>
          <w:highlight w:val="none"/>
        </w:rPr>
        <w:t>的资格性审查标准</w:t>
      </w:r>
      <w:r>
        <w:rPr>
          <w:rFonts w:ascii="宋体" w:hAnsi="宋体"/>
          <w:bCs/>
          <w:sz w:val="28"/>
          <w:szCs w:val="28"/>
          <w:highlight w:val="none"/>
        </w:rPr>
        <w:t>，</w:t>
      </w:r>
      <w:r>
        <w:rPr>
          <w:rFonts w:hint="eastAsia" w:ascii="宋体" w:hAnsi="宋体"/>
          <w:bCs/>
          <w:sz w:val="28"/>
          <w:szCs w:val="28"/>
          <w:highlight w:val="none"/>
        </w:rPr>
        <w:t>对报价供应商的资格进行审查。</w:t>
      </w:r>
    </w:p>
    <w:p w14:paraId="361B724C">
      <w:pPr>
        <w:adjustRightInd w:val="0"/>
        <w:snapToGrid w:val="0"/>
        <w:spacing w:line="560" w:lineRule="exact"/>
        <w:ind w:firstLine="560" w:firstLineChars="200"/>
        <w:rPr>
          <w:rFonts w:ascii="宋体" w:hAnsi="宋体"/>
          <w:bCs/>
          <w:sz w:val="28"/>
          <w:szCs w:val="36"/>
          <w:highlight w:val="none"/>
        </w:rPr>
      </w:pPr>
      <w:r>
        <w:rPr>
          <w:rFonts w:hint="eastAsia" w:ascii="宋体" w:hAnsi="宋体"/>
          <w:bCs/>
          <w:sz w:val="28"/>
          <w:szCs w:val="36"/>
          <w:highlight w:val="none"/>
        </w:rPr>
        <w:t>（</w:t>
      </w:r>
      <w:r>
        <w:rPr>
          <w:rFonts w:ascii="宋体" w:hAnsi="宋体"/>
          <w:bCs/>
          <w:sz w:val="28"/>
          <w:szCs w:val="36"/>
          <w:highlight w:val="none"/>
        </w:rPr>
        <w:t>1）通过</w:t>
      </w:r>
      <w:r>
        <w:rPr>
          <w:rFonts w:hint="eastAsia" w:ascii="宋体" w:hAnsi="宋体"/>
          <w:bCs/>
          <w:sz w:val="28"/>
          <w:szCs w:val="36"/>
          <w:highlight w:val="none"/>
        </w:rPr>
        <w:t>资格性审查</w:t>
      </w:r>
      <w:r>
        <w:rPr>
          <w:rFonts w:ascii="宋体" w:hAnsi="宋体"/>
          <w:bCs/>
          <w:sz w:val="28"/>
          <w:szCs w:val="36"/>
          <w:highlight w:val="none"/>
        </w:rPr>
        <w:t>的</w:t>
      </w:r>
      <w:r>
        <w:rPr>
          <w:rFonts w:hint="eastAsia" w:ascii="宋体" w:hAnsi="宋体"/>
          <w:bCs/>
          <w:sz w:val="28"/>
          <w:szCs w:val="36"/>
          <w:highlight w:val="none"/>
        </w:rPr>
        <w:t>报价</w:t>
      </w:r>
      <w:r>
        <w:rPr>
          <w:rFonts w:hint="eastAsia" w:ascii="宋体" w:hAnsi="宋体"/>
          <w:bCs/>
          <w:sz w:val="28"/>
          <w:szCs w:val="28"/>
          <w:highlight w:val="none"/>
        </w:rPr>
        <w:t>供应商</w:t>
      </w:r>
      <w:r>
        <w:rPr>
          <w:rFonts w:hint="eastAsia" w:ascii="宋体" w:hAnsi="宋体"/>
          <w:bCs/>
          <w:sz w:val="28"/>
          <w:szCs w:val="36"/>
          <w:highlight w:val="none"/>
        </w:rPr>
        <w:t>进入后续评审；未通过资格性审查的报价</w:t>
      </w:r>
      <w:r>
        <w:rPr>
          <w:rFonts w:hint="eastAsia" w:ascii="宋体" w:hAnsi="宋体"/>
          <w:bCs/>
          <w:sz w:val="28"/>
          <w:szCs w:val="28"/>
          <w:highlight w:val="none"/>
        </w:rPr>
        <w:t>供应商不得</w:t>
      </w:r>
      <w:r>
        <w:rPr>
          <w:rFonts w:hint="eastAsia" w:ascii="宋体" w:hAnsi="宋体"/>
          <w:bCs/>
          <w:sz w:val="28"/>
          <w:szCs w:val="36"/>
          <w:highlight w:val="none"/>
        </w:rPr>
        <w:t>进入后续评审。</w:t>
      </w:r>
    </w:p>
    <w:p w14:paraId="538B8CFD">
      <w:pPr>
        <w:adjustRightInd w:val="0"/>
        <w:snapToGrid w:val="0"/>
        <w:spacing w:line="560" w:lineRule="exact"/>
        <w:ind w:firstLine="560" w:firstLineChars="200"/>
        <w:rPr>
          <w:rFonts w:ascii="宋体" w:hAnsi="宋体"/>
          <w:bCs/>
          <w:sz w:val="28"/>
          <w:szCs w:val="36"/>
          <w:highlight w:val="none"/>
        </w:rPr>
      </w:pPr>
      <w:r>
        <w:rPr>
          <w:rFonts w:hint="eastAsia" w:ascii="宋体" w:hAnsi="宋体"/>
          <w:bCs/>
          <w:sz w:val="28"/>
          <w:szCs w:val="36"/>
          <w:highlight w:val="none"/>
        </w:rPr>
        <w:t>（</w:t>
      </w:r>
      <w:r>
        <w:rPr>
          <w:rFonts w:ascii="宋体" w:hAnsi="宋体"/>
          <w:bCs/>
          <w:sz w:val="28"/>
          <w:szCs w:val="36"/>
          <w:highlight w:val="none"/>
        </w:rPr>
        <w:t>2）审查人员应当对</w:t>
      </w:r>
      <w:r>
        <w:rPr>
          <w:rFonts w:hint="eastAsia" w:ascii="宋体" w:hAnsi="宋体"/>
          <w:bCs/>
          <w:sz w:val="28"/>
          <w:szCs w:val="36"/>
          <w:highlight w:val="none"/>
        </w:rPr>
        <w:t>资格性审查</w:t>
      </w:r>
      <w:r>
        <w:rPr>
          <w:rFonts w:ascii="宋体" w:hAnsi="宋体"/>
          <w:bCs/>
          <w:sz w:val="28"/>
          <w:szCs w:val="36"/>
          <w:highlight w:val="none"/>
        </w:rPr>
        <w:t>结果签字确认，并提交评审委员会。</w:t>
      </w:r>
    </w:p>
    <w:p w14:paraId="18B3B821">
      <w:pPr>
        <w:adjustRightInd w:val="0"/>
        <w:snapToGrid w:val="0"/>
        <w:spacing w:line="560" w:lineRule="exact"/>
        <w:ind w:firstLine="560" w:firstLineChars="200"/>
        <w:rPr>
          <w:rFonts w:ascii="仿宋_GB2312" w:hAnsi="仿宋"/>
          <w:bCs/>
          <w:sz w:val="28"/>
          <w:szCs w:val="36"/>
          <w:highlight w:val="none"/>
        </w:rPr>
      </w:pPr>
      <w:r>
        <w:rPr>
          <w:rFonts w:hint="eastAsia" w:ascii="宋体" w:hAnsi="宋体"/>
          <w:bCs/>
          <w:sz w:val="28"/>
          <w:szCs w:val="36"/>
          <w:highlight w:val="none"/>
        </w:rPr>
        <w:t>（</w:t>
      </w:r>
      <w:r>
        <w:rPr>
          <w:rFonts w:ascii="宋体" w:hAnsi="宋体"/>
          <w:bCs/>
          <w:sz w:val="28"/>
          <w:szCs w:val="36"/>
          <w:highlight w:val="none"/>
        </w:rPr>
        <w:t>3</w:t>
      </w:r>
      <w:r>
        <w:rPr>
          <w:rFonts w:hint="eastAsia" w:ascii="宋体" w:hAnsi="宋体"/>
          <w:bCs/>
          <w:sz w:val="28"/>
          <w:szCs w:val="36"/>
          <w:highlight w:val="none"/>
        </w:rPr>
        <w:t>）</w:t>
      </w:r>
      <w:r>
        <w:rPr>
          <w:rFonts w:hint="eastAsia" w:ascii="仿宋_GB2312" w:hAnsi="仿宋"/>
          <w:bCs/>
          <w:sz w:val="28"/>
          <w:szCs w:val="36"/>
          <w:highlight w:val="none"/>
        </w:rPr>
        <w:t>审查人员应当当场向未通过资格性审查的报价</w:t>
      </w:r>
      <w:r>
        <w:rPr>
          <w:rFonts w:hint="eastAsia" w:ascii="宋体" w:hAnsi="宋体"/>
          <w:bCs/>
          <w:sz w:val="28"/>
          <w:szCs w:val="28"/>
          <w:highlight w:val="none"/>
        </w:rPr>
        <w:t>供应商</w:t>
      </w:r>
      <w:r>
        <w:rPr>
          <w:rFonts w:hint="eastAsia" w:ascii="仿宋_GB2312" w:hAnsi="仿宋"/>
          <w:bCs/>
          <w:sz w:val="28"/>
          <w:szCs w:val="36"/>
          <w:highlight w:val="none"/>
        </w:rPr>
        <w:t>告知审查结果和未通过原因，报价</w:t>
      </w:r>
      <w:r>
        <w:rPr>
          <w:rFonts w:hint="eastAsia" w:ascii="宋体" w:hAnsi="宋体"/>
          <w:bCs/>
          <w:sz w:val="28"/>
          <w:szCs w:val="28"/>
          <w:highlight w:val="none"/>
        </w:rPr>
        <w:t>供应商</w:t>
      </w:r>
      <w:r>
        <w:rPr>
          <w:rFonts w:hint="eastAsia" w:ascii="仿宋_GB2312" w:hAnsi="仿宋"/>
          <w:bCs/>
          <w:sz w:val="28"/>
          <w:szCs w:val="36"/>
          <w:highlight w:val="none"/>
        </w:rPr>
        <w:t>签字确认；拒绝签字确认的，不影响资格性审查结果，审查人员如实记录并存入采购档案。报价</w:t>
      </w:r>
      <w:r>
        <w:rPr>
          <w:rFonts w:hint="eastAsia" w:ascii="宋体" w:hAnsi="宋体"/>
          <w:bCs/>
          <w:sz w:val="28"/>
          <w:szCs w:val="28"/>
          <w:highlight w:val="none"/>
        </w:rPr>
        <w:t>供应商</w:t>
      </w:r>
      <w:r>
        <w:rPr>
          <w:rFonts w:hint="eastAsia" w:ascii="仿宋_GB2312" w:hAnsi="仿宋"/>
          <w:bCs/>
          <w:sz w:val="28"/>
          <w:szCs w:val="36"/>
          <w:highlight w:val="none"/>
        </w:rPr>
        <w:t>有疑义的，审查人员应当当场解答。</w:t>
      </w:r>
    </w:p>
    <w:p w14:paraId="0C399900">
      <w:pPr>
        <w:adjustRightInd w:val="0"/>
        <w:snapToGrid w:val="0"/>
        <w:spacing w:line="560" w:lineRule="exact"/>
        <w:ind w:firstLine="560" w:firstLineChars="200"/>
        <w:rPr>
          <w:rFonts w:ascii="宋体" w:hAnsi="宋体"/>
          <w:bCs/>
          <w:sz w:val="28"/>
          <w:szCs w:val="28"/>
          <w:highlight w:val="none"/>
        </w:rPr>
      </w:pPr>
      <w:r>
        <w:rPr>
          <w:rFonts w:ascii="宋体" w:hAnsi="宋体"/>
          <w:bCs/>
          <w:snapToGrid w:val="0"/>
          <w:sz w:val="28"/>
          <w:szCs w:val="28"/>
          <w:highlight w:val="none"/>
        </w:rPr>
        <w:t>25.2</w:t>
      </w:r>
      <w:r>
        <w:rPr>
          <w:rFonts w:hint="eastAsia" w:ascii="宋体" w:hAnsi="宋体"/>
          <w:bCs/>
          <w:sz w:val="28"/>
          <w:szCs w:val="28"/>
          <w:highlight w:val="none"/>
        </w:rPr>
        <w:t>竞争性谈判采购过程中，供应商发生合并、分立或破产等重大变化时，应当及时书面告知采购机构。</w:t>
      </w:r>
    </w:p>
    <w:p w14:paraId="1A176C9C">
      <w:pPr>
        <w:pStyle w:val="6"/>
        <w:keepNext w:val="0"/>
        <w:keepLines w:val="0"/>
        <w:adjustRightInd w:val="0"/>
        <w:snapToGrid w:val="0"/>
        <w:spacing w:before="0" w:after="0" w:line="560" w:lineRule="exact"/>
        <w:ind w:firstLine="560" w:firstLineChars="200"/>
        <w:rPr>
          <w:rFonts w:ascii="黑体" w:hAnsi="黑体"/>
          <w:b w:val="0"/>
          <w:highlight w:val="none"/>
        </w:rPr>
      </w:pPr>
      <w:bookmarkStart w:id="249" w:name="_Toc112768409"/>
      <w:bookmarkStart w:id="250" w:name="_Toc9112"/>
      <w:bookmarkStart w:id="251" w:name="_Toc3776"/>
      <w:bookmarkStart w:id="252" w:name="_Toc616"/>
      <w:bookmarkStart w:id="253" w:name="_Toc29816"/>
      <w:bookmarkStart w:id="254" w:name="_Toc31607"/>
      <w:r>
        <w:rPr>
          <w:rFonts w:ascii="黑体" w:hAnsi="黑体"/>
          <w:b w:val="0"/>
          <w:highlight w:val="none"/>
        </w:rPr>
        <w:t>26.</w:t>
      </w:r>
      <w:r>
        <w:rPr>
          <w:rFonts w:hint="eastAsia" w:ascii="黑体" w:hAnsi="黑体"/>
          <w:b w:val="0"/>
          <w:highlight w:val="none"/>
        </w:rPr>
        <w:t>召开评审预备会</w:t>
      </w:r>
    </w:p>
    <w:p w14:paraId="24CC81BF">
      <w:pPr>
        <w:adjustRightInd w:val="0"/>
        <w:snapToGrid w:val="0"/>
        <w:spacing w:line="560" w:lineRule="exact"/>
        <w:ind w:firstLine="560" w:firstLineChars="200"/>
        <w:rPr>
          <w:rFonts w:ascii="仿宋_GB2312" w:hAnsi="仿宋"/>
          <w:bCs/>
          <w:sz w:val="28"/>
          <w:szCs w:val="36"/>
          <w:highlight w:val="none"/>
        </w:rPr>
      </w:pPr>
      <w:r>
        <w:rPr>
          <w:rFonts w:asciiTheme="minorEastAsia" w:hAnsiTheme="minorEastAsia" w:eastAsiaTheme="minorEastAsia"/>
          <w:bCs/>
          <w:sz w:val="28"/>
          <w:szCs w:val="36"/>
          <w:highlight w:val="none"/>
        </w:rPr>
        <w:t>26.1</w:t>
      </w:r>
      <w:r>
        <w:rPr>
          <w:rFonts w:hint="eastAsia" w:asciiTheme="minorEastAsia" w:hAnsiTheme="minorEastAsia" w:eastAsiaTheme="minorEastAsia"/>
          <w:bCs/>
          <w:sz w:val="28"/>
          <w:szCs w:val="36"/>
          <w:highlight w:val="none"/>
        </w:rPr>
        <w:t>采购机构组织评审委员会召开评审预备会。采购单位或采购机构介绍采购</w:t>
      </w:r>
      <w:r>
        <w:rPr>
          <w:rFonts w:hint="eastAsia" w:ascii="仿宋_GB2312" w:hAnsi="仿宋"/>
          <w:bCs/>
          <w:sz w:val="28"/>
          <w:szCs w:val="36"/>
          <w:highlight w:val="none"/>
        </w:rPr>
        <w:t>项目情况，采购机构重点说明评审标准和评审程序，并介绍谈判文件主要内容和质疑答复情况。评审委员会全体成员按照少数服从多数的原则，实名投票推选评审委员会组长。</w:t>
      </w:r>
    </w:p>
    <w:p w14:paraId="3ECAD5FC">
      <w:pPr>
        <w:pStyle w:val="6"/>
        <w:keepNext w:val="0"/>
        <w:keepLines w:val="0"/>
        <w:adjustRightInd w:val="0"/>
        <w:snapToGrid w:val="0"/>
        <w:spacing w:before="0" w:after="0" w:line="560" w:lineRule="exact"/>
        <w:ind w:firstLine="560" w:firstLineChars="200"/>
        <w:rPr>
          <w:rFonts w:ascii="黑体" w:hAnsi="黑体"/>
          <w:b w:val="0"/>
          <w:highlight w:val="none"/>
        </w:rPr>
      </w:pPr>
      <w:bookmarkStart w:id="255" w:name="_Hlk127018299"/>
      <w:r>
        <w:rPr>
          <w:rFonts w:ascii="黑体" w:hAnsi="黑体"/>
          <w:b w:val="0"/>
          <w:highlight w:val="none"/>
        </w:rPr>
        <w:t>27.</w:t>
      </w:r>
      <w:r>
        <w:rPr>
          <w:rFonts w:hint="eastAsia" w:ascii="黑体" w:hAnsi="黑体"/>
          <w:b w:val="0"/>
          <w:highlight w:val="none"/>
        </w:rPr>
        <w:t>审阅谈判文件</w:t>
      </w:r>
    </w:p>
    <w:p w14:paraId="45DB78D6">
      <w:pPr>
        <w:spacing w:line="560" w:lineRule="exact"/>
        <w:ind w:firstLine="560" w:firstLineChars="200"/>
        <w:rPr>
          <w:rFonts w:asciiTheme="minorEastAsia" w:hAnsiTheme="minorEastAsia" w:eastAsiaTheme="minorEastAsia"/>
          <w:bCs/>
          <w:sz w:val="28"/>
          <w:szCs w:val="36"/>
          <w:highlight w:val="none"/>
        </w:rPr>
      </w:pPr>
      <w:r>
        <w:rPr>
          <w:rFonts w:hint="eastAsia" w:asciiTheme="minorEastAsia" w:hAnsiTheme="minorEastAsia" w:eastAsiaTheme="minorEastAsia"/>
          <w:bCs/>
          <w:sz w:val="28"/>
          <w:szCs w:val="36"/>
          <w:highlight w:val="none"/>
        </w:rPr>
        <w:t>2</w:t>
      </w:r>
      <w:r>
        <w:rPr>
          <w:rFonts w:asciiTheme="minorEastAsia" w:hAnsiTheme="minorEastAsia" w:eastAsiaTheme="minorEastAsia"/>
          <w:bCs/>
          <w:sz w:val="28"/>
          <w:szCs w:val="36"/>
          <w:highlight w:val="none"/>
        </w:rPr>
        <w:t>7.1</w:t>
      </w:r>
      <w:r>
        <w:rPr>
          <w:rFonts w:hint="eastAsia" w:asciiTheme="minorEastAsia" w:hAnsiTheme="minorEastAsia" w:eastAsiaTheme="minorEastAsia"/>
          <w:bCs/>
          <w:sz w:val="28"/>
          <w:szCs w:val="36"/>
          <w:highlight w:val="none"/>
        </w:rPr>
        <w:t>评审委员会在评审开始前审阅谈判文件，重点熟悉理解谈判文件符合性审查要求、无效报价条款和评审标准等内容。</w:t>
      </w:r>
    </w:p>
    <w:p w14:paraId="2C564AAD">
      <w:pPr>
        <w:adjustRightInd w:val="0"/>
        <w:snapToGrid w:val="0"/>
        <w:spacing w:line="560" w:lineRule="exact"/>
        <w:ind w:firstLine="560" w:firstLineChars="200"/>
        <w:rPr>
          <w:rFonts w:ascii="仿宋_GB2312" w:hAnsi="仿宋"/>
          <w:bCs/>
          <w:szCs w:val="36"/>
          <w:highlight w:val="none"/>
        </w:rPr>
      </w:pPr>
      <w:r>
        <w:rPr>
          <w:rFonts w:hint="eastAsia" w:ascii="宋体" w:hAnsi="宋体"/>
          <w:bCs/>
          <w:sz w:val="28"/>
          <w:szCs w:val="28"/>
          <w:highlight w:val="none"/>
        </w:rPr>
        <w:t>2</w:t>
      </w:r>
      <w:r>
        <w:rPr>
          <w:rFonts w:ascii="宋体" w:hAnsi="宋体"/>
          <w:bCs/>
          <w:sz w:val="28"/>
          <w:szCs w:val="28"/>
          <w:highlight w:val="none"/>
        </w:rPr>
        <w:t>7.2评审委员会成员对</w:t>
      </w:r>
      <w:r>
        <w:rPr>
          <w:rFonts w:hint="eastAsia" w:ascii="宋体" w:hAnsi="宋体"/>
          <w:bCs/>
          <w:sz w:val="28"/>
          <w:szCs w:val="28"/>
          <w:highlight w:val="none"/>
        </w:rPr>
        <w:t>谈判文件</w:t>
      </w:r>
      <w:r>
        <w:rPr>
          <w:rFonts w:ascii="宋体" w:hAnsi="宋体"/>
          <w:bCs/>
          <w:sz w:val="28"/>
          <w:szCs w:val="28"/>
          <w:highlight w:val="none"/>
        </w:rPr>
        <w:t>相关</w:t>
      </w:r>
      <w:r>
        <w:rPr>
          <w:rFonts w:hint="eastAsia" w:ascii="宋体" w:hAnsi="宋体"/>
          <w:bCs/>
          <w:sz w:val="28"/>
          <w:szCs w:val="28"/>
          <w:highlight w:val="none"/>
        </w:rPr>
        <w:t>事项表述不明确或需要说明的，可以要求采购机构或采购单位书面解释；对谈判文件中涉及技术参数、技术方案等问题的，应当提请采购单位书面澄清。书面解释或澄清不得改变谈判文件原义或影响客观公正评审。书面解释或澄清仍不能解决谈判文件存在的歧义或重大缺陷，导致评审工作无法进行的，应当终止评审工作，在评审报告中书面说明情况，并提出谈判文件修改意见。采购机构应当予以记录。</w:t>
      </w:r>
      <w:bookmarkEnd w:id="255"/>
    </w:p>
    <w:p w14:paraId="147CAB6C">
      <w:pPr>
        <w:pStyle w:val="6"/>
        <w:keepNext w:val="0"/>
        <w:keepLines w:val="0"/>
        <w:adjustRightInd w:val="0"/>
        <w:snapToGrid w:val="0"/>
        <w:spacing w:before="0" w:after="0" w:line="560" w:lineRule="exact"/>
        <w:ind w:firstLine="560" w:firstLineChars="200"/>
        <w:rPr>
          <w:rFonts w:ascii="黑体" w:hAnsi="黑体"/>
          <w:b w:val="0"/>
          <w:highlight w:val="none"/>
        </w:rPr>
      </w:pPr>
      <w:r>
        <w:rPr>
          <w:rFonts w:ascii="黑体" w:hAnsi="黑体"/>
          <w:b w:val="0"/>
          <w:highlight w:val="none"/>
        </w:rPr>
        <w:t>28</w:t>
      </w:r>
      <w:r>
        <w:rPr>
          <w:rFonts w:hint="eastAsia" w:ascii="黑体" w:hAnsi="黑体"/>
          <w:b w:val="0"/>
          <w:highlight w:val="none"/>
        </w:rPr>
        <w:t>.</w:t>
      </w:r>
      <w:bookmarkStart w:id="256" w:name="_Hlk112682054"/>
      <w:r>
        <w:rPr>
          <w:rFonts w:hint="eastAsia" w:ascii="黑体" w:hAnsi="黑体"/>
          <w:b w:val="0"/>
          <w:highlight w:val="none"/>
        </w:rPr>
        <w:t>符合性</w:t>
      </w:r>
      <w:bookmarkEnd w:id="256"/>
      <w:r>
        <w:rPr>
          <w:rFonts w:hint="eastAsia" w:ascii="黑体" w:hAnsi="黑体"/>
          <w:b w:val="0"/>
          <w:highlight w:val="none"/>
        </w:rPr>
        <w:t>审查</w:t>
      </w:r>
      <w:bookmarkEnd w:id="249"/>
      <w:bookmarkEnd w:id="250"/>
      <w:bookmarkEnd w:id="251"/>
      <w:bookmarkEnd w:id="252"/>
      <w:bookmarkEnd w:id="253"/>
      <w:bookmarkEnd w:id="254"/>
    </w:p>
    <w:p w14:paraId="78EB9AAE">
      <w:pPr>
        <w:adjustRightInd w:val="0"/>
        <w:snapToGrid w:val="0"/>
        <w:spacing w:line="560" w:lineRule="exact"/>
        <w:ind w:firstLine="560" w:firstLineChars="200"/>
        <w:rPr>
          <w:rFonts w:asciiTheme="minorEastAsia" w:hAnsiTheme="minorEastAsia" w:eastAsiaTheme="minorEastAsia"/>
          <w:bCs/>
          <w:sz w:val="28"/>
          <w:szCs w:val="28"/>
          <w:highlight w:val="none"/>
        </w:rPr>
      </w:pPr>
      <w:r>
        <w:rPr>
          <w:rFonts w:asciiTheme="minorEastAsia" w:hAnsiTheme="minorEastAsia" w:eastAsiaTheme="minorEastAsia"/>
          <w:bCs/>
          <w:sz w:val="28"/>
          <w:szCs w:val="28"/>
          <w:highlight w:val="none"/>
        </w:rPr>
        <w:t>28.1</w:t>
      </w:r>
      <w:r>
        <w:rPr>
          <w:rFonts w:hint="eastAsia" w:asciiTheme="minorEastAsia" w:hAnsiTheme="minorEastAsia" w:eastAsiaTheme="minorEastAsia"/>
          <w:bCs/>
          <w:sz w:val="28"/>
          <w:szCs w:val="28"/>
          <w:highlight w:val="none"/>
        </w:rPr>
        <w:t>报价文件的偏离与实质性响应：</w:t>
      </w:r>
    </w:p>
    <w:p w14:paraId="296F7979">
      <w:pPr>
        <w:adjustRightInd w:val="0"/>
        <w:snapToGrid w:val="0"/>
        <w:spacing w:line="560" w:lineRule="exact"/>
        <w:ind w:firstLine="560" w:firstLineChars="200"/>
        <w:rPr>
          <w:rFonts w:asciiTheme="minorEastAsia" w:hAnsiTheme="minorEastAsia" w:eastAsiaTheme="minorEastAsia"/>
          <w:bCs/>
          <w:sz w:val="28"/>
          <w:szCs w:val="28"/>
          <w:highlight w:val="none"/>
        </w:rPr>
      </w:pPr>
      <w:r>
        <w:rPr>
          <w:rFonts w:hint="eastAsia" w:asciiTheme="minorEastAsia" w:hAnsiTheme="minorEastAsia" w:eastAsiaTheme="minorEastAsia"/>
          <w:bCs/>
          <w:sz w:val="28"/>
          <w:szCs w:val="28"/>
          <w:highlight w:val="none"/>
        </w:rPr>
        <w:t>（</w:t>
      </w:r>
      <w:r>
        <w:rPr>
          <w:rFonts w:asciiTheme="minorEastAsia" w:hAnsiTheme="minorEastAsia" w:eastAsiaTheme="minorEastAsia"/>
          <w:bCs/>
          <w:sz w:val="28"/>
          <w:szCs w:val="28"/>
          <w:highlight w:val="none"/>
        </w:rPr>
        <w:t>1）谈判文件中用“★”号标明的条款</w:t>
      </w:r>
      <w:r>
        <w:rPr>
          <w:rFonts w:hint="eastAsia" w:asciiTheme="minorEastAsia" w:hAnsiTheme="minorEastAsia" w:eastAsiaTheme="minorEastAsia"/>
          <w:bCs/>
          <w:sz w:val="28"/>
          <w:szCs w:val="28"/>
          <w:highlight w:val="none"/>
        </w:rPr>
        <w:t>不允许负偏离，报价供应商应当作出实质性响应，未作实质性响应的视为无效报价。</w:t>
      </w:r>
    </w:p>
    <w:p w14:paraId="3C6280DE">
      <w:pPr>
        <w:adjustRightInd w:val="0"/>
        <w:snapToGrid w:val="0"/>
        <w:spacing w:line="560" w:lineRule="exact"/>
        <w:ind w:firstLine="560" w:firstLineChars="200"/>
        <w:jc w:val="left"/>
        <w:rPr>
          <w:rFonts w:ascii="仿宋_GB2312" w:hAnsi="仿宋"/>
          <w:bCs/>
          <w:sz w:val="28"/>
          <w:szCs w:val="36"/>
          <w:highlight w:val="none"/>
        </w:rPr>
      </w:pPr>
      <w:r>
        <w:rPr>
          <w:rFonts w:hint="eastAsia" w:asciiTheme="minorEastAsia" w:hAnsiTheme="minorEastAsia" w:eastAsiaTheme="minorEastAsia"/>
          <w:bCs/>
          <w:sz w:val="28"/>
          <w:szCs w:val="28"/>
          <w:highlight w:val="none"/>
        </w:rPr>
        <w:t>（</w:t>
      </w:r>
      <w:r>
        <w:rPr>
          <w:rFonts w:asciiTheme="minorEastAsia" w:hAnsiTheme="minorEastAsia" w:eastAsiaTheme="minorEastAsia"/>
          <w:bCs/>
          <w:sz w:val="28"/>
          <w:szCs w:val="28"/>
          <w:highlight w:val="none"/>
        </w:rPr>
        <w:t>2）</w:t>
      </w:r>
      <w:r>
        <w:rPr>
          <w:rFonts w:hint="eastAsia" w:asciiTheme="minorEastAsia" w:hAnsiTheme="minorEastAsia" w:eastAsiaTheme="minorEastAsia"/>
          <w:bCs/>
          <w:sz w:val="28"/>
          <w:szCs w:val="28"/>
          <w:highlight w:val="none"/>
        </w:rPr>
        <w:t>报价文件中非</w:t>
      </w:r>
      <w:r>
        <w:rPr>
          <w:rFonts w:asciiTheme="minorEastAsia" w:hAnsiTheme="minorEastAsia" w:eastAsiaTheme="minorEastAsia"/>
          <w:bCs/>
          <w:sz w:val="28"/>
          <w:szCs w:val="28"/>
          <w:highlight w:val="none"/>
        </w:rPr>
        <w:t>“★”号标明的条款</w:t>
      </w:r>
      <w:r>
        <w:rPr>
          <w:rFonts w:hint="eastAsia" w:asciiTheme="minorEastAsia" w:hAnsiTheme="minorEastAsia" w:eastAsiaTheme="minorEastAsia"/>
          <w:bCs/>
          <w:sz w:val="28"/>
          <w:szCs w:val="28"/>
          <w:highlight w:val="none"/>
        </w:rPr>
        <w:t>负</w:t>
      </w:r>
      <w:r>
        <w:rPr>
          <w:rFonts w:asciiTheme="minorEastAsia" w:hAnsiTheme="minorEastAsia" w:eastAsiaTheme="minorEastAsia"/>
          <w:bCs/>
          <w:sz w:val="28"/>
          <w:szCs w:val="28"/>
          <w:highlight w:val="none"/>
        </w:rPr>
        <w:t>偏离的</w:t>
      </w:r>
      <w:r>
        <w:rPr>
          <w:rFonts w:hint="eastAsia" w:asciiTheme="minorEastAsia" w:hAnsiTheme="minorEastAsia" w:eastAsiaTheme="minorEastAsia"/>
          <w:bCs/>
          <w:sz w:val="28"/>
          <w:szCs w:val="28"/>
          <w:highlight w:val="none"/>
        </w:rPr>
        <w:t>项数</w:t>
      </w:r>
      <w:r>
        <w:rPr>
          <w:rFonts w:asciiTheme="minorEastAsia" w:hAnsiTheme="minorEastAsia" w:eastAsiaTheme="minorEastAsia"/>
          <w:bCs/>
          <w:sz w:val="28"/>
          <w:szCs w:val="28"/>
          <w:highlight w:val="none"/>
        </w:rPr>
        <w:t>应当符合</w:t>
      </w:r>
      <w:r>
        <w:rPr>
          <w:rFonts w:hint="eastAsia" w:asciiTheme="minorEastAsia" w:hAnsiTheme="minorEastAsia" w:eastAsiaTheme="minorEastAsia"/>
          <w:bCs/>
          <w:sz w:val="28"/>
          <w:szCs w:val="28"/>
          <w:highlight w:val="none"/>
        </w:rPr>
        <w:t>【报价供应商须知前附表】明确的要求，否则视为无效报价。</w:t>
      </w:r>
    </w:p>
    <w:p w14:paraId="055D8D21">
      <w:pPr>
        <w:adjustRightInd w:val="0"/>
        <w:snapToGrid w:val="0"/>
        <w:spacing w:line="560" w:lineRule="exact"/>
        <w:ind w:firstLine="560" w:firstLineChars="200"/>
        <w:rPr>
          <w:rFonts w:ascii="宋体" w:hAnsi="宋体"/>
          <w:bCs/>
          <w:sz w:val="28"/>
          <w:szCs w:val="28"/>
          <w:highlight w:val="none"/>
        </w:rPr>
      </w:pPr>
      <w:r>
        <w:rPr>
          <w:rFonts w:ascii="宋体" w:hAnsi="宋体"/>
          <w:bCs/>
          <w:snapToGrid w:val="0"/>
          <w:sz w:val="28"/>
          <w:szCs w:val="28"/>
          <w:highlight w:val="none"/>
        </w:rPr>
        <w:t>28.2</w:t>
      </w:r>
      <w:r>
        <w:rPr>
          <w:rFonts w:hint="eastAsia" w:ascii="宋体" w:hAnsi="宋体"/>
          <w:bCs/>
          <w:sz w:val="28"/>
          <w:szCs w:val="28"/>
          <w:highlight w:val="none"/>
        </w:rPr>
        <w:t>采购机构资格性审查结束后，评审委员会应当依据谈判文件规定的符合性审查标准，对资格性审查合格的报价供应商的报价文件进行符合性审查，确定其是否满足谈判文件的实质性要求。</w:t>
      </w:r>
    </w:p>
    <w:p w14:paraId="4F10F9F1">
      <w:pPr>
        <w:adjustRightInd w:val="0"/>
        <w:snapToGrid w:val="0"/>
        <w:spacing w:line="560" w:lineRule="exact"/>
        <w:ind w:firstLine="560" w:firstLineChars="200"/>
        <w:rPr>
          <w:rFonts w:ascii="宋体" w:hAnsi="宋体"/>
          <w:bCs/>
          <w:sz w:val="28"/>
          <w:szCs w:val="28"/>
          <w:highlight w:val="none"/>
          <w:lang w:val="zh-CN"/>
        </w:rPr>
      </w:pPr>
      <w:r>
        <w:rPr>
          <w:rFonts w:hint="eastAsia" w:ascii="宋体" w:hAnsi="宋体"/>
          <w:bCs/>
          <w:sz w:val="28"/>
          <w:szCs w:val="28"/>
          <w:highlight w:val="none"/>
          <w:lang w:val="zh-CN"/>
        </w:rPr>
        <w:t>（</w:t>
      </w:r>
      <w:r>
        <w:rPr>
          <w:rFonts w:ascii="宋体" w:hAnsi="宋体"/>
          <w:bCs/>
          <w:sz w:val="28"/>
          <w:szCs w:val="28"/>
          <w:highlight w:val="none"/>
          <w:lang w:val="zh-CN"/>
        </w:rPr>
        <w:t>1）不得以谈判文件未明确的内容</w:t>
      </w:r>
      <w:r>
        <w:rPr>
          <w:rFonts w:hint="eastAsia" w:ascii="宋体" w:hAnsi="宋体"/>
          <w:bCs/>
          <w:sz w:val="28"/>
          <w:szCs w:val="28"/>
          <w:highlight w:val="none"/>
          <w:lang w:val="zh-CN"/>
        </w:rPr>
        <w:t>和</w:t>
      </w:r>
      <w:r>
        <w:rPr>
          <w:rFonts w:ascii="宋体" w:hAnsi="宋体"/>
          <w:bCs/>
          <w:sz w:val="28"/>
          <w:szCs w:val="28"/>
          <w:highlight w:val="none"/>
          <w:lang w:val="zh-CN"/>
        </w:rPr>
        <w:t>非实质性条款判定</w:t>
      </w:r>
      <w:r>
        <w:rPr>
          <w:rFonts w:hint="eastAsia" w:ascii="宋体" w:hAnsi="宋体"/>
          <w:bCs/>
          <w:sz w:val="28"/>
          <w:szCs w:val="28"/>
          <w:highlight w:val="none"/>
          <w:lang w:val="zh-CN"/>
        </w:rPr>
        <w:t>报价供应商</w:t>
      </w:r>
      <w:r>
        <w:rPr>
          <w:rFonts w:ascii="宋体" w:hAnsi="宋体"/>
          <w:bCs/>
          <w:sz w:val="28"/>
          <w:szCs w:val="28"/>
          <w:highlight w:val="none"/>
          <w:lang w:val="zh-CN"/>
        </w:rPr>
        <w:t>无效报价</w:t>
      </w:r>
      <w:r>
        <w:rPr>
          <w:rFonts w:hint="eastAsia" w:ascii="宋体" w:hAnsi="宋体"/>
          <w:bCs/>
          <w:sz w:val="28"/>
          <w:szCs w:val="28"/>
          <w:highlight w:val="none"/>
          <w:lang w:val="zh-CN"/>
        </w:rPr>
        <w:t>。</w:t>
      </w:r>
    </w:p>
    <w:p w14:paraId="43ACD06E">
      <w:pPr>
        <w:adjustRightInd w:val="0"/>
        <w:snapToGrid w:val="0"/>
        <w:spacing w:line="560" w:lineRule="exact"/>
        <w:ind w:firstLine="560" w:firstLineChars="200"/>
        <w:rPr>
          <w:rFonts w:ascii="宋体" w:hAnsi="宋体"/>
          <w:bCs/>
          <w:sz w:val="28"/>
          <w:szCs w:val="28"/>
          <w:highlight w:val="none"/>
        </w:rPr>
      </w:pPr>
      <w:r>
        <w:rPr>
          <w:rFonts w:hint="eastAsia" w:ascii="宋体" w:hAnsi="宋体"/>
          <w:bCs/>
          <w:sz w:val="28"/>
          <w:szCs w:val="28"/>
          <w:highlight w:val="none"/>
          <w:lang w:val="zh-CN"/>
        </w:rPr>
        <w:t>（</w:t>
      </w:r>
      <w:r>
        <w:rPr>
          <w:rFonts w:ascii="宋体" w:hAnsi="宋体"/>
          <w:bCs/>
          <w:sz w:val="28"/>
          <w:szCs w:val="28"/>
          <w:highlight w:val="none"/>
          <w:lang w:val="zh-CN"/>
        </w:rPr>
        <w:t>2）</w:t>
      </w:r>
      <w:r>
        <w:rPr>
          <w:rFonts w:hint="eastAsia" w:ascii="宋体" w:hAnsi="宋体"/>
          <w:bCs/>
          <w:sz w:val="28"/>
          <w:szCs w:val="28"/>
          <w:highlight w:val="none"/>
        </w:rPr>
        <w:t>报价文件按无效报价处理的，评审委员会应当拒绝其参与后续谈判、评审。评审委员会组长当场向未通过符合性审查的报价供应商告知审查结果和未通过原因，报价供应商签字确认。报价供应商有疑义的，评审委员会应当当场解答。报价供应商拒绝签字确认的，</w:t>
      </w:r>
      <w:r>
        <w:rPr>
          <w:rFonts w:hint="eastAsia" w:ascii="仿宋_GB2312" w:hAnsi="仿宋"/>
          <w:bCs/>
          <w:sz w:val="28"/>
          <w:szCs w:val="36"/>
          <w:highlight w:val="none"/>
        </w:rPr>
        <w:t>不影响符合性审查结果，评审委员会</w:t>
      </w:r>
      <w:r>
        <w:rPr>
          <w:rFonts w:hint="eastAsia" w:ascii="宋体" w:hAnsi="宋体"/>
          <w:bCs/>
          <w:sz w:val="28"/>
          <w:szCs w:val="28"/>
          <w:highlight w:val="none"/>
        </w:rPr>
        <w:t>如实在评审报告中记录。</w:t>
      </w:r>
      <w:bookmarkStart w:id="257" w:name="_Toc5778"/>
      <w:bookmarkStart w:id="258" w:name="_Toc29848"/>
      <w:bookmarkStart w:id="259" w:name="_Toc20102"/>
      <w:bookmarkStart w:id="260" w:name="_Toc21936"/>
      <w:bookmarkStart w:id="261" w:name="_Toc16901"/>
      <w:bookmarkStart w:id="262" w:name="_Toc112768411"/>
    </w:p>
    <w:p w14:paraId="33A97938">
      <w:pPr>
        <w:pStyle w:val="6"/>
        <w:keepNext w:val="0"/>
        <w:keepLines w:val="0"/>
        <w:adjustRightInd w:val="0"/>
        <w:snapToGrid w:val="0"/>
        <w:spacing w:before="0" w:after="0" w:line="560" w:lineRule="exact"/>
        <w:ind w:firstLine="560" w:firstLineChars="200"/>
        <w:rPr>
          <w:rFonts w:ascii="黑体" w:hAnsi="黑体"/>
          <w:b w:val="0"/>
          <w:highlight w:val="none"/>
        </w:rPr>
      </w:pPr>
      <w:r>
        <w:rPr>
          <w:rFonts w:ascii="黑体" w:hAnsi="黑体"/>
          <w:b w:val="0"/>
          <w:highlight w:val="none"/>
        </w:rPr>
        <w:t>29.</w:t>
      </w:r>
      <w:bookmarkStart w:id="263" w:name="_Hlk112684026"/>
      <w:r>
        <w:rPr>
          <w:rFonts w:hint="eastAsia" w:ascii="黑体" w:hAnsi="黑体"/>
          <w:b w:val="0"/>
          <w:highlight w:val="none"/>
        </w:rPr>
        <w:t>谈判</w:t>
      </w:r>
      <w:bookmarkEnd w:id="257"/>
      <w:bookmarkEnd w:id="258"/>
      <w:bookmarkEnd w:id="259"/>
      <w:bookmarkEnd w:id="260"/>
      <w:bookmarkEnd w:id="261"/>
      <w:bookmarkEnd w:id="262"/>
      <w:bookmarkEnd w:id="263"/>
      <w:r>
        <w:rPr>
          <w:rFonts w:hint="eastAsia" w:ascii="黑体" w:hAnsi="黑体"/>
          <w:b w:val="0"/>
          <w:highlight w:val="none"/>
        </w:rPr>
        <w:t>及报价</w:t>
      </w:r>
    </w:p>
    <w:p w14:paraId="1815A0AB">
      <w:pPr>
        <w:adjustRightInd w:val="0"/>
        <w:snapToGrid w:val="0"/>
        <w:spacing w:line="560" w:lineRule="exact"/>
        <w:ind w:firstLine="560" w:firstLineChars="200"/>
        <w:jc w:val="left"/>
        <w:rPr>
          <w:rFonts w:ascii="宋体" w:hAnsi="宋体"/>
          <w:bCs/>
          <w:sz w:val="28"/>
          <w:szCs w:val="28"/>
          <w:highlight w:val="none"/>
        </w:rPr>
      </w:pPr>
      <w:r>
        <w:rPr>
          <w:rFonts w:ascii="宋体" w:hAnsi="宋体"/>
          <w:bCs/>
          <w:sz w:val="28"/>
          <w:szCs w:val="28"/>
          <w:highlight w:val="none"/>
        </w:rPr>
        <w:t>29.1谈判的一般规定：</w:t>
      </w:r>
    </w:p>
    <w:p w14:paraId="5CCCAFB4">
      <w:pPr>
        <w:adjustRightInd w:val="0"/>
        <w:snapToGrid w:val="0"/>
        <w:spacing w:line="560" w:lineRule="exact"/>
        <w:ind w:firstLine="560" w:firstLineChars="200"/>
        <w:jc w:val="left"/>
        <w:rPr>
          <w:rFonts w:ascii="宋体" w:hAnsi="宋体" w:cs="宋体"/>
          <w:bCs/>
          <w:kern w:val="0"/>
          <w:sz w:val="28"/>
          <w:szCs w:val="28"/>
          <w:highlight w:val="none"/>
        </w:rPr>
      </w:pPr>
      <w:r>
        <w:rPr>
          <w:rFonts w:hint="eastAsia" w:ascii="宋体" w:hAnsi="宋体" w:cs="宋体"/>
          <w:bCs/>
          <w:kern w:val="0"/>
          <w:sz w:val="28"/>
          <w:szCs w:val="28"/>
          <w:highlight w:val="none"/>
        </w:rPr>
        <w:t>（</w:t>
      </w:r>
      <w:r>
        <w:rPr>
          <w:rFonts w:ascii="宋体" w:hAnsi="宋体" w:cs="宋体"/>
          <w:bCs/>
          <w:kern w:val="0"/>
          <w:sz w:val="28"/>
          <w:szCs w:val="28"/>
          <w:highlight w:val="none"/>
        </w:rPr>
        <w:t>1）在谈判过程中，评审委员会所有成员集中与单一</w:t>
      </w:r>
      <w:r>
        <w:rPr>
          <w:rFonts w:hint="eastAsia" w:ascii="宋体" w:hAnsi="宋体" w:cs="宋体"/>
          <w:bCs/>
          <w:kern w:val="0"/>
          <w:sz w:val="28"/>
          <w:szCs w:val="28"/>
          <w:highlight w:val="none"/>
        </w:rPr>
        <w:t>报价</w:t>
      </w:r>
      <w:r>
        <w:rPr>
          <w:rFonts w:ascii="宋体" w:hAnsi="宋体" w:cs="宋体"/>
          <w:bCs/>
          <w:kern w:val="0"/>
          <w:sz w:val="28"/>
          <w:szCs w:val="28"/>
          <w:highlight w:val="none"/>
        </w:rPr>
        <w:t>供应商分别进行谈判，并给予所有参加谈判的</w:t>
      </w:r>
      <w:r>
        <w:rPr>
          <w:rFonts w:hint="eastAsia" w:ascii="宋体" w:hAnsi="宋体" w:cs="宋体"/>
          <w:bCs/>
          <w:kern w:val="0"/>
          <w:sz w:val="28"/>
          <w:szCs w:val="28"/>
          <w:highlight w:val="none"/>
        </w:rPr>
        <w:t>报价</w:t>
      </w:r>
      <w:r>
        <w:rPr>
          <w:rFonts w:ascii="宋体" w:hAnsi="宋体" w:cs="宋体"/>
          <w:bCs/>
          <w:kern w:val="0"/>
          <w:sz w:val="28"/>
          <w:szCs w:val="28"/>
          <w:highlight w:val="none"/>
        </w:rPr>
        <w:t>供应商平等的谈判机会。</w:t>
      </w:r>
      <w:r>
        <w:rPr>
          <w:rFonts w:hint="eastAsia" w:ascii="宋体" w:hAnsi="宋体" w:cs="宋体"/>
          <w:bCs/>
          <w:kern w:val="0"/>
          <w:sz w:val="28"/>
          <w:szCs w:val="28"/>
          <w:highlight w:val="none"/>
        </w:rPr>
        <w:t>报价</w:t>
      </w:r>
      <w:r>
        <w:rPr>
          <w:rFonts w:ascii="宋体" w:hAnsi="宋体" w:cs="宋体"/>
          <w:bCs/>
          <w:kern w:val="0"/>
          <w:sz w:val="28"/>
          <w:szCs w:val="28"/>
          <w:highlight w:val="none"/>
        </w:rPr>
        <w:t>供应商应</w:t>
      </w:r>
      <w:r>
        <w:rPr>
          <w:rFonts w:hint="eastAsia" w:ascii="宋体" w:hAnsi="宋体" w:cs="宋体"/>
          <w:bCs/>
          <w:kern w:val="0"/>
          <w:sz w:val="28"/>
          <w:szCs w:val="28"/>
          <w:highlight w:val="none"/>
        </w:rPr>
        <w:t>当</w:t>
      </w:r>
      <w:r>
        <w:rPr>
          <w:rFonts w:ascii="宋体" w:hAnsi="宋体" w:cs="宋体"/>
          <w:bCs/>
          <w:kern w:val="0"/>
          <w:sz w:val="28"/>
          <w:szCs w:val="28"/>
          <w:highlight w:val="none"/>
        </w:rPr>
        <w:t>派</w:t>
      </w:r>
      <w:r>
        <w:rPr>
          <w:rFonts w:hint="eastAsia" w:ascii="宋体" w:hAnsi="宋体" w:cs="宋体"/>
          <w:bCs/>
          <w:snapToGrid w:val="0"/>
          <w:sz w:val="28"/>
          <w:szCs w:val="28"/>
          <w:highlight w:val="none"/>
          <w:lang w:val="zh-CN"/>
        </w:rPr>
        <w:t>法定代表人或授权代表及技术人员</w:t>
      </w:r>
      <w:r>
        <w:rPr>
          <w:rFonts w:hint="eastAsia" w:ascii="宋体" w:hAnsi="宋体" w:cs="宋体"/>
          <w:bCs/>
          <w:kern w:val="0"/>
          <w:sz w:val="28"/>
          <w:szCs w:val="28"/>
          <w:highlight w:val="none"/>
        </w:rPr>
        <w:t>参加谈判。</w:t>
      </w:r>
      <w:r>
        <w:rPr>
          <w:rFonts w:hint="eastAsia" w:ascii="宋体" w:hAnsi="宋体" w:cs="宋体"/>
          <w:kern w:val="0"/>
          <w:sz w:val="28"/>
          <w:szCs w:val="28"/>
          <w:highlight w:val="none"/>
        </w:rPr>
        <w:t>报价供应商每次出场顺序按照提交报价文件的倒序进行。</w:t>
      </w:r>
    </w:p>
    <w:p w14:paraId="6ACC3780">
      <w:pPr>
        <w:adjustRightInd w:val="0"/>
        <w:snapToGrid w:val="0"/>
        <w:spacing w:line="560" w:lineRule="exact"/>
        <w:ind w:firstLine="560" w:firstLineChars="200"/>
        <w:jc w:val="left"/>
        <w:rPr>
          <w:rFonts w:ascii="宋体" w:hAnsi="宋体" w:cs="宋体"/>
          <w:bCs/>
          <w:kern w:val="0"/>
          <w:sz w:val="28"/>
          <w:szCs w:val="28"/>
          <w:highlight w:val="none"/>
        </w:rPr>
      </w:pPr>
      <w:bookmarkStart w:id="264" w:name="_Hlk128078346"/>
      <w:r>
        <w:rPr>
          <w:rFonts w:hint="eastAsia" w:ascii="宋体" w:hAnsi="宋体" w:cs="宋体"/>
          <w:bCs/>
          <w:kern w:val="0"/>
          <w:sz w:val="28"/>
          <w:szCs w:val="28"/>
          <w:highlight w:val="none"/>
        </w:rPr>
        <w:t>（2）通常采用2轮谈判、3次报价，确实需要增加或减少谈判、报价轮次的，应当在谈判文件中载明或经评审委员会认定，并在评审报告中注明理由。</w:t>
      </w:r>
    </w:p>
    <w:p w14:paraId="3C615EC3">
      <w:pPr>
        <w:adjustRightInd w:val="0"/>
        <w:snapToGrid w:val="0"/>
        <w:spacing w:line="560" w:lineRule="exact"/>
        <w:ind w:firstLine="560" w:firstLineChars="200"/>
        <w:jc w:val="left"/>
        <w:rPr>
          <w:rFonts w:ascii="宋体" w:hAnsi="宋体" w:cs="宋体"/>
          <w:bCs/>
          <w:kern w:val="0"/>
          <w:sz w:val="28"/>
          <w:szCs w:val="28"/>
          <w:highlight w:val="none"/>
        </w:rPr>
      </w:pPr>
      <w:r>
        <w:rPr>
          <w:rFonts w:hint="eastAsia" w:ascii="宋体" w:hAnsi="宋体" w:cs="宋体"/>
          <w:bCs/>
          <w:kern w:val="0"/>
          <w:sz w:val="28"/>
          <w:szCs w:val="28"/>
          <w:highlight w:val="none"/>
        </w:rPr>
        <w:t>（3）评审委员会可以根据谈判文件和谈判情况，实质性变动采购需求中的商务、技术要求，以及合同草案条款；实质性变动的内容，应当经采购单位和采购机构确认，并将变更的内容书面通知所有参加谈判的报价供应商；报价供应商可以根据谈判情况变更其报价文件的商务、技术响应内容，并将变更内容形成书面材料，作为报价文件的组成部分送评审委员会；报价供应商书面变更材料应当由其法定代表人或授权代表签字确认。</w:t>
      </w:r>
    </w:p>
    <w:p w14:paraId="7C9C9DE7">
      <w:pPr>
        <w:adjustRightInd w:val="0"/>
        <w:snapToGrid w:val="0"/>
        <w:spacing w:line="560" w:lineRule="exact"/>
        <w:ind w:firstLine="560" w:firstLineChars="200"/>
        <w:jc w:val="left"/>
        <w:rPr>
          <w:rFonts w:ascii="宋体" w:hAnsi="宋体" w:cs="宋体"/>
          <w:bCs/>
          <w:kern w:val="0"/>
          <w:sz w:val="28"/>
          <w:szCs w:val="28"/>
          <w:highlight w:val="none"/>
        </w:rPr>
      </w:pPr>
      <w:r>
        <w:rPr>
          <w:rFonts w:hint="eastAsia" w:ascii="宋体" w:hAnsi="宋体" w:cs="宋体"/>
          <w:bCs/>
          <w:kern w:val="0"/>
          <w:sz w:val="28"/>
          <w:szCs w:val="28"/>
          <w:highlight w:val="none"/>
        </w:rPr>
        <w:t>（4）谈判过程中，谈判任何一方不得透露与谈判有关的其他报价供应商的商务、技术、价格等信息；报价供应商应当在谈判室外独立填写报价单，并由其法定代表人或其授权代表签字确认，在规定时间内密封提交评审委员会。</w:t>
      </w:r>
    </w:p>
    <w:p w14:paraId="1FCF8C0F">
      <w:pPr>
        <w:adjustRightInd w:val="0"/>
        <w:snapToGrid w:val="0"/>
        <w:spacing w:line="560" w:lineRule="exact"/>
        <w:ind w:firstLine="560" w:firstLineChars="200"/>
        <w:jc w:val="left"/>
        <w:rPr>
          <w:rFonts w:ascii="宋体" w:hAnsi="宋体" w:cs="宋体"/>
          <w:bCs/>
          <w:kern w:val="0"/>
          <w:sz w:val="28"/>
          <w:szCs w:val="28"/>
          <w:highlight w:val="none"/>
        </w:rPr>
      </w:pPr>
      <w:r>
        <w:rPr>
          <w:rFonts w:hint="eastAsia" w:ascii="宋体" w:hAnsi="宋体" w:cs="宋体"/>
          <w:bCs/>
          <w:kern w:val="0"/>
          <w:sz w:val="28"/>
          <w:szCs w:val="28"/>
          <w:highlight w:val="none"/>
        </w:rPr>
        <w:t>（</w:t>
      </w:r>
      <w:r>
        <w:rPr>
          <w:rFonts w:ascii="宋体" w:hAnsi="宋体" w:cs="宋体"/>
          <w:bCs/>
          <w:kern w:val="0"/>
          <w:sz w:val="28"/>
          <w:szCs w:val="28"/>
          <w:highlight w:val="none"/>
        </w:rPr>
        <w:t>5</w:t>
      </w:r>
      <w:r>
        <w:rPr>
          <w:rFonts w:hint="eastAsia" w:ascii="宋体" w:hAnsi="宋体" w:cs="宋体"/>
          <w:bCs/>
          <w:kern w:val="0"/>
          <w:sz w:val="28"/>
          <w:szCs w:val="28"/>
          <w:highlight w:val="none"/>
        </w:rPr>
        <w:t>）报价供应商在提交最终报价之前，可以根据情况退出谈判；采购机构应当退还谈判保证金；提交最终报价的报价供应商一般不得少于3家；只有2家的，按照本章第</w:t>
      </w:r>
      <w:r>
        <w:rPr>
          <w:rFonts w:ascii="宋体" w:hAnsi="宋体" w:cs="宋体"/>
          <w:bCs/>
          <w:kern w:val="0"/>
          <w:sz w:val="28"/>
          <w:szCs w:val="28"/>
          <w:highlight w:val="none"/>
        </w:rPr>
        <w:t>41.1</w:t>
      </w:r>
      <w:r>
        <w:rPr>
          <w:rFonts w:hint="eastAsia" w:ascii="宋体" w:hAnsi="宋体" w:cs="宋体"/>
          <w:bCs/>
          <w:kern w:val="0"/>
          <w:sz w:val="28"/>
          <w:szCs w:val="28"/>
          <w:highlight w:val="none"/>
        </w:rPr>
        <w:t>条有关规定执行。最终报价是报价供应商报价文件的有效组成部分。</w:t>
      </w:r>
    </w:p>
    <w:p w14:paraId="58293470">
      <w:pPr>
        <w:adjustRightInd w:val="0"/>
        <w:snapToGrid w:val="0"/>
        <w:spacing w:line="560" w:lineRule="exact"/>
        <w:ind w:firstLine="560" w:firstLineChars="200"/>
        <w:jc w:val="left"/>
        <w:rPr>
          <w:rFonts w:ascii="宋体" w:hAnsi="宋体" w:cs="宋体"/>
          <w:bCs/>
          <w:kern w:val="0"/>
          <w:sz w:val="28"/>
          <w:szCs w:val="28"/>
          <w:highlight w:val="none"/>
        </w:rPr>
      </w:pPr>
      <w:r>
        <w:rPr>
          <w:rFonts w:hint="eastAsia" w:ascii="宋体" w:hAnsi="宋体" w:cs="宋体"/>
          <w:bCs/>
          <w:kern w:val="0"/>
          <w:sz w:val="28"/>
          <w:szCs w:val="28"/>
          <w:highlight w:val="none"/>
        </w:rPr>
        <w:t>（</w:t>
      </w:r>
      <w:r>
        <w:rPr>
          <w:rFonts w:ascii="宋体" w:hAnsi="宋体" w:cs="宋体"/>
          <w:bCs/>
          <w:kern w:val="0"/>
          <w:sz w:val="28"/>
          <w:szCs w:val="28"/>
          <w:highlight w:val="none"/>
        </w:rPr>
        <w:t>6</w:t>
      </w:r>
      <w:r>
        <w:rPr>
          <w:rFonts w:hint="eastAsia" w:ascii="宋体" w:hAnsi="宋体" w:cs="宋体"/>
          <w:bCs/>
          <w:kern w:val="0"/>
          <w:sz w:val="28"/>
          <w:szCs w:val="28"/>
          <w:highlight w:val="none"/>
        </w:rPr>
        <w:t>）经过2轮谈判后，报价供应商响应内容仍然不能满足谈判文件要求，或谈判过程中发现报价供应商存在违法违规行为的，评审委员会应当将其淘汰，不允许参加最终报价，书面告知并说明理由。</w:t>
      </w:r>
    </w:p>
    <w:p w14:paraId="143BA971">
      <w:pPr>
        <w:adjustRightInd w:val="0"/>
        <w:snapToGrid w:val="0"/>
        <w:spacing w:line="560" w:lineRule="exact"/>
        <w:ind w:firstLine="560" w:firstLineChars="200"/>
        <w:jc w:val="left"/>
        <w:rPr>
          <w:rFonts w:ascii="宋体" w:hAnsi="宋体" w:cs="宋体"/>
          <w:bCs/>
          <w:kern w:val="0"/>
          <w:sz w:val="28"/>
          <w:szCs w:val="28"/>
          <w:highlight w:val="none"/>
        </w:rPr>
      </w:pPr>
      <w:r>
        <w:rPr>
          <w:rFonts w:hint="eastAsia" w:ascii="宋体" w:hAnsi="宋体" w:cs="宋体"/>
          <w:bCs/>
          <w:kern w:val="0"/>
          <w:sz w:val="28"/>
          <w:szCs w:val="28"/>
          <w:highlight w:val="none"/>
        </w:rPr>
        <w:t>（</w:t>
      </w:r>
      <w:r>
        <w:rPr>
          <w:rFonts w:ascii="宋体" w:hAnsi="宋体" w:cs="宋体"/>
          <w:bCs/>
          <w:kern w:val="0"/>
          <w:sz w:val="28"/>
          <w:szCs w:val="28"/>
          <w:highlight w:val="none"/>
        </w:rPr>
        <w:t>7）每轮谈判中，参加谈判的</w:t>
      </w:r>
      <w:r>
        <w:rPr>
          <w:rFonts w:hint="eastAsia" w:ascii="宋体" w:hAnsi="宋体" w:cs="宋体"/>
          <w:bCs/>
          <w:kern w:val="0"/>
          <w:sz w:val="28"/>
          <w:szCs w:val="28"/>
          <w:highlight w:val="none"/>
        </w:rPr>
        <w:t>报价</w:t>
      </w:r>
      <w:r>
        <w:rPr>
          <w:rFonts w:ascii="宋体" w:hAnsi="宋体" w:cs="宋体"/>
          <w:bCs/>
          <w:kern w:val="0"/>
          <w:sz w:val="28"/>
          <w:szCs w:val="28"/>
          <w:highlight w:val="none"/>
        </w:rPr>
        <w:t>供应商应</w:t>
      </w:r>
      <w:r>
        <w:rPr>
          <w:rFonts w:hint="eastAsia" w:ascii="宋体" w:hAnsi="宋体" w:cs="宋体"/>
          <w:bCs/>
          <w:kern w:val="0"/>
          <w:sz w:val="28"/>
          <w:szCs w:val="28"/>
          <w:highlight w:val="none"/>
        </w:rPr>
        <w:t>当</w:t>
      </w:r>
      <w:r>
        <w:rPr>
          <w:rFonts w:ascii="宋体" w:hAnsi="宋体" w:cs="宋体"/>
          <w:bCs/>
          <w:kern w:val="0"/>
          <w:sz w:val="28"/>
          <w:szCs w:val="28"/>
          <w:highlight w:val="none"/>
        </w:rPr>
        <w:t>认真、准确、完整地记录评审委员会提出的问题和要求。重新提交的报价文件应当对评审委员会书面通知提出的要求和条件</w:t>
      </w:r>
      <w:r>
        <w:rPr>
          <w:rFonts w:hint="eastAsia" w:ascii="宋体" w:hAnsi="宋体" w:cs="宋体"/>
          <w:bCs/>
          <w:kern w:val="0"/>
          <w:sz w:val="28"/>
          <w:szCs w:val="28"/>
          <w:highlight w:val="none"/>
        </w:rPr>
        <w:t>作出明确响应，并由法定代表人或授权代表签字确认。</w:t>
      </w:r>
      <w:bookmarkEnd w:id="264"/>
    </w:p>
    <w:p w14:paraId="550664CC">
      <w:pPr>
        <w:spacing w:line="560" w:lineRule="exact"/>
        <w:ind w:firstLine="560" w:firstLineChars="200"/>
        <w:rPr>
          <w:rFonts w:ascii="宋体" w:hAnsi="宋体" w:cs="宋体"/>
          <w:bCs/>
          <w:snapToGrid w:val="0"/>
          <w:sz w:val="28"/>
          <w:szCs w:val="28"/>
          <w:highlight w:val="none"/>
        </w:rPr>
      </w:pPr>
      <w:r>
        <w:rPr>
          <w:rFonts w:ascii="宋体" w:hAnsi="宋体" w:cs="宋体"/>
          <w:bCs/>
          <w:snapToGrid w:val="0"/>
          <w:sz w:val="28"/>
          <w:szCs w:val="28"/>
          <w:highlight w:val="none"/>
        </w:rPr>
        <w:t>29.2</w:t>
      </w:r>
      <w:r>
        <w:rPr>
          <w:rFonts w:hint="eastAsia" w:ascii="宋体" w:hAnsi="宋体" w:cs="宋体"/>
          <w:bCs/>
          <w:snapToGrid w:val="0"/>
          <w:sz w:val="28"/>
          <w:szCs w:val="28"/>
          <w:highlight w:val="none"/>
        </w:rPr>
        <w:t>第一轮谈判。</w:t>
      </w:r>
    </w:p>
    <w:p w14:paraId="522287D1">
      <w:pPr>
        <w:spacing w:line="560" w:lineRule="exact"/>
        <w:ind w:firstLine="560" w:firstLineChars="200"/>
        <w:rPr>
          <w:rFonts w:ascii="宋体" w:hAnsi="宋体" w:cs="宋体"/>
          <w:bCs/>
          <w:snapToGrid w:val="0"/>
          <w:sz w:val="28"/>
          <w:szCs w:val="28"/>
          <w:highlight w:val="none"/>
        </w:rPr>
      </w:pPr>
      <w:r>
        <w:rPr>
          <w:rFonts w:hint="eastAsia" w:ascii="宋体" w:hAnsi="宋体" w:cs="宋体"/>
          <w:bCs/>
          <w:snapToGrid w:val="0"/>
          <w:sz w:val="28"/>
          <w:szCs w:val="28"/>
          <w:highlight w:val="none"/>
        </w:rPr>
        <w:t>（</w:t>
      </w:r>
      <w:r>
        <w:rPr>
          <w:rFonts w:ascii="宋体" w:hAnsi="宋体" w:cs="宋体"/>
          <w:bCs/>
          <w:snapToGrid w:val="0"/>
          <w:sz w:val="28"/>
          <w:szCs w:val="28"/>
          <w:highlight w:val="none"/>
        </w:rPr>
        <w:t>1）</w:t>
      </w:r>
      <w:r>
        <w:rPr>
          <w:rFonts w:hint="eastAsia" w:ascii="宋体" w:hAnsi="宋体" w:cs="宋体"/>
          <w:bCs/>
          <w:snapToGrid w:val="0"/>
          <w:sz w:val="28"/>
          <w:szCs w:val="28"/>
          <w:highlight w:val="none"/>
        </w:rPr>
        <w:t>报价</w:t>
      </w:r>
      <w:r>
        <w:rPr>
          <w:rFonts w:ascii="宋体" w:hAnsi="宋体" w:cs="宋体"/>
          <w:bCs/>
          <w:snapToGrid w:val="0"/>
          <w:sz w:val="28"/>
          <w:szCs w:val="28"/>
          <w:highlight w:val="none"/>
        </w:rPr>
        <w:t>供应商介绍单位概况、技术方案、价格构成、服务承诺等事项，解答、澄清承诺评审委员会提出的质疑。</w:t>
      </w:r>
    </w:p>
    <w:p w14:paraId="2F5BFB6F">
      <w:pPr>
        <w:spacing w:line="560" w:lineRule="exact"/>
        <w:ind w:firstLine="560" w:firstLineChars="200"/>
        <w:rPr>
          <w:rFonts w:ascii="宋体" w:hAnsi="宋体" w:cs="宋体"/>
          <w:bCs/>
          <w:snapToGrid w:val="0"/>
          <w:sz w:val="28"/>
          <w:szCs w:val="28"/>
          <w:highlight w:val="none"/>
        </w:rPr>
      </w:pPr>
      <w:bookmarkStart w:id="265" w:name="_Hlk128078379"/>
      <w:r>
        <w:rPr>
          <w:rFonts w:hint="eastAsia" w:ascii="宋体" w:hAnsi="宋体" w:cs="宋体"/>
          <w:bCs/>
          <w:snapToGrid w:val="0"/>
          <w:sz w:val="28"/>
          <w:szCs w:val="28"/>
          <w:highlight w:val="none"/>
        </w:rPr>
        <w:t>（</w:t>
      </w:r>
      <w:r>
        <w:rPr>
          <w:rFonts w:ascii="宋体" w:hAnsi="宋体" w:cs="宋体"/>
          <w:bCs/>
          <w:snapToGrid w:val="0"/>
          <w:sz w:val="28"/>
          <w:szCs w:val="28"/>
          <w:highlight w:val="none"/>
        </w:rPr>
        <w:t>2）评审委员会就</w:t>
      </w:r>
      <w:r>
        <w:rPr>
          <w:rFonts w:hint="eastAsia" w:ascii="宋体" w:hAnsi="宋体" w:cs="宋体"/>
          <w:bCs/>
          <w:snapToGrid w:val="0"/>
          <w:sz w:val="28"/>
          <w:szCs w:val="28"/>
          <w:highlight w:val="none"/>
        </w:rPr>
        <w:t>报价文件的商务与技术响应情况，与报价供应商进行谈判。</w:t>
      </w:r>
      <w:bookmarkEnd w:id="265"/>
    </w:p>
    <w:p w14:paraId="32B3AD06">
      <w:pPr>
        <w:spacing w:line="560" w:lineRule="exact"/>
        <w:ind w:firstLine="560" w:firstLineChars="200"/>
        <w:rPr>
          <w:rFonts w:ascii="宋体" w:hAnsi="宋体" w:cs="宋体"/>
          <w:bCs/>
          <w:snapToGrid w:val="0"/>
          <w:sz w:val="28"/>
          <w:szCs w:val="28"/>
          <w:highlight w:val="none"/>
        </w:rPr>
      </w:pPr>
      <w:r>
        <w:rPr>
          <w:rFonts w:hint="eastAsia" w:ascii="宋体" w:hAnsi="宋体" w:cs="宋体"/>
          <w:bCs/>
          <w:snapToGrid w:val="0"/>
          <w:sz w:val="28"/>
          <w:szCs w:val="28"/>
          <w:highlight w:val="none"/>
        </w:rPr>
        <w:t>（</w:t>
      </w:r>
      <w:r>
        <w:rPr>
          <w:rFonts w:ascii="宋体" w:hAnsi="宋体" w:cs="宋体"/>
          <w:bCs/>
          <w:snapToGrid w:val="0"/>
          <w:sz w:val="28"/>
          <w:szCs w:val="28"/>
          <w:highlight w:val="none"/>
        </w:rPr>
        <w:t>3）</w:t>
      </w:r>
      <w:bookmarkStart w:id="266" w:name="_Hlk112684563"/>
      <w:r>
        <w:rPr>
          <w:rFonts w:hint="eastAsia" w:ascii="宋体" w:hAnsi="宋体" w:cs="宋体"/>
          <w:bCs/>
          <w:snapToGrid w:val="0"/>
          <w:sz w:val="28"/>
          <w:szCs w:val="28"/>
          <w:highlight w:val="none"/>
        </w:rPr>
        <w:t>评审委员会</w:t>
      </w:r>
      <w:bookmarkEnd w:id="266"/>
      <w:r>
        <w:rPr>
          <w:rFonts w:hint="eastAsia" w:ascii="宋体" w:hAnsi="宋体" w:cs="宋体"/>
          <w:bCs/>
          <w:snapToGrid w:val="0"/>
          <w:sz w:val="28"/>
          <w:szCs w:val="28"/>
          <w:highlight w:val="none"/>
        </w:rPr>
        <w:t>可以根据谈判文件和谈判情况，实质性变动采购需求中的商务、技术要求，以及合同草案条款，并将变更的内容书面通知所有参加谈判的报价供应商。</w:t>
      </w:r>
    </w:p>
    <w:p w14:paraId="1C3D98B8">
      <w:pPr>
        <w:spacing w:line="560" w:lineRule="exact"/>
        <w:ind w:firstLine="560" w:firstLineChars="200"/>
        <w:rPr>
          <w:rFonts w:ascii="宋体" w:hAnsi="宋体" w:cs="宋体"/>
          <w:bCs/>
          <w:snapToGrid w:val="0"/>
          <w:sz w:val="28"/>
          <w:szCs w:val="28"/>
          <w:highlight w:val="none"/>
        </w:rPr>
      </w:pPr>
      <w:r>
        <w:rPr>
          <w:rFonts w:hint="eastAsia" w:ascii="宋体" w:hAnsi="宋体" w:cs="宋体"/>
          <w:bCs/>
          <w:snapToGrid w:val="0"/>
          <w:sz w:val="28"/>
          <w:szCs w:val="28"/>
          <w:highlight w:val="none"/>
        </w:rPr>
        <w:t>（</w:t>
      </w:r>
      <w:r>
        <w:rPr>
          <w:rFonts w:ascii="宋体" w:hAnsi="宋体" w:cs="宋体"/>
          <w:bCs/>
          <w:snapToGrid w:val="0"/>
          <w:sz w:val="28"/>
          <w:szCs w:val="28"/>
          <w:highlight w:val="none"/>
        </w:rPr>
        <w:t>4）</w:t>
      </w:r>
      <w:r>
        <w:rPr>
          <w:rFonts w:hint="eastAsia" w:ascii="宋体" w:hAnsi="宋体" w:cs="宋体"/>
          <w:bCs/>
          <w:snapToGrid w:val="0"/>
          <w:sz w:val="28"/>
          <w:szCs w:val="28"/>
          <w:highlight w:val="none"/>
        </w:rPr>
        <w:t>报价供应商应当按照谈判文件的变动情况和评审委员会的要求提交第二次报价文件</w:t>
      </w:r>
      <w:r>
        <w:rPr>
          <w:rFonts w:ascii="宋体" w:hAnsi="宋体" w:cs="宋体"/>
          <w:bCs/>
          <w:snapToGrid w:val="0"/>
          <w:sz w:val="28"/>
          <w:szCs w:val="28"/>
          <w:highlight w:val="none"/>
        </w:rPr>
        <w:t>（</w:t>
      </w:r>
      <w:r>
        <w:rPr>
          <w:rFonts w:hint="eastAsia" w:ascii="宋体" w:hAnsi="宋体" w:cs="宋体"/>
          <w:bCs/>
          <w:snapToGrid w:val="0"/>
          <w:sz w:val="28"/>
          <w:szCs w:val="28"/>
          <w:highlight w:val="none"/>
        </w:rPr>
        <w:t>报价</w:t>
      </w:r>
      <w:r>
        <w:rPr>
          <w:rFonts w:ascii="宋体" w:hAnsi="宋体" w:cs="宋体"/>
          <w:bCs/>
          <w:snapToGrid w:val="0"/>
          <w:sz w:val="28"/>
          <w:szCs w:val="28"/>
          <w:highlight w:val="none"/>
        </w:rPr>
        <w:t>供应</w:t>
      </w:r>
      <w:r>
        <w:rPr>
          <w:rFonts w:hint="eastAsia" w:ascii="宋体" w:hAnsi="宋体" w:cs="宋体"/>
          <w:bCs/>
          <w:snapToGrid w:val="0"/>
          <w:sz w:val="28"/>
          <w:szCs w:val="28"/>
          <w:highlight w:val="none"/>
        </w:rPr>
        <w:t>商首次提交的报价文件中的报价为第一次报价）。</w:t>
      </w:r>
    </w:p>
    <w:p w14:paraId="2886D452">
      <w:pPr>
        <w:spacing w:line="560" w:lineRule="exact"/>
        <w:ind w:firstLine="560" w:firstLineChars="200"/>
        <w:rPr>
          <w:rFonts w:ascii="宋体" w:hAnsi="宋体" w:cs="宋体"/>
          <w:bCs/>
          <w:snapToGrid w:val="0"/>
          <w:sz w:val="28"/>
          <w:szCs w:val="28"/>
          <w:highlight w:val="none"/>
        </w:rPr>
      </w:pPr>
      <w:r>
        <w:rPr>
          <w:rFonts w:ascii="宋体" w:hAnsi="宋体" w:cs="宋体"/>
          <w:bCs/>
          <w:snapToGrid w:val="0"/>
          <w:sz w:val="28"/>
          <w:szCs w:val="28"/>
          <w:highlight w:val="none"/>
        </w:rPr>
        <w:t>29.3</w:t>
      </w:r>
      <w:r>
        <w:rPr>
          <w:rFonts w:hint="eastAsia" w:ascii="宋体" w:hAnsi="宋体" w:cs="宋体"/>
          <w:bCs/>
          <w:snapToGrid w:val="0"/>
          <w:sz w:val="28"/>
          <w:szCs w:val="28"/>
          <w:highlight w:val="none"/>
        </w:rPr>
        <w:t>第二轮谈判。评审委员会根据第一轮谈判情况、第二次报价和澄清承诺，集中与单一报价供应商进行第二轮谈判。</w:t>
      </w:r>
    </w:p>
    <w:p w14:paraId="73459D27">
      <w:pPr>
        <w:spacing w:line="560" w:lineRule="exact"/>
        <w:ind w:firstLine="560" w:firstLineChars="200"/>
        <w:rPr>
          <w:rFonts w:ascii="宋体" w:hAnsi="宋体" w:cs="宋体"/>
          <w:bCs/>
          <w:snapToGrid w:val="0"/>
          <w:sz w:val="28"/>
          <w:szCs w:val="28"/>
          <w:highlight w:val="none"/>
        </w:rPr>
      </w:pPr>
      <w:r>
        <w:rPr>
          <w:rFonts w:ascii="宋体" w:hAnsi="宋体" w:cs="宋体"/>
          <w:bCs/>
          <w:snapToGrid w:val="0"/>
          <w:sz w:val="28"/>
          <w:szCs w:val="28"/>
          <w:highlight w:val="none"/>
        </w:rPr>
        <w:t>29.4</w:t>
      </w:r>
      <w:r>
        <w:rPr>
          <w:rFonts w:hint="eastAsia" w:ascii="宋体" w:hAnsi="宋体" w:cs="宋体"/>
          <w:bCs/>
          <w:snapToGrid w:val="0"/>
          <w:sz w:val="28"/>
          <w:szCs w:val="28"/>
          <w:highlight w:val="none"/>
        </w:rPr>
        <w:t>本项目需要增加或减少谈判、报价轮次的，在专用文件中载明或经</w:t>
      </w:r>
      <w:bookmarkStart w:id="267" w:name="_Hlk112688669"/>
      <w:r>
        <w:rPr>
          <w:rFonts w:hint="eastAsia" w:ascii="宋体" w:hAnsi="宋体" w:cs="宋体"/>
          <w:bCs/>
          <w:snapToGrid w:val="0"/>
          <w:sz w:val="28"/>
          <w:szCs w:val="28"/>
          <w:highlight w:val="none"/>
        </w:rPr>
        <w:t>评审委员会</w:t>
      </w:r>
      <w:bookmarkEnd w:id="267"/>
      <w:r>
        <w:rPr>
          <w:rFonts w:hint="eastAsia" w:ascii="宋体" w:hAnsi="宋体" w:cs="宋体"/>
          <w:bCs/>
          <w:snapToGrid w:val="0"/>
          <w:sz w:val="28"/>
          <w:szCs w:val="28"/>
          <w:highlight w:val="none"/>
        </w:rPr>
        <w:t>认定，并在评审报告中注明理由。</w:t>
      </w:r>
    </w:p>
    <w:p w14:paraId="3AA74D4A">
      <w:pPr>
        <w:spacing w:line="560" w:lineRule="exact"/>
        <w:ind w:firstLine="560" w:firstLineChars="200"/>
        <w:rPr>
          <w:rFonts w:ascii="宋体" w:hAnsi="宋体" w:cs="宋体"/>
          <w:bCs/>
          <w:snapToGrid w:val="0"/>
          <w:sz w:val="28"/>
          <w:szCs w:val="28"/>
          <w:highlight w:val="none"/>
        </w:rPr>
      </w:pPr>
      <w:bookmarkStart w:id="268" w:name="_Toc29621"/>
      <w:bookmarkStart w:id="269" w:name="_Toc20388"/>
      <w:bookmarkStart w:id="270" w:name="_Toc6943"/>
      <w:bookmarkStart w:id="271" w:name="_Toc22971"/>
      <w:bookmarkStart w:id="272" w:name="_Toc5787"/>
      <w:bookmarkStart w:id="273" w:name="_Toc112768412"/>
      <w:r>
        <w:rPr>
          <w:rFonts w:ascii="宋体" w:hAnsi="宋体" w:cs="宋体"/>
          <w:bCs/>
          <w:snapToGrid w:val="0"/>
          <w:sz w:val="28"/>
          <w:szCs w:val="28"/>
          <w:highlight w:val="none"/>
        </w:rPr>
        <w:t xml:space="preserve">29.5 </w:t>
      </w:r>
      <w:r>
        <w:rPr>
          <w:rFonts w:hint="eastAsia" w:ascii="宋体" w:hAnsi="宋体" w:cs="宋体"/>
          <w:bCs/>
          <w:snapToGrid w:val="0"/>
          <w:sz w:val="28"/>
          <w:szCs w:val="28"/>
          <w:highlight w:val="none"/>
        </w:rPr>
        <w:t>最</w:t>
      </w:r>
      <w:bookmarkStart w:id="274" w:name="_Hlk112688760"/>
      <w:r>
        <w:rPr>
          <w:rFonts w:hint="eastAsia" w:ascii="宋体" w:hAnsi="宋体" w:cs="宋体"/>
          <w:bCs/>
          <w:snapToGrid w:val="0"/>
          <w:sz w:val="28"/>
          <w:szCs w:val="28"/>
          <w:highlight w:val="none"/>
        </w:rPr>
        <w:t>终</w:t>
      </w:r>
      <w:bookmarkEnd w:id="274"/>
      <w:r>
        <w:rPr>
          <w:rFonts w:hint="eastAsia" w:ascii="宋体" w:hAnsi="宋体" w:cs="宋体"/>
          <w:bCs/>
          <w:snapToGrid w:val="0"/>
          <w:sz w:val="28"/>
          <w:szCs w:val="28"/>
          <w:highlight w:val="none"/>
        </w:rPr>
        <w:t>报价</w:t>
      </w:r>
      <w:bookmarkEnd w:id="268"/>
      <w:bookmarkEnd w:id="269"/>
      <w:bookmarkEnd w:id="270"/>
      <w:bookmarkEnd w:id="271"/>
      <w:bookmarkEnd w:id="272"/>
      <w:bookmarkEnd w:id="273"/>
      <w:r>
        <w:rPr>
          <w:rFonts w:hint="eastAsia" w:ascii="宋体" w:hAnsi="宋体" w:cs="宋体"/>
          <w:bCs/>
          <w:snapToGrid w:val="0"/>
          <w:sz w:val="28"/>
          <w:szCs w:val="28"/>
          <w:highlight w:val="none"/>
        </w:rPr>
        <w:t>。</w:t>
      </w:r>
    </w:p>
    <w:p w14:paraId="50CA9AE9">
      <w:pPr>
        <w:spacing w:line="560" w:lineRule="exact"/>
        <w:ind w:firstLine="560" w:firstLineChars="200"/>
        <w:rPr>
          <w:rFonts w:ascii="宋体" w:hAnsi="宋体" w:cs="宋体"/>
          <w:bCs/>
          <w:snapToGrid w:val="0"/>
          <w:sz w:val="28"/>
          <w:szCs w:val="28"/>
          <w:highlight w:val="none"/>
        </w:rPr>
      </w:pPr>
      <w:r>
        <w:rPr>
          <w:rFonts w:hint="eastAsia" w:ascii="宋体" w:hAnsi="宋体" w:cs="宋体"/>
          <w:bCs/>
          <w:snapToGrid w:val="0"/>
          <w:sz w:val="28"/>
          <w:szCs w:val="28"/>
          <w:highlight w:val="none"/>
        </w:rPr>
        <w:t>谈判结束后，评审委员会应当要求符合谈判文件规定的实质性要求的报价供应商在规定时间内提交最终报价。最终报价由法定代表人或授权代表签字确认。</w:t>
      </w:r>
    </w:p>
    <w:p w14:paraId="6A7B6957">
      <w:pPr>
        <w:adjustRightInd w:val="0"/>
        <w:snapToGrid w:val="0"/>
        <w:spacing w:line="560" w:lineRule="exact"/>
        <w:ind w:firstLine="560" w:firstLineChars="200"/>
        <w:jc w:val="left"/>
        <w:rPr>
          <w:rFonts w:ascii="宋体" w:hAnsi="宋体" w:cs="宋体"/>
          <w:bCs/>
          <w:kern w:val="0"/>
          <w:sz w:val="28"/>
          <w:szCs w:val="28"/>
          <w:highlight w:val="none"/>
        </w:rPr>
      </w:pPr>
      <w:r>
        <w:rPr>
          <w:rFonts w:hint="eastAsia" w:ascii="宋体" w:hAnsi="宋体" w:cs="宋体"/>
          <w:bCs/>
          <w:kern w:val="0"/>
          <w:sz w:val="28"/>
          <w:szCs w:val="28"/>
          <w:highlight w:val="none"/>
        </w:rPr>
        <w:t>（</w:t>
      </w:r>
      <w:r>
        <w:rPr>
          <w:rFonts w:ascii="宋体" w:hAnsi="宋体" w:cs="宋体"/>
          <w:bCs/>
          <w:kern w:val="0"/>
          <w:sz w:val="28"/>
          <w:szCs w:val="28"/>
          <w:highlight w:val="none"/>
        </w:rPr>
        <w:t>1）谈判文件能够详细列明采购需求的技术、服务要求的，谈判结束后，评审委员会应当要求所有</w:t>
      </w:r>
      <w:r>
        <w:rPr>
          <w:rFonts w:hint="eastAsia" w:ascii="宋体" w:hAnsi="宋体" w:cs="宋体"/>
          <w:bCs/>
          <w:kern w:val="0"/>
          <w:sz w:val="28"/>
          <w:szCs w:val="28"/>
          <w:highlight w:val="none"/>
        </w:rPr>
        <w:t>报价</w:t>
      </w:r>
      <w:r>
        <w:rPr>
          <w:rFonts w:ascii="宋体" w:hAnsi="宋体" w:cs="宋体"/>
          <w:bCs/>
          <w:kern w:val="0"/>
          <w:sz w:val="28"/>
          <w:szCs w:val="28"/>
          <w:highlight w:val="none"/>
        </w:rPr>
        <w:t>供应商在规定时间内提交最终报价。</w:t>
      </w:r>
    </w:p>
    <w:p w14:paraId="3100232F">
      <w:pPr>
        <w:adjustRightInd w:val="0"/>
        <w:snapToGrid w:val="0"/>
        <w:spacing w:line="560" w:lineRule="exact"/>
        <w:ind w:firstLine="560" w:firstLineChars="200"/>
        <w:jc w:val="left"/>
        <w:rPr>
          <w:rFonts w:ascii="宋体" w:hAnsi="宋体" w:cs="宋体"/>
          <w:bCs/>
          <w:kern w:val="0"/>
          <w:sz w:val="28"/>
          <w:szCs w:val="28"/>
          <w:highlight w:val="none"/>
        </w:rPr>
      </w:pPr>
      <w:r>
        <w:rPr>
          <w:rFonts w:hint="eastAsia" w:ascii="宋体" w:hAnsi="宋体" w:cs="宋体"/>
          <w:bCs/>
          <w:kern w:val="0"/>
          <w:sz w:val="28"/>
          <w:szCs w:val="28"/>
          <w:highlight w:val="none"/>
        </w:rPr>
        <w:t>（</w:t>
      </w:r>
      <w:r>
        <w:rPr>
          <w:rFonts w:ascii="宋体" w:hAnsi="宋体" w:cs="宋体"/>
          <w:bCs/>
          <w:kern w:val="0"/>
          <w:sz w:val="28"/>
          <w:szCs w:val="28"/>
          <w:highlight w:val="none"/>
        </w:rPr>
        <w:t>2）谈判文件不能详细列明采购需求的技术、服务要求，需经谈判由</w:t>
      </w:r>
      <w:r>
        <w:rPr>
          <w:rFonts w:hint="eastAsia" w:ascii="宋体" w:hAnsi="宋体" w:cs="宋体"/>
          <w:bCs/>
          <w:kern w:val="0"/>
          <w:sz w:val="28"/>
          <w:szCs w:val="28"/>
          <w:highlight w:val="none"/>
        </w:rPr>
        <w:t>报价</w:t>
      </w:r>
      <w:r>
        <w:rPr>
          <w:rFonts w:ascii="宋体" w:hAnsi="宋体" w:cs="宋体"/>
          <w:bCs/>
          <w:kern w:val="0"/>
          <w:sz w:val="28"/>
          <w:szCs w:val="28"/>
          <w:highlight w:val="none"/>
        </w:rPr>
        <w:t>供应商提供最终设计方案或解决方案的，谈判结束后，评审委员会应当按照少数服从多数的原则投票推荐3家以上</w:t>
      </w:r>
      <w:r>
        <w:rPr>
          <w:rFonts w:hint="eastAsia" w:ascii="宋体" w:hAnsi="宋体" w:cs="宋体"/>
          <w:bCs/>
          <w:kern w:val="0"/>
          <w:sz w:val="28"/>
          <w:szCs w:val="28"/>
          <w:highlight w:val="none"/>
        </w:rPr>
        <w:t>报价</w:t>
      </w:r>
      <w:r>
        <w:rPr>
          <w:rFonts w:ascii="宋体" w:hAnsi="宋体" w:cs="宋体"/>
          <w:bCs/>
          <w:kern w:val="0"/>
          <w:sz w:val="28"/>
          <w:szCs w:val="28"/>
          <w:highlight w:val="none"/>
        </w:rPr>
        <w:t>供应商的设计方案或解决方案，并要求其在规定时间内提交最终报价。</w:t>
      </w:r>
    </w:p>
    <w:p w14:paraId="49E27B00">
      <w:pPr>
        <w:adjustRightInd w:val="0"/>
        <w:snapToGrid w:val="0"/>
        <w:spacing w:line="560" w:lineRule="exact"/>
        <w:ind w:firstLine="560" w:firstLineChars="200"/>
        <w:jc w:val="left"/>
        <w:rPr>
          <w:rFonts w:ascii="宋体" w:hAnsi="宋体" w:cs="宋体"/>
          <w:bCs/>
          <w:kern w:val="0"/>
          <w:sz w:val="28"/>
          <w:szCs w:val="28"/>
          <w:highlight w:val="none"/>
        </w:rPr>
      </w:pPr>
      <w:r>
        <w:rPr>
          <w:rFonts w:hint="eastAsia" w:ascii="宋体" w:hAnsi="宋体" w:cs="宋体"/>
          <w:bCs/>
          <w:kern w:val="0"/>
          <w:sz w:val="28"/>
          <w:szCs w:val="28"/>
          <w:highlight w:val="none"/>
        </w:rPr>
        <w:t>（</w:t>
      </w:r>
      <w:r>
        <w:rPr>
          <w:rFonts w:ascii="宋体" w:hAnsi="宋体" w:cs="宋体"/>
          <w:bCs/>
          <w:kern w:val="0"/>
          <w:sz w:val="28"/>
          <w:szCs w:val="28"/>
          <w:highlight w:val="none"/>
        </w:rPr>
        <w:t>3）</w:t>
      </w:r>
      <w:r>
        <w:rPr>
          <w:rFonts w:hint="eastAsia" w:ascii="宋体" w:hAnsi="宋体" w:cs="宋体"/>
          <w:bCs/>
          <w:kern w:val="0"/>
          <w:sz w:val="28"/>
          <w:szCs w:val="28"/>
          <w:highlight w:val="none"/>
        </w:rPr>
        <w:t>最终报价是报价供应商报价文件的有效组成部分。符合本章第</w:t>
      </w:r>
      <w:r>
        <w:rPr>
          <w:rFonts w:ascii="宋体" w:hAnsi="宋体" w:cs="宋体"/>
          <w:bCs/>
          <w:kern w:val="0"/>
          <w:sz w:val="28"/>
          <w:szCs w:val="28"/>
          <w:highlight w:val="none"/>
        </w:rPr>
        <w:t>41.1</w:t>
      </w:r>
      <w:r>
        <w:rPr>
          <w:rFonts w:hint="eastAsia" w:ascii="宋体" w:hAnsi="宋体" w:cs="宋体"/>
          <w:bCs/>
          <w:kern w:val="0"/>
          <w:sz w:val="28"/>
          <w:szCs w:val="28"/>
          <w:highlight w:val="none"/>
        </w:rPr>
        <w:t>条特殊情形规定的，提交最终报价的报价供应商可以为</w:t>
      </w:r>
      <w:r>
        <w:rPr>
          <w:rFonts w:ascii="宋体" w:hAnsi="宋体" w:cs="宋体"/>
          <w:bCs/>
          <w:kern w:val="0"/>
          <w:sz w:val="28"/>
          <w:szCs w:val="28"/>
          <w:highlight w:val="none"/>
        </w:rPr>
        <w:t>2家。</w:t>
      </w:r>
    </w:p>
    <w:p w14:paraId="243B87D7">
      <w:pPr>
        <w:pStyle w:val="6"/>
        <w:keepNext w:val="0"/>
        <w:keepLines w:val="0"/>
        <w:adjustRightInd w:val="0"/>
        <w:snapToGrid w:val="0"/>
        <w:spacing w:before="0" w:after="0" w:line="560" w:lineRule="exact"/>
        <w:ind w:firstLine="560" w:firstLineChars="200"/>
        <w:rPr>
          <w:rFonts w:ascii="黑体" w:hAnsi="黑体"/>
          <w:b w:val="0"/>
          <w:highlight w:val="none"/>
        </w:rPr>
      </w:pPr>
      <w:bookmarkStart w:id="275" w:name="_Toc19887"/>
      <w:bookmarkStart w:id="276" w:name="_Toc19389"/>
      <w:bookmarkStart w:id="277" w:name="_Toc9368"/>
      <w:bookmarkStart w:id="278" w:name="_Toc112768414"/>
      <w:bookmarkStart w:id="279" w:name="_Toc23915"/>
      <w:bookmarkStart w:id="280" w:name="_Toc14429"/>
      <w:r>
        <w:rPr>
          <w:rFonts w:ascii="黑体" w:hAnsi="黑体"/>
          <w:b w:val="0"/>
          <w:highlight w:val="none"/>
        </w:rPr>
        <w:t>30.</w:t>
      </w:r>
      <w:r>
        <w:rPr>
          <w:rFonts w:hint="eastAsia" w:ascii="黑体" w:hAnsi="黑体"/>
          <w:b w:val="0"/>
          <w:highlight w:val="none"/>
        </w:rPr>
        <w:t>商务、技术评审</w:t>
      </w:r>
    </w:p>
    <w:p w14:paraId="710D228F">
      <w:pPr>
        <w:spacing w:line="560" w:lineRule="exact"/>
        <w:ind w:firstLine="560" w:firstLineChars="200"/>
        <w:rPr>
          <w:sz w:val="28"/>
          <w:szCs w:val="28"/>
          <w:highlight w:val="none"/>
        </w:rPr>
      </w:pPr>
      <w:r>
        <w:rPr>
          <w:rFonts w:hint="eastAsia"/>
          <w:sz w:val="28"/>
          <w:szCs w:val="28"/>
          <w:highlight w:val="none"/>
        </w:rPr>
        <w:t>评审委员会按照谈判文件中明确的评审方法和标准，对资格性和符合性审查合格</w:t>
      </w:r>
      <w:r>
        <w:rPr>
          <w:rFonts w:hint="eastAsia" w:ascii="宋体" w:hAnsi="宋体"/>
          <w:sz w:val="28"/>
          <w:szCs w:val="28"/>
          <w:highlight w:val="none"/>
        </w:rPr>
        <w:t>且提交最终报价的供应商</w:t>
      </w:r>
      <w:r>
        <w:rPr>
          <w:rFonts w:hint="eastAsia"/>
          <w:sz w:val="28"/>
          <w:szCs w:val="28"/>
          <w:highlight w:val="none"/>
        </w:rPr>
        <w:t>进行商务和技术评审。</w:t>
      </w:r>
    </w:p>
    <w:p w14:paraId="3529FBB3">
      <w:pPr>
        <w:spacing w:line="560" w:lineRule="exact"/>
        <w:ind w:firstLine="560" w:firstLineChars="200"/>
        <w:rPr>
          <w:rFonts w:ascii="宋体" w:hAnsi="宋体"/>
          <w:bCs/>
          <w:sz w:val="28"/>
          <w:szCs w:val="28"/>
          <w:highlight w:val="none"/>
        </w:rPr>
      </w:pPr>
      <w:r>
        <w:rPr>
          <w:rFonts w:hint="eastAsia"/>
          <w:sz w:val="28"/>
          <w:szCs w:val="28"/>
          <w:highlight w:val="none"/>
        </w:rPr>
        <w:t>评审委员会应当按照谈判文件要求，依据最终报价文件（不含价格部分）对报价供应商填写的内容进行审核确认。其中，商务评委按照商务评审标准作商务评审，技术评委按照技术评审标准进行技术评审。评审委员会成员应当填写评审工作底稿，详细记录评分情况，以及形成过程、计算依据和报价供应商排序情况，并签字确认。</w:t>
      </w:r>
      <w:r>
        <w:rPr>
          <w:rFonts w:hint="eastAsia"/>
          <w:b/>
          <w:bCs/>
          <w:sz w:val="28"/>
          <w:szCs w:val="28"/>
          <w:highlight w:val="none"/>
        </w:rPr>
        <w:t>评审委员会成员不得集体商议、沟通、协调，商务、技术评审方面存有歧义的除外。</w:t>
      </w:r>
    </w:p>
    <w:p w14:paraId="53F037E3">
      <w:pPr>
        <w:adjustRightInd w:val="0"/>
        <w:snapToGrid w:val="0"/>
        <w:spacing w:line="560" w:lineRule="exact"/>
        <w:ind w:firstLine="560" w:firstLineChars="200"/>
        <w:rPr>
          <w:rFonts w:ascii="宋体" w:hAnsi="宋体"/>
          <w:bCs/>
          <w:sz w:val="28"/>
          <w:szCs w:val="28"/>
          <w:highlight w:val="none"/>
        </w:rPr>
      </w:pPr>
      <w:r>
        <w:rPr>
          <w:rFonts w:ascii="宋体" w:hAnsi="宋体"/>
          <w:bCs/>
          <w:sz w:val="28"/>
          <w:szCs w:val="28"/>
          <w:highlight w:val="none"/>
        </w:rPr>
        <w:t>30.1</w:t>
      </w:r>
      <w:r>
        <w:rPr>
          <w:rFonts w:hint="eastAsia" w:ascii="宋体" w:hAnsi="宋体"/>
          <w:bCs/>
          <w:sz w:val="28"/>
          <w:szCs w:val="28"/>
          <w:highlight w:val="none"/>
        </w:rPr>
        <w:t>采用综合评分法时：</w:t>
      </w:r>
    </w:p>
    <w:p w14:paraId="5A5F2961">
      <w:pPr>
        <w:adjustRightInd w:val="0"/>
        <w:snapToGrid w:val="0"/>
        <w:spacing w:line="560" w:lineRule="exact"/>
        <w:ind w:firstLine="560" w:firstLineChars="200"/>
        <w:rPr>
          <w:rFonts w:asciiTheme="minorEastAsia" w:hAnsiTheme="minorEastAsia" w:eastAsiaTheme="minorEastAsia"/>
          <w:bCs/>
          <w:sz w:val="28"/>
          <w:szCs w:val="28"/>
          <w:highlight w:val="none"/>
        </w:rPr>
      </w:pPr>
      <w:r>
        <w:rPr>
          <w:rFonts w:hint="eastAsia" w:asciiTheme="minorEastAsia" w:hAnsiTheme="minorEastAsia" w:eastAsiaTheme="minorEastAsia"/>
          <w:bCs/>
          <w:sz w:val="28"/>
          <w:szCs w:val="28"/>
          <w:highlight w:val="none"/>
        </w:rPr>
        <w:t>商务、技术评分项响应评审。评审委员会按</w:t>
      </w:r>
      <w:r>
        <w:rPr>
          <w:rFonts w:hint="eastAsia"/>
          <w:sz w:val="28"/>
          <w:szCs w:val="28"/>
          <w:highlight w:val="none"/>
        </w:rPr>
        <w:t>谈判</w:t>
      </w:r>
      <w:r>
        <w:rPr>
          <w:rFonts w:hint="eastAsia" w:asciiTheme="minorEastAsia" w:hAnsiTheme="minorEastAsia" w:eastAsiaTheme="minorEastAsia"/>
          <w:bCs/>
          <w:sz w:val="28"/>
          <w:szCs w:val="28"/>
          <w:highlight w:val="none"/>
        </w:rPr>
        <w:t>文件规定的评审标准，对商务、技术评分项计算得分。</w:t>
      </w:r>
    </w:p>
    <w:p w14:paraId="7B8086BD">
      <w:pPr>
        <w:adjustRightInd w:val="0"/>
        <w:snapToGrid w:val="0"/>
        <w:spacing w:line="560" w:lineRule="exact"/>
        <w:ind w:firstLine="560" w:firstLineChars="200"/>
        <w:rPr>
          <w:rFonts w:asciiTheme="minorEastAsia" w:hAnsiTheme="minorEastAsia" w:eastAsiaTheme="minorEastAsia"/>
          <w:bCs/>
          <w:sz w:val="28"/>
          <w:szCs w:val="28"/>
          <w:highlight w:val="none"/>
        </w:rPr>
      </w:pPr>
      <w:r>
        <w:rPr>
          <w:rFonts w:hint="eastAsia" w:asciiTheme="minorEastAsia" w:hAnsiTheme="minorEastAsia" w:eastAsiaTheme="minorEastAsia"/>
          <w:bCs/>
          <w:sz w:val="28"/>
          <w:szCs w:val="28"/>
          <w:highlight w:val="none"/>
        </w:rPr>
        <w:t>评审委员会成员对同一</w:t>
      </w:r>
      <w:r>
        <w:rPr>
          <w:rFonts w:hint="eastAsia"/>
          <w:sz w:val="28"/>
          <w:szCs w:val="28"/>
          <w:highlight w:val="none"/>
        </w:rPr>
        <w:t>报价</w:t>
      </w:r>
      <w:r>
        <w:rPr>
          <w:rFonts w:hint="eastAsia" w:asciiTheme="minorEastAsia" w:hAnsiTheme="minorEastAsia" w:eastAsiaTheme="minorEastAsia"/>
          <w:bCs/>
          <w:sz w:val="28"/>
          <w:szCs w:val="28"/>
          <w:highlight w:val="none"/>
        </w:rPr>
        <w:t>供应商的商务或技术的评分，偏离评审委员会全体成员的评分均值</w:t>
      </w:r>
      <w:r>
        <w:rPr>
          <w:rFonts w:asciiTheme="minorEastAsia" w:hAnsiTheme="minorEastAsia" w:eastAsiaTheme="minorEastAsia"/>
          <w:bCs/>
          <w:sz w:val="28"/>
          <w:szCs w:val="28"/>
          <w:highlight w:val="none"/>
        </w:rPr>
        <w:t>20%以上的，以其他评委的评分均值作为该成员的评分；评审委员会</w:t>
      </w:r>
      <w:r>
        <w:rPr>
          <w:rFonts w:hint="eastAsia" w:asciiTheme="minorEastAsia" w:hAnsiTheme="minorEastAsia" w:eastAsiaTheme="minorEastAsia"/>
          <w:bCs/>
          <w:sz w:val="28"/>
          <w:szCs w:val="28"/>
          <w:highlight w:val="none"/>
        </w:rPr>
        <w:t>所有</w:t>
      </w:r>
      <w:r>
        <w:rPr>
          <w:rFonts w:asciiTheme="minorEastAsia" w:hAnsiTheme="minorEastAsia" w:eastAsiaTheme="minorEastAsia"/>
          <w:bCs/>
          <w:sz w:val="28"/>
          <w:szCs w:val="28"/>
          <w:highlight w:val="none"/>
        </w:rPr>
        <w:t>成员的评分</w:t>
      </w:r>
      <w:r>
        <w:rPr>
          <w:rFonts w:hint="eastAsia" w:asciiTheme="minorEastAsia" w:hAnsiTheme="minorEastAsia" w:eastAsiaTheme="minorEastAsia"/>
          <w:bCs/>
          <w:sz w:val="28"/>
          <w:szCs w:val="28"/>
          <w:highlight w:val="none"/>
        </w:rPr>
        <w:t>均</w:t>
      </w:r>
      <w:r>
        <w:rPr>
          <w:rFonts w:asciiTheme="minorEastAsia" w:hAnsiTheme="minorEastAsia" w:eastAsiaTheme="minorEastAsia"/>
          <w:bCs/>
          <w:sz w:val="28"/>
          <w:szCs w:val="28"/>
          <w:highlight w:val="none"/>
        </w:rPr>
        <w:t>偏离20%以上的，以全体成员的评分均值</w:t>
      </w:r>
      <w:r>
        <w:rPr>
          <w:rFonts w:hint="eastAsia" w:asciiTheme="minorEastAsia" w:hAnsiTheme="minorEastAsia" w:eastAsiaTheme="minorEastAsia"/>
          <w:bCs/>
          <w:sz w:val="28"/>
          <w:szCs w:val="28"/>
          <w:highlight w:val="none"/>
        </w:rPr>
        <w:t>计算</w:t>
      </w:r>
      <w:r>
        <w:rPr>
          <w:rFonts w:asciiTheme="minorEastAsia" w:hAnsiTheme="minorEastAsia" w:eastAsiaTheme="minorEastAsia"/>
          <w:bCs/>
          <w:sz w:val="28"/>
          <w:szCs w:val="28"/>
          <w:highlight w:val="none"/>
        </w:rPr>
        <w:t>。</w:t>
      </w:r>
    </w:p>
    <w:p w14:paraId="562F5911">
      <w:pPr>
        <w:adjustRightInd w:val="0"/>
        <w:snapToGrid w:val="0"/>
        <w:spacing w:line="560" w:lineRule="exact"/>
        <w:ind w:firstLine="560" w:firstLineChars="200"/>
        <w:rPr>
          <w:rFonts w:asciiTheme="minorEastAsia" w:hAnsiTheme="minorEastAsia" w:eastAsiaTheme="minorEastAsia"/>
          <w:bCs/>
          <w:sz w:val="28"/>
          <w:szCs w:val="28"/>
          <w:highlight w:val="none"/>
        </w:rPr>
      </w:pPr>
      <w:r>
        <w:rPr>
          <w:rFonts w:asciiTheme="minorEastAsia" w:hAnsiTheme="minorEastAsia" w:eastAsiaTheme="minorEastAsia"/>
          <w:bCs/>
          <w:sz w:val="28"/>
          <w:szCs w:val="28"/>
          <w:highlight w:val="none"/>
        </w:rPr>
        <w:t>30</w:t>
      </w:r>
      <w:r>
        <w:rPr>
          <w:rFonts w:hint="eastAsia" w:asciiTheme="minorEastAsia" w:hAnsiTheme="minorEastAsia" w:eastAsiaTheme="minorEastAsia"/>
          <w:bCs/>
          <w:sz w:val="28"/>
          <w:szCs w:val="28"/>
          <w:highlight w:val="none"/>
        </w:rPr>
        <w:t>.2采用经评审的最低价法评审时：</w:t>
      </w:r>
    </w:p>
    <w:p w14:paraId="6D89AC72">
      <w:pPr>
        <w:adjustRightInd w:val="0"/>
        <w:snapToGrid w:val="0"/>
        <w:spacing w:line="560" w:lineRule="exact"/>
        <w:ind w:firstLine="560" w:firstLineChars="200"/>
        <w:rPr>
          <w:rFonts w:asciiTheme="minorEastAsia" w:hAnsiTheme="minorEastAsia" w:eastAsiaTheme="minorEastAsia"/>
          <w:bCs/>
          <w:sz w:val="28"/>
          <w:szCs w:val="28"/>
          <w:highlight w:val="none"/>
        </w:rPr>
      </w:pPr>
      <w:r>
        <w:rPr>
          <w:rFonts w:hint="eastAsia" w:asciiTheme="minorEastAsia" w:hAnsiTheme="minorEastAsia" w:eastAsiaTheme="minorEastAsia"/>
          <w:bCs/>
          <w:sz w:val="28"/>
          <w:szCs w:val="28"/>
          <w:highlight w:val="none"/>
        </w:rPr>
        <w:t>评审委员会按谈判文件规定的评审标准，对商务、技术指标是否实质性响应进行判定；必要时，对技术指标优劣进行排序。</w:t>
      </w:r>
    </w:p>
    <w:p w14:paraId="1981CF9D">
      <w:pPr>
        <w:adjustRightInd w:val="0"/>
        <w:snapToGrid w:val="0"/>
        <w:spacing w:line="560" w:lineRule="exact"/>
        <w:ind w:firstLine="560" w:firstLineChars="200"/>
        <w:rPr>
          <w:rFonts w:ascii="宋体" w:hAnsi="宋体" w:cs="宋体"/>
          <w:bCs/>
          <w:snapToGrid w:val="0"/>
          <w:sz w:val="28"/>
          <w:szCs w:val="28"/>
          <w:highlight w:val="none"/>
          <w:lang w:val="zh-CN"/>
        </w:rPr>
      </w:pPr>
      <w:r>
        <w:rPr>
          <w:rFonts w:ascii="宋体" w:hAnsi="宋体"/>
          <w:bCs/>
          <w:sz w:val="28"/>
          <w:szCs w:val="28"/>
          <w:highlight w:val="none"/>
        </w:rPr>
        <w:t>※</w:t>
      </w:r>
      <w:r>
        <w:rPr>
          <w:rFonts w:ascii="宋体" w:hAnsi="宋体" w:cs="宋体"/>
          <w:bCs/>
          <w:snapToGrid w:val="0"/>
          <w:sz w:val="28"/>
          <w:szCs w:val="28"/>
          <w:highlight w:val="none"/>
          <w:lang w:val="zh-CN"/>
        </w:rPr>
        <w:t>30.</w:t>
      </w:r>
      <w:r>
        <w:rPr>
          <w:rFonts w:ascii="宋体" w:hAnsi="宋体" w:cs="宋体"/>
          <w:bCs/>
          <w:snapToGrid w:val="0"/>
          <w:sz w:val="28"/>
          <w:szCs w:val="28"/>
          <w:highlight w:val="none"/>
        </w:rPr>
        <w:t>3</w:t>
      </w:r>
      <w:r>
        <w:rPr>
          <w:rFonts w:ascii="宋体" w:hAnsi="宋体" w:cs="宋体"/>
          <w:bCs/>
          <w:snapToGrid w:val="0"/>
          <w:sz w:val="28"/>
          <w:szCs w:val="28"/>
          <w:highlight w:val="none"/>
          <w:lang w:val="zh-CN"/>
        </w:rPr>
        <w:t>样品评审。</w:t>
      </w:r>
      <w:r>
        <w:rPr>
          <w:rFonts w:hint="eastAsia" w:asciiTheme="minorEastAsia" w:hAnsiTheme="minorEastAsia" w:eastAsiaTheme="minorEastAsia"/>
          <w:bCs/>
          <w:sz w:val="28"/>
          <w:szCs w:val="28"/>
          <w:highlight w:val="none"/>
        </w:rPr>
        <w:t>除【报价供应商须知前附表】另有规定外，</w:t>
      </w:r>
      <w:r>
        <w:rPr>
          <w:rFonts w:hint="eastAsia" w:ascii="宋体" w:hAnsi="宋体" w:cs="宋体"/>
          <w:bCs/>
          <w:snapToGrid w:val="0"/>
          <w:sz w:val="28"/>
          <w:szCs w:val="28"/>
          <w:highlight w:val="none"/>
          <w:lang w:val="zh-CN"/>
        </w:rPr>
        <w:t>样品评审采用盲评。</w:t>
      </w:r>
      <w:r>
        <w:rPr>
          <w:rFonts w:hint="eastAsia"/>
          <w:sz w:val="28"/>
          <w:szCs w:val="28"/>
          <w:highlight w:val="none"/>
        </w:rPr>
        <w:t>报价</w:t>
      </w:r>
      <w:r>
        <w:rPr>
          <w:rFonts w:hint="eastAsia" w:ascii="宋体" w:hAnsi="宋体" w:cs="宋体"/>
          <w:bCs/>
          <w:snapToGrid w:val="0"/>
          <w:sz w:val="28"/>
          <w:szCs w:val="28"/>
          <w:highlight w:val="none"/>
          <w:lang w:val="zh-CN"/>
        </w:rPr>
        <w:t>供应商应当对提供样品的明显标识、铭牌和标签等进行遮挡，采购机构在样品评审前统一编号，评审委员会依据样品评审标准进行盲评。</w:t>
      </w:r>
    </w:p>
    <w:p w14:paraId="47902336">
      <w:pPr>
        <w:adjustRightInd w:val="0"/>
        <w:snapToGrid w:val="0"/>
        <w:spacing w:line="560" w:lineRule="exact"/>
        <w:ind w:firstLine="560" w:firstLineChars="200"/>
        <w:rPr>
          <w:rFonts w:ascii="宋体" w:hAnsi="宋体" w:cs="宋体"/>
          <w:bCs/>
          <w:snapToGrid w:val="0"/>
          <w:sz w:val="28"/>
          <w:szCs w:val="28"/>
          <w:highlight w:val="none"/>
          <w:lang w:val="zh-CN"/>
        </w:rPr>
      </w:pPr>
      <w:r>
        <w:rPr>
          <w:rFonts w:ascii="宋体" w:hAnsi="宋体" w:cs="宋体"/>
          <w:bCs/>
          <w:snapToGrid w:val="0"/>
          <w:sz w:val="28"/>
          <w:szCs w:val="28"/>
          <w:highlight w:val="none"/>
          <w:lang w:val="zh-CN"/>
        </w:rPr>
        <w:t>30.</w:t>
      </w:r>
      <w:r>
        <w:rPr>
          <w:rFonts w:ascii="宋体" w:hAnsi="宋体" w:cs="宋体"/>
          <w:bCs/>
          <w:snapToGrid w:val="0"/>
          <w:sz w:val="28"/>
          <w:szCs w:val="28"/>
          <w:highlight w:val="none"/>
        </w:rPr>
        <w:t>4</w:t>
      </w:r>
      <w:r>
        <w:rPr>
          <w:rFonts w:ascii="宋体" w:hAnsi="宋体" w:cs="宋体"/>
          <w:bCs/>
          <w:snapToGrid w:val="0"/>
          <w:sz w:val="28"/>
          <w:szCs w:val="28"/>
          <w:highlight w:val="none"/>
          <w:lang w:val="zh-CN"/>
        </w:rPr>
        <w:t>相同品牌或核心产品评审。</w:t>
      </w:r>
    </w:p>
    <w:p w14:paraId="4E0DDF21">
      <w:pPr>
        <w:adjustRightInd w:val="0"/>
        <w:snapToGrid w:val="0"/>
        <w:spacing w:line="560" w:lineRule="exact"/>
        <w:ind w:firstLine="560" w:firstLineChars="200"/>
        <w:rPr>
          <w:rFonts w:ascii="仿宋_GB2312" w:hAnsi="仿宋"/>
          <w:bCs/>
          <w:sz w:val="28"/>
          <w:szCs w:val="36"/>
          <w:highlight w:val="none"/>
        </w:rPr>
      </w:pPr>
      <w:r>
        <w:rPr>
          <w:rFonts w:hint="eastAsia" w:ascii="宋体" w:hAnsi="宋体"/>
          <w:bCs/>
          <w:sz w:val="28"/>
          <w:szCs w:val="36"/>
          <w:highlight w:val="none"/>
        </w:rPr>
        <w:t>（</w:t>
      </w:r>
      <w:r>
        <w:rPr>
          <w:rFonts w:ascii="宋体" w:hAnsi="宋体"/>
          <w:bCs/>
          <w:sz w:val="28"/>
          <w:szCs w:val="36"/>
          <w:highlight w:val="none"/>
        </w:rPr>
        <w:t>1）单个品种物资采购项目</w:t>
      </w:r>
      <w:r>
        <w:rPr>
          <w:rFonts w:hint="eastAsia" w:ascii="宋体" w:hAnsi="宋体"/>
          <w:bCs/>
          <w:sz w:val="28"/>
          <w:szCs w:val="36"/>
          <w:highlight w:val="none"/>
        </w:rPr>
        <w:t>，</w:t>
      </w:r>
      <w:r>
        <w:rPr>
          <w:rFonts w:ascii="宋体" w:hAnsi="宋体"/>
          <w:bCs/>
          <w:sz w:val="28"/>
          <w:szCs w:val="36"/>
          <w:highlight w:val="none"/>
        </w:rPr>
        <w:t>不同</w:t>
      </w:r>
      <w:r>
        <w:rPr>
          <w:rFonts w:hint="eastAsia"/>
          <w:sz w:val="28"/>
          <w:szCs w:val="28"/>
          <w:highlight w:val="none"/>
        </w:rPr>
        <w:t>报价</w:t>
      </w:r>
      <w:r>
        <w:rPr>
          <w:rFonts w:hint="eastAsia" w:ascii="仿宋_GB2312" w:hAnsi="仿宋"/>
          <w:bCs/>
          <w:sz w:val="28"/>
          <w:szCs w:val="36"/>
          <w:highlight w:val="none"/>
        </w:rPr>
        <w:t>供应商</w:t>
      </w:r>
      <w:r>
        <w:rPr>
          <w:rFonts w:ascii="宋体" w:hAnsi="宋体"/>
          <w:bCs/>
          <w:sz w:val="28"/>
          <w:szCs w:val="36"/>
          <w:highlight w:val="none"/>
        </w:rPr>
        <w:t>提供相同品牌产品的</w:t>
      </w:r>
      <w:r>
        <w:rPr>
          <w:rFonts w:hint="eastAsia" w:ascii="宋体" w:hAnsi="宋体"/>
          <w:bCs/>
          <w:sz w:val="28"/>
          <w:szCs w:val="36"/>
          <w:highlight w:val="none"/>
        </w:rPr>
        <w:t>，</w:t>
      </w:r>
      <w:r>
        <w:rPr>
          <w:rFonts w:hint="eastAsia"/>
          <w:sz w:val="28"/>
          <w:szCs w:val="28"/>
          <w:highlight w:val="none"/>
        </w:rPr>
        <w:t>报价</w:t>
      </w:r>
      <w:r>
        <w:rPr>
          <w:rFonts w:hint="eastAsia" w:ascii="宋体" w:hAnsi="宋体"/>
          <w:bCs/>
          <w:sz w:val="28"/>
          <w:szCs w:val="36"/>
          <w:highlight w:val="none"/>
        </w:rPr>
        <w:t>供应商数量按1家</w:t>
      </w:r>
      <w:r>
        <w:rPr>
          <w:rFonts w:hint="eastAsia"/>
          <w:sz w:val="28"/>
          <w:szCs w:val="28"/>
          <w:highlight w:val="none"/>
        </w:rPr>
        <w:t>报价</w:t>
      </w:r>
      <w:r>
        <w:rPr>
          <w:rFonts w:hint="eastAsia" w:ascii="仿宋_GB2312" w:hAnsi="仿宋"/>
          <w:bCs/>
          <w:sz w:val="28"/>
          <w:szCs w:val="36"/>
          <w:highlight w:val="none"/>
        </w:rPr>
        <w:t>供应商</w:t>
      </w:r>
      <w:r>
        <w:rPr>
          <w:rFonts w:hint="eastAsia" w:ascii="宋体" w:hAnsi="宋体"/>
          <w:bCs/>
          <w:sz w:val="28"/>
          <w:szCs w:val="36"/>
          <w:highlight w:val="none"/>
        </w:rPr>
        <w:t>计算。提供不同品牌产品的</w:t>
      </w:r>
      <w:r>
        <w:rPr>
          <w:rFonts w:hint="eastAsia"/>
          <w:sz w:val="28"/>
          <w:szCs w:val="28"/>
          <w:highlight w:val="none"/>
        </w:rPr>
        <w:t>报价</w:t>
      </w:r>
      <w:r>
        <w:rPr>
          <w:rFonts w:hint="eastAsia" w:ascii="仿宋_GB2312" w:hAnsi="仿宋"/>
          <w:bCs/>
          <w:sz w:val="28"/>
          <w:szCs w:val="36"/>
          <w:highlight w:val="none"/>
        </w:rPr>
        <w:t>供应商达到3家及以上的继续组织评审。其中，采用综合评分法的，应当分别对同品牌的所有报价供应商进行评分，由得分最高的报价供应商参加后续评审；采用经评审的最低价法的，由同品牌的所有报价供应商中报价最低的参加后续评审。同品牌报价供应商得分或报价相同的，由评审委员会按照</w:t>
      </w:r>
      <w:r>
        <w:rPr>
          <w:rFonts w:hint="eastAsia" w:asciiTheme="minorEastAsia" w:hAnsiTheme="minorEastAsia" w:eastAsiaTheme="minorEastAsia"/>
          <w:bCs/>
          <w:sz w:val="28"/>
          <w:szCs w:val="28"/>
          <w:highlight w:val="none"/>
        </w:rPr>
        <w:t>【报价供应商须知前附表】明确的方式</w:t>
      </w:r>
      <w:r>
        <w:rPr>
          <w:rFonts w:hint="eastAsia" w:ascii="仿宋_GB2312" w:hAnsi="仿宋"/>
          <w:bCs/>
          <w:sz w:val="28"/>
          <w:szCs w:val="36"/>
          <w:highlight w:val="none"/>
        </w:rPr>
        <w:t>确定1家报价供应商参加后续评审。只有</w:t>
      </w:r>
      <w:r>
        <w:rPr>
          <w:rFonts w:ascii="仿宋_GB2312" w:hAnsi="仿宋"/>
          <w:bCs/>
          <w:sz w:val="28"/>
          <w:szCs w:val="36"/>
          <w:highlight w:val="none"/>
        </w:rPr>
        <w:t>2</w:t>
      </w:r>
      <w:r>
        <w:rPr>
          <w:rFonts w:hint="eastAsia" w:ascii="仿宋_GB2312" w:hAnsi="仿宋"/>
          <w:bCs/>
          <w:sz w:val="28"/>
          <w:szCs w:val="36"/>
          <w:highlight w:val="none"/>
        </w:rPr>
        <w:t>家品牌产品的，按照第</w:t>
      </w:r>
      <w:r>
        <w:rPr>
          <w:rFonts w:ascii="仿宋_GB2312" w:hAnsi="仿宋"/>
          <w:bCs/>
          <w:sz w:val="28"/>
          <w:szCs w:val="36"/>
          <w:highlight w:val="none"/>
        </w:rPr>
        <w:t>41.1</w:t>
      </w:r>
      <w:r>
        <w:rPr>
          <w:rFonts w:hint="eastAsia" w:ascii="仿宋_GB2312" w:hAnsi="仿宋"/>
          <w:bCs/>
          <w:sz w:val="28"/>
          <w:szCs w:val="36"/>
          <w:highlight w:val="none"/>
        </w:rPr>
        <w:t>条明确的方法执行。</w:t>
      </w:r>
    </w:p>
    <w:p w14:paraId="304954B0">
      <w:pPr>
        <w:adjustRightInd w:val="0"/>
        <w:snapToGrid w:val="0"/>
        <w:spacing w:line="560" w:lineRule="exact"/>
        <w:ind w:firstLine="560" w:firstLineChars="200"/>
        <w:rPr>
          <w:rFonts w:ascii="宋体" w:hAnsi="宋体"/>
          <w:bCs/>
          <w:sz w:val="28"/>
          <w:szCs w:val="28"/>
          <w:highlight w:val="none"/>
        </w:rPr>
      </w:pPr>
      <w:r>
        <w:rPr>
          <w:rFonts w:hint="eastAsia" w:ascii="宋体" w:hAnsi="宋体"/>
          <w:bCs/>
          <w:sz w:val="28"/>
          <w:szCs w:val="36"/>
          <w:highlight w:val="none"/>
        </w:rPr>
        <w:t>（</w:t>
      </w:r>
      <w:r>
        <w:rPr>
          <w:rFonts w:ascii="宋体" w:hAnsi="宋体"/>
          <w:bCs/>
          <w:sz w:val="28"/>
          <w:szCs w:val="36"/>
          <w:highlight w:val="none"/>
        </w:rPr>
        <w:t>2）多个品种物资采购项目</w:t>
      </w:r>
      <w:r>
        <w:rPr>
          <w:rFonts w:hint="eastAsia" w:ascii="宋体" w:hAnsi="宋体"/>
          <w:bCs/>
          <w:sz w:val="28"/>
          <w:szCs w:val="36"/>
          <w:highlight w:val="none"/>
        </w:rPr>
        <w:t>，</w:t>
      </w:r>
      <w:r>
        <w:rPr>
          <w:rFonts w:hint="eastAsia" w:ascii="宋体" w:hAnsi="宋体"/>
          <w:bCs/>
          <w:sz w:val="28"/>
          <w:szCs w:val="28"/>
          <w:highlight w:val="none"/>
        </w:rPr>
        <w:t>核心产品见</w:t>
      </w:r>
      <w:r>
        <w:rPr>
          <w:rFonts w:hint="eastAsia" w:asciiTheme="minorEastAsia" w:hAnsiTheme="minorEastAsia" w:eastAsiaTheme="minorEastAsia"/>
          <w:bCs/>
          <w:sz w:val="28"/>
          <w:szCs w:val="28"/>
          <w:highlight w:val="none"/>
        </w:rPr>
        <w:t>【报价供应商须知前附表】</w:t>
      </w:r>
      <w:r>
        <w:rPr>
          <w:rFonts w:hint="eastAsia" w:ascii="宋体" w:hAnsi="宋体"/>
          <w:bCs/>
          <w:sz w:val="28"/>
          <w:szCs w:val="28"/>
          <w:highlight w:val="none"/>
        </w:rPr>
        <w:t>。</w:t>
      </w:r>
      <w:r>
        <w:rPr>
          <w:rFonts w:hint="eastAsia" w:ascii="宋体" w:hAnsi="宋体"/>
          <w:bCs/>
          <w:sz w:val="28"/>
          <w:szCs w:val="36"/>
          <w:highlight w:val="none"/>
        </w:rPr>
        <w:t>多家报价供应商提供的核心产品品牌相同的，以及</w:t>
      </w:r>
      <w:r>
        <w:rPr>
          <w:rFonts w:hint="eastAsia"/>
          <w:sz w:val="28"/>
          <w:szCs w:val="28"/>
          <w:highlight w:val="none"/>
        </w:rPr>
        <w:t>谈判</w:t>
      </w:r>
      <w:r>
        <w:rPr>
          <w:rFonts w:hint="eastAsia" w:ascii="宋体" w:hAnsi="宋体"/>
          <w:bCs/>
          <w:sz w:val="28"/>
          <w:szCs w:val="36"/>
          <w:highlight w:val="none"/>
        </w:rPr>
        <w:t>文件未明确核心产品、不同报价供应商提供的相同品牌产品金额均超过各自报价</w:t>
      </w:r>
      <w:r>
        <w:rPr>
          <w:rFonts w:ascii="宋体" w:hAnsi="宋体"/>
          <w:bCs/>
          <w:sz w:val="28"/>
          <w:szCs w:val="36"/>
          <w:highlight w:val="none"/>
        </w:rPr>
        <w:t>50%的，按照</w:t>
      </w:r>
      <w:r>
        <w:rPr>
          <w:rFonts w:hint="eastAsia" w:ascii="宋体" w:hAnsi="宋体"/>
          <w:bCs/>
          <w:sz w:val="28"/>
          <w:szCs w:val="36"/>
          <w:highlight w:val="none"/>
        </w:rPr>
        <w:t>1</w:t>
      </w:r>
      <w:r>
        <w:rPr>
          <w:rFonts w:ascii="宋体" w:hAnsi="宋体"/>
          <w:bCs/>
          <w:sz w:val="28"/>
          <w:szCs w:val="36"/>
          <w:highlight w:val="none"/>
        </w:rPr>
        <w:t>家报价供应商计算，依据前</w:t>
      </w:r>
      <w:r>
        <w:rPr>
          <w:rFonts w:hint="eastAsia" w:ascii="宋体" w:hAnsi="宋体"/>
          <w:bCs/>
          <w:sz w:val="28"/>
          <w:szCs w:val="36"/>
          <w:highlight w:val="none"/>
        </w:rPr>
        <w:t>条</w:t>
      </w:r>
      <w:r>
        <w:rPr>
          <w:rFonts w:ascii="宋体" w:hAnsi="宋体"/>
          <w:bCs/>
          <w:sz w:val="28"/>
          <w:szCs w:val="36"/>
          <w:highlight w:val="none"/>
        </w:rPr>
        <w:t>执行。</w:t>
      </w:r>
    </w:p>
    <w:p w14:paraId="7B90B3D5">
      <w:pPr>
        <w:adjustRightInd w:val="0"/>
        <w:snapToGrid w:val="0"/>
        <w:spacing w:line="560" w:lineRule="exact"/>
        <w:ind w:firstLine="560" w:firstLineChars="200"/>
        <w:rPr>
          <w:rFonts w:ascii="宋体" w:hAnsi="宋体"/>
          <w:bCs/>
          <w:sz w:val="28"/>
          <w:szCs w:val="28"/>
          <w:highlight w:val="none"/>
        </w:rPr>
      </w:pPr>
      <w:r>
        <w:rPr>
          <w:rFonts w:ascii="宋体" w:hAnsi="宋体"/>
          <w:bCs/>
          <w:sz w:val="28"/>
          <w:szCs w:val="28"/>
          <w:highlight w:val="none"/>
        </w:rPr>
        <w:t>30.5</w:t>
      </w:r>
      <w:r>
        <w:rPr>
          <w:rFonts w:hint="eastAsia" w:ascii="宋体" w:hAnsi="宋体"/>
          <w:bCs/>
          <w:sz w:val="28"/>
          <w:szCs w:val="28"/>
          <w:highlight w:val="none"/>
        </w:rPr>
        <w:t>评审委员会成员对客观分值的评分应当一致；财务状况、技术偏离、业绩等，应当以报价供应商提供的财务报表、检测报告、资质文件、合同原件或复印件，以及有关证明材料为依据。对其他需要借助专业知识评判的主观分值，应当严格按照评分细则独立评审。</w:t>
      </w:r>
    </w:p>
    <w:p w14:paraId="682E613F">
      <w:pPr>
        <w:pStyle w:val="6"/>
        <w:keepNext w:val="0"/>
        <w:keepLines w:val="0"/>
        <w:adjustRightInd w:val="0"/>
        <w:snapToGrid w:val="0"/>
        <w:spacing w:before="0" w:after="0" w:line="560" w:lineRule="exact"/>
        <w:ind w:firstLine="560" w:firstLineChars="200"/>
        <w:rPr>
          <w:rFonts w:ascii="黑体" w:hAnsi="黑体"/>
          <w:b w:val="0"/>
          <w:highlight w:val="none"/>
        </w:rPr>
      </w:pPr>
      <w:r>
        <w:rPr>
          <w:rFonts w:ascii="黑体" w:hAnsi="黑体"/>
          <w:b w:val="0"/>
          <w:highlight w:val="none"/>
        </w:rPr>
        <w:t>31.</w:t>
      </w:r>
      <w:r>
        <w:rPr>
          <w:rFonts w:hint="eastAsia" w:ascii="黑体" w:hAnsi="黑体"/>
          <w:b w:val="0"/>
          <w:highlight w:val="none"/>
        </w:rPr>
        <w:t>价格评审</w:t>
      </w:r>
    </w:p>
    <w:p w14:paraId="32FD8D0F">
      <w:pPr>
        <w:spacing w:line="560" w:lineRule="exact"/>
        <w:ind w:firstLine="560" w:firstLineChars="200"/>
        <w:rPr>
          <w:rFonts w:asciiTheme="minorEastAsia" w:hAnsiTheme="minorEastAsia" w:eastAsiaTheme="minorEastAsia"/>
          <w:bCs/>
          <w:sz w:val="28"/>
          <w:szCs w:val="28"/>
          <w:highlight w:val="none"/>
        </w:rPr>
      </w:pPr>
      <w:r>
        <w:rPr>
          <w:rFonts w:hint="eastAsia" w:ascii="宋体" w:hAnsi="宋体"/>
          <w:bCs/>
          <w:snapToGrid w:val="0"/>
          <w:sz w:val="28"/>
          <w:szCs w:val="28"/>
          <w:highlight w:val="none"/>
          <w:lang w:val="zh-CN"/>
        </w:rPr>
        <w:t>商务、技术评审结束后，工作人员再将最终报价文件的价格部分提交</w:t>
      </w:r>
      <w:r>
        <w:rPr>
          <w:rFonts w:hint="eastAsia" w:ascii="宋体" w:hAnsi="宋体"/>
          <w:bCs/>
          <w:sz w:val="28"/>
          <w:szCs w:val="28"/>
          <w:highlight w:val="none"/>
        </w:rPr>
        <w:t>评审委员会。</w:t>
      </w:r>
      <w:r>
        <w:rPr>
          <w:rFonts w:hint="eastAsia" w:asciiTheme="minorEastAsia" w:hAnsiTheme="minorEastAsia" w:eastAsiaTheme="minorEastAsia"/>
          <w:bCs/>
          <w:sz w:val="28"/>
          <w:szCs w:val="28"/>
          <w:highlight w:val="none"/>
        </w:rPr>
        <w:t>评审委员会组织价格评审，核对报价内容是否准确、合理。</w:t>
      </w:r>
    </w:p>
    <w:p w14:paraId="7A389C84">
      <w:pPr>
        <w:adjustRightInd w:val="0"/>
        <w:snapToGrid w:val="0"/>
        <w:spacing w:line="560" w:lineRule="exact"/>
        <w:ind w:firstLine="560" w:firstLineChars="200"/>
        <w:jc w:val="left"/>
        <w:rPr>
          <w:rFonts w:asciiTheme="minorEastAsia" w:hAnsiTheme="minorEastAsia" w:eastAsiaTheme="minorEastAsia"/>
          <w:bCs/>
          <w:sz w:val="28"/>
          <w:szCs w:val="28"/>
          <w:highlight w:val="none"/>
        </w:rPr>
      </w:pPr>
      <w:r>
        <w:rPr>
          <w:rFonts w:asciiTheme="minorEastAsia" w:hAnsiTheme="minorEastAsia" w:eastAsiaTheme="minorEastAsia"/>
          <w:bCs/>
          <w:sz w:val="28"/>
          <w:szCs w:val="28"/>
          <w:highlight w:val="none"/>
        </w:rPr>
        <w:t>31.1</w:t>
      </w:r>
      <w:r>
        <w:rPr>
          <w:rFonts w:hint="eastAsia" w:asciiTheme="minorEastAsia" w:hAnsiTheme="minorEastAsia" w:eastAsiaTheme="minorEastAsia"/>
          <w:bCs/>
          <w:sz w:val="28"/>
          <w:szCs w:val="28"/>
          <w:highlight w:val="none"/>
        </w:rPr>
        <w:t>综合评分法的价格分</w:t>
      </w:r>
      <w:r>
        <w:rPr>
          <w:rFonts w:hint="eastAsia" w:ascii="宋体" w:hAnsi="宋体"/>
          <w:bCs/>
          <w:sz w:val="28"/>
          <w:szCs w:val="28"/>
          <w:highlight w:val="none"/>
        </w:rPr>
        <w:t>，</w:t>
      </w:r>
      <w:r>
        <w:rPr>
          <w:rFonts w:hint="eastAsia" w:asciiTheme="minorEastAsia" w:hAnsiTheme="minorEastAsia" w:eastAsiaTheme="minorEastAsia"/>
          <w:bCs/>
          <w:sz w:val="28"/>
          <w:szCs w:val="28"/>
          <w:highlight w:val="none"/>
        </w:rPr>
        <w:t>采用低价优先法计算，即满足</w:t>
      </w:r>
      <w:r>
        <w:rPr>
          <w:rFonts w:hint="eastAsia"/>
          <w:sz w:val="28"/>
          <w:szCs w:val="28"/>
          <w:highlight w:val="none"/>
        </w:rPr>
        <w:t>谈判</w:t>
      </w:r>
      <w:r>
        <w:rPr>
          <w:rFonts w:hint="eastAsia" w:asciiTheme="minorEastAsia" w:hAnsiTheme="minorEastAsia" w:eastAsiaTheme="minorEastAsia"/>
          <w:bCs/>
          <w:sz w:val="28"/>
          <w:szCs w:val="28"/>
          <w:highlight w:val="none"/>
        </w:rPr>
        <w:t>文件实质性要求的报价供应商最低报价为评审基准价，其价格分为满分（标准分值）。其他报价供应商的价格分按照下列公式计算：</w:t>
      </w:r>
    </w:p>
    <w:p w14:paraId="1E89F3C7">
      <w:pPr>
        <w:adjustRightInd w:val="0"/>
        <w:snapToGrid w:val="0"/>
        <w:spacing w:line="560" w:lineRule="exact"/>
        <w:ind w:firstLine="560" w:firstLineChars="200"/>
        <w:rPr>
          <w:rFonts w:asciiTheme="minorEastAsia" w:hAnsiTheme="minorEastAsia" w:eastAsiaTheme="minorEastAsia"/>
          <w:bCs/>
          <w:sz w:val="28"/>
          <w:szCs w:val="28"/>
          <w:highlight w:val="none"/>
        </w:rPr>
      </w:pPr>
      <w:r>
        <w:rPr>
          <w:rFonts w:hint="eastAsia" w:asciiTheme="minorEastAsia" w:hAnsiTheme="minorEastAsia" w:eastAsiaTheme="minorEastAsia"/>
          <w:bCs/>
          <w:sz w:val="28"/>
          <w:szCs w:val="28"/>
          <w:highlight w:val="none"/>
        </w:rPr>
        <w:t>价格得分</w:t>
      </w:r>
      <w:r>
        <w:rPr>
          <w:rFonts w:asciiTheme="minorEastAsia" w:hAnsiTheme="minorEastAsia" w:eastAsiaTheme="minorEastAsia"/>
          <w:bCs/>
          <w:sz w:val="28"/>
          <w:szCs w:val="28"/>
          <w:highlight w:val="none"/>
        </w:rPr>
        <w:t>=（评审基准价/报价）×标准分值</w:t>
      </w:r>
    </w:p>
    <w:p w14:paraId="18A543BD">
      <w:pPr>
        <w:adjustRightInd w:val="0"/>
        <w:snapToGrid w:val="0"/>
        <w:spacing w:line="560" w:lineRule="exact"/>
        <w:ind w:firstLine="560" w:firstLineChars="200"/>
        <w:rPr>
          <w:highlight w:val="none"/>
        </w:rPr>
      </w:pPr>
      <w:r>
        <w:rPr>
          <w:rFonts w:ascii="宋体" w:hAnsi="宋体"/>
          <w:bCs/>
          <w:sz w:val="28"/>
          <w:szCs w:val="28"/>
          <w:highlight w:val="none"/>
        </w:rPr>
        <w:t>31.2经评审的最低价法</w:t>
      </w:r>
      <w:r>
        <w:rPr>
          <w:rFonts w:hint="eastAsia" w:ascii="宋体" w:hAnsi="宋体"/>
          <w:bCs/>
          <w:sz w:val="28"/>
          <w:szCs w:val="28"/>
          <w:highlight w:val="none"/>
        </w:rPr>
        <w:t>的价格评审，</w:t>
      </w:r>
      <w:r>
        <w:rPr>
          <w:rFonts w:ascii="宋体" w:hAnsi="宋体"/>
          <w:bCs/>
          <w:sz w:val="28"/>
          <w:szCs w:val="28"/>
          <w:highlight w:val="none"/>
        </w:rPr>
        <w:t>按照</w:t>
      </w:r>
      <w:r>
        <w:rPr>
          <w:rFonts w:hint="eastAsia" w:ascii="宋体" w:hAnsi="宋体"/>
          <w:bCs/>
          <w:sz w:val="28"/>
          <w:szCs w:val="28"/>
          <w:highlight w:val="none"/>
        </w:rPr>
        <w:t>最终</w:t>
      </w:r>
      <w:r>
        <w:rPr>
          <w:rFonts w:ascii="宋体" w:hAnsi="宋体"/>
          <w:bCs/>
          <w:sz w:val="28"/>
          <w:szCs w:val="28"/>
          <w:highlight w:val="none"/>
        </w:rPr>
        <w:t>报价由低到高顺序排</w:t>
      </w:r>
      <w:r>
        <w:rPr>
          <w:rFonts w:hint="eastAsia" w:ascii="宋体" w:hAnsi="宋体"/>
          <w:bCs/>
          <w:sz w:val="28"/>
          <w:szCs w:val="28"/>
          <w:highlight w:val="none"/>
        </w:rPr>
        <w:t>列。</w:t>
      </w:r>
    </w:p>
    <w:p w14:paraId="1899F822">
      <w:pPr>
        <w:adjustRightInd w:val="0"/>
        <w:snapToGrid w:val="0"/>
        <w:spacing w:line="560" w:lineRule="exact"/>
        <w:ind w:firstLine="560" w:firstLineChars="200"/>
        <w:rPr>
          <w:rFonts w:ascii="宋体" w:hAnsi="宋体"/>
          <w:bCs/>
          <w:sz w:val="28"/>
          <w:szCs w:val="28"/>
          <w:highlight w:val="none"/>
        </w:rPr>
      </w:pPr>
      <w:r>
        <w:rPr>
          <w:rFonts w:ascii="宋体" w:hAnsi="宋体"/>
          <w:bCs/>
          <w:sz w:val="28"/>
          <w:szCs w:val="28"/>
          <w:highlight w:val="none"/>
        </w:rPr>
        <w:t>31.3</w:t>
      </w:r>
      <w:r>
        <w:rPr>
          <w:rFonts w:hint="eastAsia" w:ascii="宋体" w:hAnsi="宋体"/>
          <w:bCs/>
          <w:sz w:val="28"/>
          <w:szCs w:val="28"/>
          <w:highlight w:val="none"/>
        </w:rPr>
        <w:t>评审委员会认为报价供应商报价低于其他所有</w:t>
      </w:r>
      <w:r>
        <w:rPr>
          <w:rFonts w:ascii="宋体" w:hAnsi="宋体"/>
          <w:bCs/>
          <w:sz w:val="28"/>
          <w:szCs w:val="28"/>
          <w:highlight w:val="none"/>
        </w:rPr>
        <w:t>通过资格性</w:t>
      </w:r>
      <w:r>
        <w:rPr>
          <w:rFonts w:hint="eastAsia" w:ascii="宋体" w:hAnsi="宋体"/>
          <w:bCs/>
          <w:sz w:val="28"/>
          <w:szCs w:val="28"/>
          <w:highlight w:val="none"/>
        </w:rPr>
        <w:t>、</w:t>
      </w:r>
      <w:r>
        <w:rPr>
          <w:rFonts w:ascii="宋体" w:hAnsi="宋体"/>
          <w:bCs/>
          <w:sz w:val="28"/>
          <w:szCs w:val="28"/>
          <w:highlight w:val="none"/>
        </w:rPr>
        <w:t>符合性审查的</w:t>
      </w:r>
      <w:r>
        <w:rPr>
          <w:rFonts w:hint="eastAsia" w:ascii="宋体" w:hAnsi="宋体"/>
          <w:bCs/>
          <w:sz w:val="28"/>
          <w:szCs w:val="28"/>
          <w:highlight w:val="none"/>
        </w:rPr>
        <w:t>报价供应商平均报价</w:t>
      </w:r>
      <w:r>
        <w:rPr>
          <w:rFonts w:ascii="宋体" w:hAnsi="宋体"/>
          <w:bCs/>
          <w:sz w:val="28"/>
          <w:szCs w:val="28"/>
          <w:highlight w:val="none"/>
        </w:rPr>
        <w:t>40%</w:t>
      </w:r>
      <w:r>
        <w:rPr>
          <w:rFonts w:hint="eastAsia" w:ascii="宋体" w:hAnsi="宋体"/>
          <w:bCs/>
          <w:sz w:val="28"/>
          <w:szCs w:val="28"/>
          <w:highlight w:val="none"/>
        </w:rPr>
        <w:t>，有可能影响产品质量或不能诚信履约的，评审委员会应当要求报价供应商在规定时间内提供报价合理性的书面说明和履约担保承诺，必要时提交相关证明材料。报价供应商未按照要求提供或评审委员会认为其不能证明其报价合理性，按照无效报价处理。</w:t>
      </w:r>
    </w:p>
    <w:p w14:paraId="30CE4328">
      <w:pPr>
        <w:adjustRightInd w:val="0"/>
        <w:snapToGrid w:val="0"/>
        <w:spacing w:line="560" w:lineRule="exact"/>
        <w:ind w:firstLine="560" w:firstLineChars="200"/>
        <w:rPr>
          <w:rFonts w:ascii="宋体" w:hAnsi="宋体"/>
          <w:bCs/>
          <w:sz w:val="28"/>
          <w:szCs w:val="28"/>
          <w:highlight w:val="none"/>
        </w:rPr>
      </w:pPr>
      <w:r>
        <w:rPr>
          <w:rFonts w:ascii="宋体" w:hAnsi="宋体"/>
          <w:bCs/>
          <w:sz w:val="28"/>
          <w:szCs w:val="28"/>
          <w:highlight w:val="none"/>
        </w:rPr>
        <w:t>31.4报价供应商</w:t>
      </w:r>
      <w:r>
        <w:rPr>
          <w:rFonts w:hint="eastAsia" w:ascii="宋体" w:hAnsi="宋体"/>
          <w:bCs/>
          <w:sz w:val="28"/>
          <w:szCs w:val="28"/>
          <w:highlight w:val="none"/>
        </w:rPr>
        <w:t>最终</w:t>
      </w:r>
      <w:r>
        <w:rPr>
          <w:rFonts w:ascii="宋体" w:hAnsi="宋体"/>
          <w:bCs/>
          <w:sz w:val="28"/>
          <w:szCs w:val="28"/>
          <w:highlight w:val="none"/>
        </w:rPr>
        <w:t>报价超过预算的，按照下列方式处理：</w:t>
      </w:r>
    </w:p>
    <w:p w14:paraId="2FD5D38E">
      <w:pPr>
        <w:adjustRightInd w:val="0"/>
        <w:snapToGrid w:val="0"/>
        <w:spacing w:line="560" w:lineRule="exact"/>
        <w:ind w:firstLine="560" w:firstLineChars="200"/>
        <w:rPr>
          <w:rFonts w:ascii="宋体" w:hAnsi="宋体"/>
          <w:bCs/>
          <w:sz w:val="28"/>
          <w:szCs w:val="28"/>
          <w:highlight w:val="none"/>
        </w:rPr>
      </w:pPr>
      <w:r>
        <w:rPr>
          <w:rFonts w:hint="eastAsia" w:ascii="宋体" w:hAnsi="宋体"/>
          <w:bCs/>
          <w:sz w:val="28"/>
          <w:szCs w:val="28"/>
          <w:highlight w:val="none"/>
        </w:rPr>
        <w:t>（</w:t>
      </w:r>
      <w:r>
        <w:rPr>
          <w:rFonts w:ascii="宋体" w:hAnsi="宋体"/>
          <w:bCs/>
          <w:sz w:val="28"/>
          <w:szCs w:val="28"/>
          <w:highlight w:val="none"/>
        </w:rPr>
        <w:t>1）报价供应商</w:t>
      </w:r>
      <w:r>
        <w:rPr>
          <w:rFonts w:hint="eastAsia" w:ascii="宋体" w:hAnsi="宋体"/>
          <w:bCs/>
          <w:sz w:val="28"/>
          <w:szCs w:val="28"/>
          <w:highlight w:val="none"/>
        </w:rPr>
        <w:t>最终</w:t>
      </w:r>
      <w:r>
        <w:rPr>
          <w:rFonts w:ascii="宋体" w:hAnsi="宋体"/>
          <w:bCs/>
          <w:sz w:val="28"/>
          <w:szCs w:val="28"/>
          <w:highlight w:val="none"/>
        </w:rPr>
        <w:t>报价均超预算的，</w:t>
      </w:r>
      <w:r>
        <w:rPr>
          <w:rFonts w:hint="eastAsia" w:ascii="宋体" w:hAnsi="宋体"/>
          <w:bCs/>
          <w:sz w:val="28"/>
          <w:szCs w:val="28"/>
          <w:highlight w:val="none"/>
        </w:rPr>
        <w:t>评审委员会和采购机构应当结合市场调查情况、报价供应商报价材料等进行综合分析研判，认定报价供应商报价合理的，函询采购单位能否追加预算，采购单位函复确认追加的，继续评审；认定报价供应商报价不合理或采购单位无法追加的，终止评审。</w:t>
      </w:r>
    </w:p>
    <w:p w14:paraId="44CB69E4">
      <w:pPr>
        <w:adjustRightInd w:val="0"/>
        <w:snapToGrid w:val="0"/>
        <w:spacing w:line="560" w:lineRule="exact"/>
        <w:ind w:firstLine="560" w:firstLineChars="200"/>
        <w:rPr>
          <w:rFonts w:ascii="宋体" w:hAnsi="宋体"/>
          <w:bCs/>
          <w:sz w:val="28"/>
          <w:szCs w:val="28"/>
          <w:highlight w:val="none"/>
        </w:rPr>
      </w:pPr>
      <w:r>
        <w:rPr>
          <w:rFonts w:hint="eastAsia" w:ascii="宋体" w:hAnsi="宋体"/>
          <w:bCs/>
          <w:sz w:val="28"/>
          <w:szCs w:val="28"/>
          <w:highlight w:val="none"/>
        </w:rPr>
        <w:t>（</w:t>
      </w:r>
      <w:r>
        <w:rPr>
          <w:rFonts w:ascii="宋体" w:hAnsi="宋体"/>
          <w:bCs/>
          <w:sz w:val="28"/>
          <w:szCs w:val="28"/>
          <w:highlight w:val="none"/>
        </w:rPr>
        <w:t>2）部分报价供应商</w:t>
      </w:r>
      <w:r>
        <w:rPr>
          <w:rFonts w:hint="eastAsia" w:ascii="宋体" w:hAnsi="宋体"/>
          <w:bCs/>
          <w:sz w:val="28"/>
          <w:szCs w:val="28"/>
          <w:highlight w:val="none"/>
        </w:rPr>
        <w:t>最终</w:t>
      </w:r>
      <w:r>
        <w:rPr>
          <w:rFonts w:ascii="宋体" w:hAnsi="宋体"/>
          <w:bCs/>
          <w:sz w:val="28"/>
          <w:szCs w:val="28"/>
          <w:highlight w:val="none"/>
        </w:rPr>
        <w:t>报价超预算的，应当继续评审。</w:t>
      </w:r>
      <w:r>
        <w:rPr>
          <w:rFonts w:hint="eastAsia" w:ascii="宋体" w:hAnsi="宋体"/>
          <w:bCs/>
          <w:sz w:val="28"/>
          <w:szCs w:val="28"/>
          <w:highlight w:val="none"/>
        </w:rPr>
        <w:t>评审后，预</w:t>
      </w:r>
      <w:r>
        <w:rPr>
          <w:rFonts w:ascii="宋体" w:hAnsi="宋体"/>
          <w:bCs/>
          <w:sz w:val="28"/>
          <w:szCs w:val="28"/>
          <w:highlight w:val="none"/>
        </w:rPr>
        <w:t>成交供应商</w:t>
      </w:r>
      <w:r>
        <w:rPr>
          <w:rFonts w:hint="eastAsia" w:ascii="宋体" w:hAnsi="宋体"/>
          <w:bCs/>
          <w:sz w:val="28"/>
          <w:szCs w:val="28"/>
          <w:highlight w:val="none"/>
        </w:rPr>
        <w:t>最终</w:t>
      </w:r>
      <w:r>
        <w:rPr>
          <w:rFonts w:ascii="宋体" w:hAnsi="宋体"/>
          <w:bCs/>
          <w:sz w:val="28"/>
          <w:szCs w:val="28"/>
          <w:highlight w:val="none"/>
        </w:rPr>
        <w:t>报价未超预算的，评审结果有效</w:t>
      </w:r>
      <w:r>
        <w:rPr>
          <w:rFonts w:hint="eastAsia" w:ascii="宋体" w:hAnsi="宋体"/>
          <w:bCs/>
          <w:sz w:val="28"/>
          <w:szCs w:val="28"/>
          <w:highlight w:val="none"/>
        </w:rPr>
        <w:t>。预</w:t>
      </w:r>
      <w:r>
        <w:rPr>
          <w:rFonts w:ascii="宋体" w:hAnsi="宋体"/>
          <w:bCs/>
          <w:sz w:val="28"/>
          <w:szCs w:val="28"/>
          <w:highlight w:val="none"/>
        </w:rPr>
        <w:t>成交供应商</w:t>
      </w:r>
      <w:r>
        <w:rPr>
          <w:rFonts w:hint="eastAsia" w:ascii="宋体" w:hAnsi="宋体"/>
          <w:bCs/>
          <w:sz w:val="28"/>
          <w:szCs w:val="28"/>
          <w:highlight w:val="none"/>
        </w:rPr>
        <w:t>最终报价</w:t>
      </w:r>
      <w:r>
        <w:rPr>
          <w:rFonts w:ascii="宋体" w:hAnsi="宋体"/>
          <w:bCs/>
          <w:sz w:val="28"/>
          <w:szCs w:val="28"/>
          <w:highlight w:val="none"/>
        </w:rPr>
        <w:t>超预算，</w:t>
      </w:r>
      <w:r>
        <w:rPr>
          <w:rFonts w:hint="eastAsia" w:ascii="宋体" w:hAnsi="宋体"/>
          <w:bCs/>
          <w:sz w:val="28"/>
          <w:szCs w:val="28"/>
          <w:highlight w:val="none"/>
        </w:rPr>
        <w:t>经</w:t>
      </w:r>
      <w:r>
        <w:rPr>
          <w:rFonts w:ascii="宋体" w:hAnsi="宋体"/>
          <w:bCs/>
          <w:sz w:val="28"/>
          <w:szCs w:val="28"/>
          <w:highlight w:val="none"/>
        </w:rPr>
        <w:t>采购</w:t>
      </w:r>
      <w:r>
        <w:rPr>
          <w:rFonts w:hint="eastAsia" w:ascii="宋体" w:hAnsi="宋体"/>
          <w:bCs/>
          <w:sz w:val="28"/>
          <w:szCs w:val="28"/>
          <w:highlight w:val="none"/>
        </w:rPr>
        <w:t>单位书面确认能够追加</w:t>
      </w:r>
      <w:r>
        <w:rPr>
          <w:rFonts w:ascii="宋体" w:hAnsi="宋体"/>
          <w:bCs/>
          <w:sz w:val="28"/>
          <w:szCs w:val="28"/>
          <w:highlight w:val="none"/>
        </w:rPr>
        <w:t>的</w:t>
      </w:r>
      <w:r>
        <w:rPr>
          <w:rFonts w:hint="eastAsia" w:ascii="宋体" w:hAnsi="宋体"/>
          <w:bCs/>
          <w:sz w:val="28"/>
          <w:szCs w:val="28"/>
          <w:highlight w:val="none"/>
        </w:rPr>
        <w:t>，评审结果有效；不能追加的，采购单位</w:t>
      </w:r>
      <w:r>
        <w:rPr>
          <w:rFonts w:ascii="宋体" w:hAnsi="宋体"/>
          <w:bCs/>
          <w:sz w:val="28"/>
          <w:szCs w:val="28"/>
          <w:highlight w:val="none"/>
        </w:rPr>
        <w:t>可以按照评审排名结果依次</w:t>
      </w:r>
      <w:r>
        <w:rPr>
          <w:rFonts w:hint="eastAsia" w:ascii="宋体" w:hAnsi="宋体"/>
          <w:bCs/>
          <w:sz w:val="28"/>
          <w:szCs w:val="28"/>
          <w:highlight w:val="none"/>
        </w:rPr>
        <w:t>递补</w:t>
      </w:r>
      <w:r>
        <w:rPr>
          <w:rFonts w:ascii="宋体" w:hAnsi="宋体"/>
          <w:bCs/>
          <w:sz w:val="28"/>
          <w:szCs w:val="28"/>
          <w:highlight w:val="none"/>
        </w:rPr>
        <w:t>确定成交供应商，</w:t>
      </w:r>
      <w:r>
        <w:rPr>
          <w:rFonts w:hint="eastAsia" w:ascii="宋体" w:hAnsi="宋体"/>
          <w:bCs/>
          <w:sz w:val="28"/>
          <w:szCs w:val="28"/>
          <w:highlight w:val="none"/>
        </w:rPr>
        <w:t>但剩余有效报价供应商数量应当达到需要递补报价供应商数量的</w:t>
      </w:r>
      <w:r>
        <w:rPr>
          <w:rFonts w:ascii="宋体" w:hAnsi="宋体"/>
          <w:bCs/>
          <w:sz w:val="28"/>
          <w:szCs w:val="28"/>
          <w:highlight w:val="none"/>
        </w:rPr>
        <w:t>2倍，否则由采购</w:t>
      </w:r>
      <w:r>
        <w:rPr>
          <w:rFonts w:hint="eastAsia" w:ascii="宋体" w:hAnsi="宋体"/>
          <w:bCs/>
          <w:sz w:val="28"/>
          <w:szCs w:val="28"/>
          <w:highlight w:val="none"/>
        </w:rPr>
        <w:t>机构</w:t>
      </w:r>
      <w:r>
        <w:rPr>
          <w:rFonts w:ascii="宋体" w:hAnsi="宋体"/>
          <w:bCs/>
          <w:sz w:val="28"/>
          <w:szCs w:val="28"/>
          <w:highlight w:val="none"/>
        </w:rPr>
        <w:t>重新</w:t>
      </w:r>
      <w:r>
        <w:rPr>
          <w:rFonts w:hint="eastAsia" w:ascii="宋体" w:hAnsi="宋体"/>
          <w:bCs/>
          <w:sz w:val="28"/>
          <w:szCs w:val="28"/>
          <w:highlight w:val="none"/>
        </w:rPr>
        <w:t>组织采购。</w:t>
      </w:r>
    </w:p>
    <w:p w14:paraId="578A159F">
      <w:pPr>
        <w:adjustRightInd w:val="0"/>
        <w:snapToGrid w:val="0"/>
        <w:spacing w:line="560" w:lineRule="exact"/>
        <w:ind w:firstLine="560" w:firstLineChars="200"/>
        <w:rPr>
          <w:highlight w:val="none"/>
        </w:rPr>
      </w:pPr>
      <w:r>
        <w:rPr>
          <w:rFonts w:hint="eastAsia" w:ascii="宋体" w:hAnsi="宋体"/>
          <w:bCs/>
          <w:sz w:val="28"/>
          <w:szCs w:val="28"/>
          <w:highlight w:val="none"/>
        </w:rPr>
        <w:t>（</w:t>
      </w:r>
      <w:r>
        <w:rPr>
          <w:rFonts w:ascii="宋体" w:hAnsi="宋体"/>
          <w:bCs/>
          <w:sz w:val="28"/>
          <w:szCs w:val="28"/>
          <w:highlight w:val="none"/>
        </w:rPr>
        <w:t>3）同一采购项目中的部分产品单价或金额超预算，</w:t>
      </w:r>
      <w:r>
        <w:rPr>
          <w:rFonts w:hint="eastAsia" w:ascii="宋体" w:hAnsi="宋体"/>
          <w:bCs/>
          <w:sz w:val="28"/>
          <w:szCs w:val="28"/>
          <w:highlight w:val="none"/>
        </w:rPr>
        <w:t>但最终报价</w:t>
      </w:r>
      <w:r>
        <w:rPr>
          <w:rFonts w:ascii="宋体" w:hAnsi="宋体"/>
          <w:bCs/>
          <w:sz w:val="28"/>
          <w:szCs w:val="28"/>
          <w:highlight w:val="none"/>
        </w:rPr>
        <w:t>总金额未超预算的，视为</w:t>
      </w:r>
      <w:r>
        <w:rPr>
          <w:rFonts w:hint="eastAsia" w:ascii="宋体" w:hAnsi="宋体"/>
          <w:bCs/>
          <w:sz w:val="28"/>
          <w:szCs w:val="28"/>
          <w:highlight w:val="none"/>
        </w:rPr>
        <w:t>采购项目未超预算</w:t>
      </w:r>
      <w:r>
        <w:rPr>
          <w:rFonts w:ascii="宋体" w:hAnsi="宋体"/>
          <w:bCs/>
          <w:sz w:val="28"/>
          <w:szCs w:val="28"/>
          <w:highlight w:val="none"/>
        </w:rPr>
        <w:t>。</w:t>
      </w:r>
    </w:p>
    <w:p w14:paraId="155402EA">
      <w:pPr>
        <w:pStyle w:val="6"/>
        <w:keepNext w:val="0"/>
        <w:keepLines w:val="0"/>
        <w:adjustRightInd w:val="0"/>
        <w:snapToGrid w:val="0"/>
        <w:spacing w:before="0" w:after="0" w:line="560" w:lineRule="exact"/>
        <w:ind w:firstLine="560" w:firstLineChars="200"/>
        <w:rPr>
          <w:rFonts w:ascii="黑体" w:hAnsi="黑体"/>
          <w:b w:val="0"/>
          <w:highlight w:val="none"/>
        </w:rPr>
      </w:pPr>
      <w:r>
        <w:rPr>
          <w:rFonts w:ascii="黑体" w:hAnsi="黑体"/>
          <w:b w:val="0"/>
          <w:highlight w:val="none"/>
        </w:rPr>
        <w:t>32.</w:t>
      </w:r>
      <w:r>
        <w:rPr>
          <w:rFonts w:hint="eastAsia" w:ascii="黑体" w:hAnsi="黑体"/>
          <w:b w:val="0"/>
          <w:highlight w:val="none"/>
        </w:rPr>
        <w:t>汇总得分</w:t>
      </w:r>
    </w:p>
    <w:p w14:paraId="711559F2">
      <w:pPr>
        <w:pStyle w:val="17"/>
        <w:spacing w:after="0" w:line="560" w:lineRule="exact"/>
        <w:ind w:firstLine="560" w:firstLineChars="200"/>
        <w:rPr>
          <w:highlight w:val="none"/>
        </w:rPr>
      </w:pPr>
      <w:r>
        <w:rPr>
          <w:rFonts w:asciiTheme="minorEastAsia" w:hAnsiTheme="minorEastAsia" w:eastAsiaTheme="minorEastAsia"/>
          <w:bCs/>
          <w:sz w:val="28"/>
          <w:szCs w:val="28"/>
          <w:highlight w:val="none"/>
        </w:rPr>
        <w:t>32.1</w:t>
      </w:r>
      <w:r>
        <w:rPr>
          <w:rFonts w:hint="eastAsia" w:ascii="宋体" w:hAnsi="宋体"/>
          <w:bCs/>
          <w:sz w:val="28"/>
          <w:szCs w:val="28"/>
          <w:highlight w:val="none"/>
        </w:rPr>
        <w:t>报价供应商评审总得分为最终报价、商务、技术评分项得分之和。评分分值计算保留小数点后两位，小数点后第三位“四舍五入”。</w:t>
      </w:r>
    </w:p>
    <w:p w14:paraId="6CF36CB6">
      <w:pPr>
        <w:pStyle w:val="6"/>
        <w:keepNext w:val="0"/>
        <w:keepLines w:val="0"/>
        <w:adjustRightInd w:val="0"/>
        <w:snapToGrid w:val="0"/>
        <w:spacing w:before="0" w:after="0" w:line="560" w:lineRule="exact"/>
        <w:ind w:firstLine="560" w:firstLineChars="200"/>
        <w:rPr>
          <w:rFonts w:ascii="黑体" w:hAnsi="黑体"/>
          <w:b w:val="0"/>
          <w:highlight w:val="none"/>
        </w:rPr>
      </w:pPr>
      <w:r>
        <w:rPr>
          <w:rFonts w:ascii="黑体" w:hAnsi="黑体"/>
          <w:b w:val="0"/>
          <w:highlight w:val="none"/>
        </w:rPr>
        <w:t>33.复核评审</w:t>
      </w:r>
      <w:r>
        <w:rPr>
          <w:rFonts w:hint="eastAsia" w:ascii="黑体" w:hAnsi="黑体"/>
          <w:b w:val="0"/>
          <w:highlight w:val="none"/>
        </w:rPr>
        <w:t>结果</w:t>
      </w:r>
    </w:p>
    <w:p w14:paraId="6698C9A7">
      <w:pPr>
        <w:adjustRightInd w:val="0"/>
        <w:snapToGrid w:val="0"/>
        <w:spacing w:line="560" w:lineRule="exact"/>
        <w:ind w:firstLine="560" w:firstLineChars="200"/>
        <w:rPr>
          <w:rFonts w:ascii="宋体" w:hAnsi="宋体"/>
          <w:bCs/>
          <w:sz w:val="28"/>
          <w:szCs w:val="28"/>
          <w:highlight w:val="none"/>
        </w:rPr>
      </w:pPr>
      <w:r>
        <w:rPr>
          <w:rFonts w:asciiTheme="minorEastAsia" w:hAnsiTheme="minorEastAsia" w:eastAsiaTheme="minorEastAsia"/>
          <w:bCs/>
          <w:sz w:val="28"/>
          <w:szCs w:val="28"/>
          <w:highlight w:val="none"/>
        </w:rPr>
        <w:t>33.1</w:t>
      </w:r>
      <w:r>
        <w:rPr>
          <w:rFonts w:hint="eastAsia" w:ascii="宋体" w:hAnsi="宋体"/>
          <w:bCs/>
          <w:sz w:val="28"/>
          <w:szCs w:val="28"/>
          <w:highlight w:val="none"/>
        </w:rPr>
        <w:t>评审委员会</w:t>
      </w:r>
      <w:r>
        <w:rPr>
          <w:rFonts w:ascii="宋体" w:hAnsi="宋体"/>
          <w:bCs/>
          <w:sz w:val="28"/>
          <w:szCs w:val="28"/>
          <w:highlight w:val="none"/>
        </w:rPr>
        <w:t>对评审</w:t>
      </w:r>
      <w:r>
        <w:rPr>
          <w:rFonts w:hint="eastAsia" w:ascii="宋体" w:hAnsi="宋体"/>
          <w:bCs/>
          <w:sz w:val="28"/>
          <w:szCs w:val="28"/>
          <w:highlight w:val="none"/>
        </w:rPr>
        <w:t>评分情况核对，重点</w:t>
      </w:r>
      <w:r>
        <w:rPr>
          <w:rFonts w:hint="eastAsia" w:ascii="仿宋_GB2312" w:hAnsi="仿宋"/>
          <w:bCs/>
          <w:sz w:val="28"/>
          <w:szCs w:val="36"/>
          <w:highlight w:val="none"/>
        </w:rPr>
        <w:t>核对客观分值评分错误、分值汇总计算错误、报价较高且预成交或报价较低且未成交等情形，并在评审报告中说明原因</w:t>
      </w:r>
      <w:r>
        <w:rPr>
          <w:rFonts w:ascii="宋体" w:hAnsi="宋体"/>
          <w:bCs/>
          <w:sz w:val="28"/>
          <w:szCs w:val="28"/>
          <w:highlight w:val="none"/>
        </w:rPr>
        <w:t>。</w:t>
      </w:r>
    </w:p>
    <w:p w14:paraId="0EE9C1C4">
      <w:pPr>
        <w:adjustRightInd w:val="0"/>
        <w:snapToGrid w:val="0"/>
        <w:spacing w:line="560" w:lineRule="exact"/>
        <w:ind w:firstLine="560" w:firstLineChars="200"/>
        <w:rPr>
          <w:rFonts w:ascii="宋体" w:hAnsi="宋体"/>
          <w:bCs/>
          <w:sz w:val="28"/>
          <w:szCs w:val="28"/>
          <w:highlight w:val="none"/>
        </w:rPr>
      </w:pPr>
      <w:r>
        <w:rPr>
          <w:rFonts w:asciiTheme="minorEastAsia" w:hAnsiTheme="minorEastAsia" w:eastAsiaTheme="minorEastAsia"/>
          <w:bCs/>
          <w:sz w:val="28"/>
          <w:szCs w:val="28"/>
          <w:highlight w:val="none"/>
        </w:rPr>
        <w:t>33.2</w:t>
      </w:r>
      <w:r>
        <w:rPr>
          <w:rFonts w:hint="eastAsia" w:ascii="宋体" w:hAnsi="宋体"/>
          <w:bCs/>
          <w:sz w:val="28"/>
          <w:szCs w:val="28"/>
          <w:highlight w:val="none"/>
        </w:rPr>
        <w:t>采购机构对评审委员会的评审结果进行复核，重点复核评审底稿记录信息是否完整、符合性审查是否有误、报价供应商填报信息与评审委员会成员判定是否一致、客观分值是否一致、分值汇总计算是否正确、评分有无畸高畸低等情形，如有问题应当要求评审委员会当场书面说明并予以更正，评审委员会对复核结果有异议的，以采购机构复核结果为准，并由采购机构出具书面意见详细说明出现异议的原因及处理方式，双方签字确认。评审委员会拒绝签字确认的，采购机构如实记录并存入采购档案。</w:t>
      </w:r>
    </w:p>
    <w:p w14:paraId="60ABEE87">
      <w:pPr>
        <w:pStyle w:val="6"/>
        <w:keepNext w:val="0"/>
        <w:keepLines w:val="0"/>
        <w:adjustRightInd w:val="0"/>
        <w:snapToGrid w:val="0"/>
        <w:spacing w:before="0" w:after="0" w:line="560" w:lineRule="exact"/>
        <w:ind w:firstLine="560" w:firstLineChars="200"/>
        <w:rPr>
          <w:rFonts w:ascii="黑体" w:hAnsi="黑体"/>
          <w:b w:val="0"/>
          <w:highlight w:val="none"/>
        </w:rPr>
      </w:pPr>
      <w:bookmarkStart w:id="281" w:name="_Toc20681"/>
      <w:bookmarkStart w:id="282" w:name="_Toc14049"/>
      <w:bookmarkStart w:id="283" w:name="_Toc11969"/>
      <w:bookmarkStart w:id="284" w:name="_Toc121216115"/>
      <w:bookmarkStart w:id="285" w:name="_Toc4538"/>
      <w:r>
        <w:rPr>
          <w:rFonts w:ascii="黑体" w:hAnsi="黑体"/>
          <w:b w:val="0"/>
          <w:highlight w:val="none"/>
        </w:rPr>
        <w:t>34.</w:t>
      </w:r>
      <w:r>
        <w:rPr>
          <w:rFonts w:hint="eastAsia" w:ascii="黑体" w:hAnsi="黑体"/>
          <w:b w:val="0"/>
          <w:highlight w:val="none"/>
        </w:rPr>
        <w:t>推荐预成交供应商</w:t>
      </w:r>
      <w:bookmarkEnd w:id="281"/>
      <w:bookmarkEnd w:id="282"/>
      <w:bookmarkEnd w:id="283"/>
      <w:bookmarkEnd w:id="284"/>
      <w:bookmarkEnd w:id="285"/>
    </w:p>
    <w:p w14:paraId="306B467E">
      <w:pPr>
        <w:adjustRightInd w:val="0"/>
        <w:snapToGrid w:val="0"/>
        <w:spacing w:line="560" w:lineRule="exact"/>
        <w:ind w:firstLine="560" w:firstLineChars="200"/>
        <w:rPr>
          <w:rFonts w:ascii="宋体" w:hAnsi="宋体"/>
          <w:bCs/>
          <w:sz w:val="28"/>
          <w:szCs w:val="28"/>
          <w:highlight w:val="none"/>
        </w:rPr>
      </w:pPr>
      <w:r>
        <w:rPr>
          <w:rFonts w:ascii="宋体" w:hAnsi="宋体"/>
          <w:bCs/>
          <w:sz w:val="28"/>
          <w:szCs w:val="28"/>
          <w:highlight w:val="none"/>
        </w:rPr>
        <w:t>评审委员会依据经过复核的评审结果，对报价供应商进行排序并推荐预成交供应商</w:t>
      </w:r>
      <w:r>
        <w:rPr>
          <w:rFonts w:hint="eastAsia" w:ascii="宋体" w:hAnsi="宋体"/>
          <w:bCs/>
          <w:sz w:val="28"/>
          <w:szCs w:val="28"/>
          <w:highlight w:val="none"/>
        </w:rPr>
        <w:t>。</w:t>
      </w:r>
    </w:p>
    <w:p w14:paraId="487F8AA0">
      <w:pPr>
        <w:adjustRightInd w:val="0"/>
        <w:snapToGrid w:val="0"/>
        <w:spacing w:line="560" w:lineRule="exact"/>
        <w:ind w:firstLine="560" w:firstLineChars="200"/>
        <w:rPr>
          <w:rFonts w:ascii="宋体" w:hAnsi="宋体"/>
          <w:bCs/>
          <w:sz w:val="28"/>
          <w:szCs w:val="28"/>
          <w:highlight w:val="none"/>
        </w:rPr>
      </w:pPr>
      <w:r>
        <w:rPr>
          <w:rFonts w:ascii="宋体" w:hAnsi="宋体"/>
          <w:bCs/>
          <w:sz w:val="28"/>
          <w:szCs w:val="28"/>
          <w:highlight w:val="none"/>
        </w:rPr>
        <w:t>34.1</w:t>
      </w:r>
      <w:r>
        <w:rPr>
          <w:rFonts w:hint="eastAsia" w:ascii="宋体" w:hAnsi="宋体"/>
          <w:bCs/>
          <w:sz w:val="28"/>
          <w:szCs w:val="28"/>
          <w:highlight w:val="none"/>
        </w:rPr>
        <w:t>采用综合评分法</w:t>
      </w:r>
      <w:r>
        <w:rPr>
          <w:rFonts w:ascii="宋体" w:hAnsi="宋体"/>
          <w:bCs/>
          <w:sz w:val="28"/>
          <w:szCs w:val="28"/>
          <w:highlight w:val="none"/>
        </w:rPr>
        <w:t>评审</w:t>
      </w:r>
      <w:r>
        <w:rPr>
          <w:rFonts w:hint="eastAsia" w:ascii="宋体" w:hAnsi="宋体"/>
          <w:bCs/>
          <w:sz w:val="28"/>
          <w:szCs w:val="28"/>
          <w:highlight w:val="none"/>
        </w:rPr>
        <w:t>时，评审委员会按照</w:t>
      </w:r>
      <w:r>
        <w:rPr>
          <w:rFonts w:ascii="宋体" w:hAnsi="宋体"/>
          <w:bCs/>
          <w:sz w:val="28"/>
          <w:szCs w:val="28"/>
          <w:highlight w:val="none"/>
        </w:rPr>
        <w:t>商务</w:t>
      </w:r>
      <w:r>
        <w:rPr>
          <w:rFonts w:hint="eastAsia" w:ascii="宋体" w:hAnsi="宋体"/>
          <w:bCs/>
          <w:sz w:val="28"/>
          <w:szCs w:val="28"/>
          <w:highlight w:val="none"/>
        </w:rPr>
        <w:t>、</w:t>
      </w:r>
      <w:r>
        <w:rPr>
          <w:rFonts w:ascii="宋体" w:hAnsi="宋体"/>
          <w:bCs/>
          <w:sz w:val="28"/>
          <w:szCs w:val="28"/>
          <w:highlight w:val="none"/>
        </w:rPr>
        <w:t>技术</w:t>
      </w:r>
      <w:r>
        <w:rPr>
          <w:rFonts w:hint="eastAsia" w:ascii="宋体" w:hAnsi="宋体"/>
          <w:bCs/>
          <w:sz w:val="28"/>
          <w:szCs w:val="28"/>
          <w:highlight w:val="none"/>
        </w:rPr>
        <w:t>和价格</w:t>
      </w:r>
      <w:r>
        <w:rPr>
          <w:rFonts w:ascii="宋体" w:hAnsi="宋体"/>
          <w:bCs/>
          <w:sz w:val="28"/>
          <w:szCs w:val="28"/>
          <w:highlight w:val="none"/>
        </w:rPr>
        <w:t>评审总得分由高到低顺序排列，</w:t>
      </w:r>
      <w:r>
        <w:rPr>
          <w:rFonts w:hint="eastAsia" w:ascii="宋体" w:hAnsi="宋体"/>
          <w:bCs/>
          <w:sz w:val="28"/>
          <w:szCs w:val="28"/>
          <w:highlight w:val="none"/>
        </w:rPr>
        <w:t>得分</w:t>
      </w:r>
      <w:r>
        <w:rPr>
          <w:rFonts w:ascii="宋体" w:hAnsi="宋体"/>
          <w:bCs/>
          <w:sz w:val="28"/>
          <w:szCs w:val="28"/>
          <w:highlight w:val="none"/>
        </w:rPr>
        <w:t>最高的报价供应商作为预成交供应商；</w:t>
      </w:r>
      <w:r>
        <w:rPr>
          <w:rFonts w:hint="eastAsia" w:ascii="宋体" w:hAnsi="宋体"/>
          <w:bCs/>
          <w:sz w:val="28"/>
          <w:szCs w:val="28"/>
          <w:highlight w:val="none"/>
        </w:rPr>
        <w:t>总得分相同的，按照技术评审得分由高到低进行排序；技术评审得分也相同的，按照报价由低到高进行排序。技术评审得分和报价均相同的，按照专用文件规定的方式确定预成交供应商。专用文件未明确的，采取随机抽取方式确定。</w:t>
      </w:r>
    </w:p>
    <w:p w14:paraId="14C38E79">
      <w:pPr>
        <w:adjustRightInd w:val="0"/>
        <w:snapToGrid w:val="0"/>
        <w:spacing w:line="560" w:lineRule="exact"/>
        <w:ind w:firstLine="560" w:firstLineChars="200"/>
        <w:rPr>
          <w:highlight w:val="none"/>
        </w:rPr>
      </w:pPr>
      <w:r>
        <w:rPr>
          <w:rFonts w:ascii="宋体" w:hAnsi="宋体"/>
          <w:bCs/>
          <w:sz w:val="28"/>
          <w:szCs w:val="28"/>
          <w:highlight w:val="none"/>
        </w:rPr>
        <w:t>采用经评审的最低价法时，评审委员会</w:t>
      </w:r>
      <w:r>
        <w:rPr>
          <w:rFonts w:hint="eastAsia" w:ascii="宋体" w:hAnsi="宋体"/>
          <w:bCs/>
          <w:sz w:val="28"/>
          <w:szCs w:val="28"/>
          <w:highlight w:val="none"/>
        </w:rPr>
        <w:t>将有效谈判</w:t>
      </w:r>
      <w:r>
        <w:rPr>
          <w:rFonts w:ascii="宋体" w:hAnsi="宋体"/>
          <w:bCs/>
          <w:sz w:val="28"/>
          <w:szCs w:val="28"/>
          <w:highlight w:val="none"/>
        </w:rPr>
        <w:t>报价由低到高顺序排列</w:t>
      </w:r>
      <w:r>
        <w:rPr>
          <w:rFonts w:hint="eastAsia" w:ascii="宋体" w:hAnsi="宋体"/>
          <w:bCs/>
          <w:sz w:val="28"/>
          <w:szCs w:val="28"/>
          <w:highlight w:val="none"/>
        </w:rPr>
        <w:t>。</w:t>
      </w:r>
      <w:r>
        <w:rPr>
          <w:rFonts w:ascii="宋体" w:hAnsi="宋体"/>
          <w:bCs/>
          <w:sz w:val="28"/>
          <w:szCs w:val="28"/>
          <w:highlight w:val="none"/>
        </w:rPr>
        <w:t>最低报价的</w:t>
      </w:r>
      <w:r>
        <w:rPr>
          <w:rFonts w:hint="eastAsia" w:ascii="宋体" w:hAnsi="宋体"/>
          <w:bCs/>
          <w:sz w:val="28"/>
          <w:szCs w:val="28"/>
          <w:highlight w:val="none"/>
        </w:rPr>
        <w:t>报价</w:t>
      </w:r>
      <w:r>
        <w:rPr>
          <w:rFonts w:ascii="宋体" w:hAnsi="宋体"/>
          <w:bCs/>
          <w:sz w:val="28"/>
          <w:szCs w:val="28"/>
          <w:highlight w:val="none"/>
        </w:rPr>
        <w:t>供应商作为预</w:t>
      </w:r>
      <w:r>
        <w:rPr>
          <w:rFonts w:hint="eastAsia" w:ascii="宋体" w:hAnsi="宋体"/>
          <w:bCs/>
          <w:sz w:val="28"/>
          <w:szCs w:val="28"/>
          <w:highlight w:val="none"/>
        </w:rPr>
        <w:t>成交</w:t>
      </w:r>
      <w:r>
        <w:rPr>
          <w:rFonts w:ascii="宋体" w:hAnsi="宋体"/>
          <w:bCs/>
          <w:sz w:val="28"/>
          <w:szCs w:val="28"/>
          <w:highlight w:val="none"/>
        </w:rPr>
        <w:t>供应商。报价相同的，按照技术指标优劣顺序排</w:t>
      </w:r>
      <w:r>
        <w:rPr>
          <w:rFonts w:hint="eastAsia" w:ascii="宋体" w:hAnsi="宋体"/>
          <w:bCs/>
          <w:sz w:val="28"/>
          <w:szCs w:val="28"/>
          <w:highlight w:val="none"/>
        </w:rPr>
        <w:t>序；无法按照</w:t>
      </w:r>
      <w:r>
        <w:rPr>
          <w:rFonts w:ascii="宋体" w:hAnsi="宋体"/>
          <w:bCs/>
          <w:sz w:val="28"/>
          <w:szCs w:val="28"/>
          <w:highlight w:val="none"/>
        </w:rPr>
        <w:t>技术指标优劣顺序排</w:t>
      </w:r>
      <w:r>
        <w:rPr>
          <w:rFonts w:hint="eastAsia" w:ascii="宋体" w:hAnsi="宋体"/>
          <w:bCs/>
          <w:sz w:val="28"/>
          <w:szCs w:val="28"/>
          <w:highlight w:val="none"/>
        </w:rPr>
        <w:t>序的，按照专用文件规定的方式推荐</w:t>
      </w:r>
      <w:r>
        <w:rPr>
          <w:rFonts w:ascii="宋体" w:hAnsi="宋体"/>
          <w:bCs/>
          <w:sz w:val="28"/>
          <w:szCs w:val="28"/>
          <w:highlight w:val="none"/>
        </w:rPr>
        <w:t>预</w:t>
      </w:r>
      <w:r>
        <w:rPr>
          <w:rFonts w:hint="eastAsia" w:ascii="宋体" w:hAnsi="宋体"/>
          <w:bCs/>
          <w:sz w:val="28"/>
          <w:szCs w:val="28"/>
          <w:highlight w:val="none"/>
        </w:rPr>
        <w:t>成交</w:t>
      </w:r>
      <w:r>
        <w:rPr>
          <w:rFonts w:ascii="宋体" w:hAnsi="宋体"/>
          <w:bCs/>
          <w:sz w:val="28"/>
          <w:szCs w:val="28"/>
          <w:highlight w:val="none"/>
        </w:rPr>
        <w:t>供应商</w:t>
      </w:r>
      <w:r>
        <w:rPr>
          <w:rFonts w:hint="eastAsia" w:ascii="宋体" w:hAnsi="宋体"/>
          <w:bCs/>
          <w:sz w:val="28"/>
          <w:szCs w:val="28"/>
          <w:highlight w:val="none"/>
        </w:rPr>
        <w:t>。</w:t>
      </w:r>
      <w:r>
        <w:rPr>
          <w:rFonts w:hint="eastAsia" w:ascii="仿宋_GB2312" w:hAnsi="仿宋"/>
          <w:bCs/>
          <w:sz w:val="28"/>
          <w:szCs w:val="36"/>
          <w:highlight w:val="none"/>
        </w:rPr>
        <w:t>专用文件未明确的，采取随机抽取方式确定。</w:t>
      </w:r>
      <w:r>
        <w:rPr>
          <w:rFonts w:hint="eastAsia" w:ascii="宋体" w:hAnsi="宋体"/>
          <w:bCs/>
          <w:sz w:val="28"/>
          <w:szCs w:val="28"/>
          <w:highlight w:val="none"/>
        </w:rPr>
        <w:t>评审委员会</w:t>
      </w:r>
      <w:r>
        <w:rPr>
          <w:rFonts w:ascii="宋体" w:hAnsi="宋体"/>
          <w:bCs/>
          <w:sz w:val="28"/>
          <w:szCs w:val="28"/>
          <w:highlight w:val="none"/>
        </w:rPr>
        <w:t>认定为低价恶意竞争的</w:t>
      </w:r>
      <w:r>
        <w:rPr>
          <w:rFonts w:hint="eastAsia" w:ascii="宋体" w:hAnsi="宋体"/>
          <w:bCs/>
          <w:sz w:val="28"/>
          <w:szCs w:val="28"/>
          <w:highlight w:val="none"/>
        </w:rPr>
        <w:t>，</w:t>
      </w:r>
      <w:r>
        <w:rPr>
          <w:rFonts w:ascii="宋体" w:hAnsi="宋体"/>
          <w:bCs/>
          <w:sz w:val="28"/>
          <w:szCs w:val="28"/>
          <w:highlight w:val="none"/>
        </w:rPr>
        <w:t>视为无效报价。</w:t>
      </w:r>
    </w:p>
    <w:p w14:paraId="25AF605D">
      <w:pPr>
        <w:adjustRightInd w:val="0"/>
        <w:snapToGrid w:val="0"/>
        <w:spacing w:line="560" w:lineRule="exact"/>
        <w:ind w:firstLine="560" w:firstLineChars="200"/>
        <w:rPr>
          <w:rFonts w:ascii="宋体" w:hAnsi="宋体"/>
          <w:bCs/>
          <w:sz w:val="28"/>
          <w:szCs w:val="28"/>
          <w:highlight w:val="none"/>
        </w:rPr>
      </w:pPr>
      <w:r>
        <w:rPr>
          <w:rFonts w:ascii="宋体" w:hAnsi="宋体"/>
          <w:bCs/>
          <w:sz w:val="28"/>
          <w:szCs w:val="28"/>
          <w:highlight w:val="none"/>
        </w:rPr>
        <w:t>34.2</w:t>
      </w:r>
      <w:r>
        <w:rPr>
          <w:rFonts w:hint="eastAsia" w:ascii="宋体" w:hAnsi="宋体"/>
          <w:bCs/>
          <w:sz w:val="28"/>
          <w:szCs w:val="28"/>
          <w:highlight w:val="none"/>
        </w:rPr>
        <w:t>报价供应商报价高于全体有效报价供应商平均报价40%以上的，不得推荐为预成交供应商。</w:t>
      </w:r>
      <w:r>
        <w:rPr>
          <w:rFonts w:ascii="宋体" w:hAnsi="宋体"/>
          <w:bCs/>
          <w:sz w:val="28"/>
          <w:szCs w:val="28"/>
          <w:highlight w:val="none"/>
        </w:rPr>
        <w:t>采用综合评分法</w:t>
      </w:r>
      <w:r>
        <w:rPr>
          <w:rFonts w:hint="eastAsia" w:ascii="宋体" w:hAnsi="宋体"/>
          <w:bCs/>
          <w:sz w:val="28"/>
          <w:szCs w:val="28"/>
          <w:highlight w:val="none"/>
        </w:rPr>
        <w:t>评审时，报价供应商的</w:t>
      </w:r>
      <w:r>
        <w:rPr>
          <w:rFonts w:ascii="宋体" w:hAnsi="宋体"/>
          <w:bCs/>
          <w:sz w:val="28"/>
          <w:szCs w:val="28"/>
          <w:highlight w:val="none"/>
        </w:rPr>
        <w:t>商务和技术得分低于所有有效报价供应商商务和技术得分平均值30%以上的</w:t>
      </w:r>
      <w:r>
        <w:rPr>
          <w:rFonts w:hint="eastAsia" w:ascii="宋体" w:hAnsi="宋体"/>
          <w:bCs/>
          <w:sz w:val="28"/>
          <w:szCs w:val="28"/>
          <w:highlight w:val="none"/>
        </w:rPr>
        <w:t>报价</w:t>
      </w:r>
      <w:r>
        <w:rPr>
          <w:rFonts w:ascii="宋体" w:hAnsi="宋体"/>
          <w:bCs/>
          <w:sz w:val="28"/>
          <w:szCs w:val="28"/>
          <w:highlight w:val="none"/>
        </w:rPr>
        <w:t>供应商，不得推荐为预成交供应商。</w:t>
      </w:r>
    </w:p>
    <w:p w14:paraId="7F498ACA">
      <w:pPr>
        <w:adjustRightInd w:val="0"/>
        <w:snapToGrid w:val="0"/>
        <w:spacing w:line="560" w:lineRule="exact"/>
        <w:ind w:firstLine="560" w:firstLineChars="200"/>
        <w:rPr>
          <w:rFonts w:ascii="宋体" w:hAnsi="宋体"/>
          <w:bCs/>
          <w:sz w:val="28"/>
          <w:szCs w:val="28"/>
          <w:highlight w:val="none"/>
        </w:rPr>
      </w:pPr>
      <w:r>
        <w:rPr>
          <w:rFonts w:ascii="宋体" w:hAnsi="宋体"/>
          <w:bCs/>
          <w:sz w:val="28"/>
          <w:szCs w:val="28"/>
          <w:highlight w:val="none"/>
        </w:rPr>
        <w:t>34.3</w:t>
      </w:r>
      <w:r>
        <w:rPr>
          <w:rFonts w:hint="eastAsia" w:ascii="宋体" w:hAnsi="宋体"/>
          <w:bCs/>
          <w:sz w:val="28"/>
          <w:szCs w:val="28"/>
          <w:highlight w:val="none"/>
        </w:rPr>
        <w:t>成交供应商数量、价格</w:t>
      </w:r>
    </w:p>
    <w:p w14:paraId="2AAF6665">
      <w:pPr>
        <w:adjustRightInd w:val="0"/>
        <w:snapToGrid w:val="0"/>
        <w:spacing w:line="560" w:lineRule="exact"/>
        <w:ind w:firstLine="560" w:firstLineChars="200"/>
        <w:rPr>
          <w:rFonts w:ascii="宋体" w:hAnsi="宋体"/>
          <w:bCs/>
          <w:sz w:val="28"/>
          <w:szCs w:val="28"/>
          <w:highlight w:val="none"/>
        </w:rPr>
      </w:pPr>
      <w:r>
        <w:rPr>
          <w:rFonts w:hint="eastAsia" w:ascii="宋体" w:hAnsi="宋体"/>
          <w:bCs/>
          <w:sz w:val="28"/>
          <w:szCs w:val="28"/>
          <w:highlight w:val="none"/>
        </w:rPr>
        <w:t>同一品种物资项目通常不得分包，但采购数量金额大或保障范围广，且</w:t>
      </w:r>
      <w:r>
        <w:rPr>
          <w:rFonts w:ascii="宋体" w:hAnsi="宋体"/>
          <w:bCs/>
          <w:sz w:val="28"/>
          <w:szCs w:val="28"/>
          <w:highlight w:val="none"/>
        </w:rPr>
        <w:t>1</w:t>
      </w:r>
      <w:r>
        <w:rPr>
          <w:rFonts w:hint="eastAsia" w:ascii="宋体" w:hAnsi="宋体"/>
          <w:bCs/>
          <w:sz w:val="28"/>
          <w:szCs w:val="28"/>
          <w:highlight w:val="none"/>
        </w:rPr>
        <w:t>家供应商履约能力无法满足要求的，可以一包选取</w:t>
      </w:r>
      <w:r>
        <w:rPr>
          <w:rFonts w:ascii="宋体" w:hAnsi="宋体"/>
          <w:bCs/>
          <w:sz w:val="28"/>
          <w:szCs w:val="28"/>
          <w:highlight w:val="none"/>
        </w:rPr>
        <w:t>2</w:t>
      </w:r>
      <w:r>
        <w:rPr>
          <w:rFonts w:hint="eastAsia" w:ascii="宋体" w:hAnsi="宋体"/>
          <w:bCs/>
          <w:sz w:val="28"/>
          <w:szCs w:val="28"/>
          <w:highlight w:val="none"/>
        </w:rPr>
        <w:t>家以上成交供应商，依据排名依次递减的原则确定承担任务数量或范围；也可以分成多包，每包确定</w:t>
      </w:r>
      <w:r>
        <w:rPr>
          <w:rFonts w:ascii="宋体" w:hAnsi="宋体"/>
          <w:bCs/>
          <w:sz w:val="28"/>
          <w:szCs w:val="28"/>
          <w:highlight w:val="none"/>
        </w:rPr>
        <w:t>1</w:t>
      </w:r>
      <w:r>
        <w:rPr>
          <w:rFonts w:hint="eastAsia" w:ascii="宋体" w:hAnsi="宋体"/>
          <w:bCs/>
          <w:sz w:val="28"/>
          <w:szCs w:val="28"/>
          <w:highlight w:val="none"/>
        </w:rPr>
        <w:t>家供应商。采购机构应当在谈判文件中载明成交供应商数量、承担任务的数量或范围。具体要求见竞争性谈判公告。</w:t>
      </w:r>
    </w:p>
    <w:p w14:paraId="7BF1DC0B">
      <w:pPr>
        <w:adjustRightInd w:val="0"/>
        <w:snapToGrid w:val="0"/>
        <w:spacing w:line="560" w:lineRule="exact"/>
        <w:ind w:firstLine="560" w:firstLineChars="200"/>
        <w:rPr>
          <w:rFonts w:ascii="宋体" w:hAnsi="宋体"/>
          <w:bCs/>
          <w:sz w:val="28"/>
          <w:szCs w:val="28"/>
          <w:highlight w:val="none"/>
        </w:rPr>
      </w:pPr>
      <w:r>
        <w:rPr>
          <w:rFonts w:hint="eastAsia" w:ascii="宋体" w:hAnsi="宋体"/>
          <w:sz w:val="28"/>
          <w:szCs w:val="28"/>
          <w:highlight w:val="none"/>
        </w:rPr>
        <w:t>确定多家供应商成交的，报价供应商数量通常为成交数量的</w:t>
      </w:r>
      <w:r>
        <w:rPr>
          <w:rFonts w:ascii="宋体" w:hAnsi="宋体"/>
          <w:sz w:val="28"/>
          <w:szCs w:val="28"/>
          <w:highlight w:val="none"/>
        </w:rPr>
        <w:t>3</w:t>
      </w:r>
      <w:r>
        <w:rPr>
          <w:rFonts w:hint="eastAsia" w:ascii="宋体" w:hAnsi="宋体"/>
          <w:sz w:val="28"/>
          <w:szCs w:val="28"/>
          <w:highlight w:val="none"/>
        </w:rPr>
        <w:t>倍以上；不足</w:t>
      </w:r>
      <w:r>
        <w:rPr>
          <w:rFonts w:ascii="宋体" w:hAnsi="宋体"/>
          <w:sz w:val="28"/>
          <w:szCs w:val="28"/>
          <w:highlight w:val="none"/>
        </w:rPr>
        <w:t>3</w:t>
      </w:r>
      <w:r>
        <w:rPr>
          <w:rFonts w:hint="eastAsia" w:ascii="宋体" w:hAnsi="宋体"/>
          <w:sz w:val="28"/>
          <w:szCs w:val="28"/>
          <w:highlight w:val="none"/>
        </w:rPr>
        <w:t>倍但达到</w:t>
      </w:r>
      <w:r>
        <w:rPr>
          <w:rFonts w:ascii="宋体" w:hAnsi="宋体"/>
          <w:sz w:val="28"/>
          <w:szCs w:val="28"/>
          <w:highlight w:val="none"/>
        </w:rPr>
        <w:t>2</w:t>
      </w:r>
      <w:r>
        <w:rPr>
          <w:rFonts w:hint="eastAsia" w:ascii="宋体" w:hAnsi="宋体"/>
          <w:sz w:val="28"/>
          <w:szCs w:val="28"/>
          <w:highlight w:val="none"/>
        </w:rPr>
        <w:t>倍的，按照本章第</w:t>
      </w:r>
      <w:r>
        <w:rPr>
          <w:rFonts w:ascii="宋体" w:hAnsi="宋体"/>
          <w:sz w:val="28"/>
          <w:szCs w:val="28"/>
          <w:highlight w:val="none"/>
        </w:rPr>
        <w:t>41.1</w:t>
      </w:r>
      <w:r>
        <w:rPr>
          <w:rFonts w:hint="eastAsia" w:ascii="宋体" w:hAnsi="宋体"/>
          <w:sz w:val="28"/>
          <w:szCs w:val="28"/>
          <w:highlight w:val="none"/>
        </w:rPr>
        <w:t>条规定执行；不足</w:t>
      </w:r>
      <w:r>
        <w:rPr>
          <w:rFonts w:ascii="宋体" w:hAnsi="宋体"/>
          <w:sz w:val="28"/>
          <w:szCs w:val="28"/>
          <w:highlight w:val="none"/>
        </w:rPr>
        <w:t>2</w:t>
      </w:r>
      <w:r>
        <w:rPr>
          <w:rFonts w:hint="eastAsia" w:ascii="宋体" w:hAnsi="宋体"/>
          <w:sz w:val="28"/>
          <w:szCs w:val="28"/>
          <w:highlight w:val="none"/>
        </w:rPr>
        <w:t>倍的，重新组织采购</w:t>
      </w:r>
      <w:r>
        <w:rPr>
          <w:rFonts w:ascii="宋体" w:hAnsi="宋体"/>
          <w:sz w:val="28"/>
          <w:szCs w:val="28"/>
          <w:highlight w:val="none"/>
        </w:rPr>
        <w:t>。</w:t>
      </w:r>
      <w:r>
        <w:rPr>
          <w:rFonts w:hint="eastAsia" w:ascii="宋体" w:hAnsi="宋体"/>
          <w:sz w:val="28"/>
          <w:szCs w:val="28"/>
          <w:highlight w:val="none"/>
        </w:rPr>
        <w:t>经评审符合要求的报价供应商数量通常为成交数量的</w:t>
      </w:r>
      <w:r>
        <w:rPr>
          <w:rFonts w:ascii="宋体" w:hAnsi="宋体"/>
          <w:sz w:val="28"/>
          <w:szCs w:val="28"/>
          <w:highlight w:val="none"/>
        </w:rPr>
        <w:t>2倍以上</w:t>
      </w:r>
      <w:r>
        <w:rPr>
          <w:rFonts w:hint="eastAsia" w:ascii="宋体" w:hAnsi="宋体"/>
          <w:sz w:val="28"/>
          <w:szCs w:val="28"/>
          <w:highlight w:val="none"/>
        </w:rPr>
        <w:t>；不足</w:t>
      </w:r>
      <w:r>
        <w:rPr>
          <w:rFonts w:ascii="宋体" w:hAnsi="宋体"/>
          <w:sz w:val="28"/>
          <w:szCs w:val="28"/>
          <w:highlight w:val="none"/>
        </w:rPr>
        <w:t>2</w:t>
      </w:r>
      <w:r>
        <w:rPr>
          <w:rFonts w:hint="eastAsia" w:ascii="宋体" w:hAnsi="宋体"/>
          <w:sz w:val="28"/>
          <w:szCs w:val="28"/>
          <w:highlight w:val="none"/>
        </w:rPr>
        <w:t>倍但达到</w:t>
      </w:r>
      <w:r>
        <w:rPr>
          <w:rFonts w:ascii="宋体" w:hAnsi="宋体"/>
          <w:sz w:val="28"/>
          <w:szCs w:val="28"/>
          <w:highlight w:val="none"/>
        </w:rPr>
        <w:t>1.5</w:t>
      </w:r>
      <w:r>
        <w:rPr>
          <w:rFonts w:hint="eastAsia" w:ascii="宋体" w:hAnsi="宋体"/>
          <w:sz w:val="28"/>
          <w:szCs w:val="28"/>
          <w:highlight w:val="none"/>
        </w:rPr>
        <w:t>倍的，采购机构可以商采购单位相应减少成交数量，经采购单位</w:t>
      </w:r>
      <w:r>
        <w:rPr>
          <w:rFonts w:hint="eastAsia" w:ascii="宋体" w:hAnsi="宋体"/>
          <w:bCs/>
          <w:sz w:val="28"/>
          <w:szCs w:val="28"/>
          <w:highlight w:val="none"/>
        </w:rPr>
        <w:t>书面确认后继续组织评审，否则重新组织采购。</w:t>
      </w:r>
    </w:p>
    <w:p w14:paraId="3A582366">
      <w:pPr>
        <w:adjustRightInd w:val="0"/>
        <w:snapToGrid w:val="0"/>
        <w:spacing w:line="560" w:lineRule="exact"/>
        <w:ind w:firstLine="560" w:firstLineChars="200"/>
        <w:rPr>
          <w:rFonts w:ascii="宋体" w:hAnsi="宋体"/>
          <w:bCs/>
          <w:sz w:val="28"/>
          <w:szCs w:val="28"/>
          <w:highlight w:val="none"/>
        </w:rPr>
      </w:pPr>
      <w:r>
        <w:rPr>
          <w:rFonts w:hint="eastAsia" w:ascii="宋体" w:hAnsi="宋体"/>
          <w:bCs/>
          <w:sz w:val="28"/>
          <w:szCs w:val="28"/>
          <w:highlight w:val="none"/>
        </w:rPr>
        <w:t>成交供应商可以执行各自报价，或按照下列方式处理：</w:t>
      </w:r>
    </w:p>
    <w:p w14:paraId="5CF854FD">
      <w:pPr>
        <w:adjustRightInd w:val="0"/>
        <w:snapToGrid w:val="0"/>
        <w:spacing w:line="560" w:lineRule="exact"/>
        <w:ind w:firstLine="560" w:firstLineChars="200"/>
        <w:rPr>
          <w:rFonts w:ascii="宋体" w:hAnsi="宋体"/>
          <w:bCs/>
          <w:sz w:val="28"/>
          <w:szCs w:val="28"/>
          <w:highlight w:val="none"/>
        </w:rPr>
      </w:pPr>
      <w:r>
        <w:rPr>
          <w:rFonts w:hint="eastAsia" w:ascii="宋体" w:hAnsi="宋体"/>
          <w:bCs/>
          <w:sz w:val="28"/>
          <w:szCs w:val="28"/>
          <w:highlight w:val="none"/>
        </w:rPr>
        <w:t>（</w:t>
      </w:r>
      <w:r>
        <w:rPr>
          <w:rFonts w:ascii="宋体" w:hAnsi="宋体"/>
          <w:bCs/>
          <w:sz w:val="28"/>
          <w:szCs w:val="28"/>
          <w:highlight w:val="none"/>
        </w:rPr>
        <w:t>1</w:t>
      </w:r>
      <w:r>
        <w:rPr>
          <w:rFonts w:hint="eastAsia" w:ascii="宋体" w:hAnsi="宋体"/>
          <w:bCs/>
          <w:sz w:val="28"/>
          <w:szCs w:val="28"/>
          <w:highlight w:val="none"/>
        </w:rPr>
        <w:t>）报价高于或等于第一名预成交供应商的，成交价格执行第一名预成交供应商报价，报价低于第一名成交供应商的，执行各自报价；</w:t>
      </w:r>
    </w:p>
    <w:p w14:paraId="0D92CF87">
      <w:pPr>
        <w:adjustRightInd w:val="0"/>
        <w:snapToGrid w:val="0"/>
        <w:spacing w:line="560" w:lineRule="exact"/>
        <w:ind w:firstLine="560" w:firstLineChars="200"/>
        <w:rPr>
          <w:rFonts w:ascii="宋体" w:hAnsi="宋体"/>
          <w:bCs/>
          <w:sz w:val="28"/>
          <w:szCs w:val="28"/>
          <w:highlight w:val="none"/>
        </w:rPr>
      </w:pPr>
      <w:r>
        <w:rPr>
          <w:rFonts w:hint="eastAsia" w:ascii="宋体" w:hAnsi="宋体"/>
          <w:bCs/>
          <w:sz w:val="28"/>
          <w:szCs w:val="28"/>
          <w:highlight w:val="none"/>
        </w:rPr>
        <w:t>（</w:t>
      </w:r>
      <w:r>
        <w:rPr>
          <w:rFonts w:ascii="宋体" w:hAnsi="宋体"/>
          <w:bCs/>
          <w:sz w:val="28"/>
          <w:szCs w:val="28"/>
          <w:highlight w:val="none"/>
        </w:rPr>
        <w:t>2</w:t>
      </w:r>
      <w:r>
        <w:rPr>
          <w:rFonts w:hint="eastAsia" w:ascii="宋体" w:hAnsi="宋体"/>
          <w:bCs/>
          <w:sz w:val="28"/>
          <w:szCs w:val="28"/>
          <w:highlight w:val="none"/>
        </w:rPr>
        <w:t>）预成交供应商不接受第一名预成交供应商报价的，视为放弃成交资格，其放弃的数量，按照评审排名，从第一名开始，依次商报价供应商承担。</w:t>
      </w:r>
    </w:p>
    <w:p w14:paraId="6A438825">
      <w:pPr>
        <w:adjustRightInd w:val="0"/>
        <w:snapToGrid w:val="0"/>
        <w:spacing w:line="560" w:lineRule="exact"/>
        <w:ind w:firstLine="560" w:firstLineChars="200"/>
        <w:rPr>
          <w:rFonts w:ascii="宋体" w:hAnsi="宋体"/>
          <w:bCs/>
          <w:sz w:val="28"/>
          <w:szCs w:val="28"/>
          <w:highlight w:val="none"/>
        </w:rPr>
      </w:pPr>
      <w:r>
        <w:rPr>
          <w:rFonts w:hint="eastAsia" w:ascii="宋体" w:hAnsi="宋体"/>
          <w:bCs/>
          <w:sz w:val="28"/>
          <w:szCs w:val="28"/>
          <w:highlight w:val="none"/>
        </w:rPr>
        <w:t>多家报价供应商成交价格确定方式应当唯一，具体方式见谈判文件专用文件。</w:t>
      </w:r>
    </w:p>
    <w:p w14:paraId="66835141">
      <w:pPr>
        <w:pStyle w:val="6"/>
        <w:keepNext w:val="0"/>
        <w:keepLines w:val="0"/>
        <w:adjustRightInd w:val="0"/>
        <w:snapToGrid w:val="0"/>
        <w:spacing w:before="0" w:after="0" w:line="560" w:lineRule="exact"/>
        <w:ind w:firstLine="560" w:firstLineChars="200"/>
        <w:rPr>
          <w:rFonts w:ascii="黑体" w:hAnsi="黑体"/>
          <w:b w:val="0"/>
          <w:highlight w:val="none"/>
        </w:rPr>
      </w:pPr>
      <w:r>
        <w:rPr>
          <w:rFonts w:ascii="黑体" w:hAnsi="黑体"/>
          <w:b w:val="0"/>
          <w:highlight w:val="none"/>
        </w:rPr>
        <w:t>35.</w:t>
      </w:r>
      <w:r>
        <w:rPr>
          <w:rFonts w:hint="eastAsia" w:ascii="黑体" w:hAnsi="黑体"/>
          <w:b w:val="0"/>
          <w:highlight w:val="none"/>
        </w:rPr>
        <w:t>出具评审报告</w:t>
      </w:r>
    </w:p>
    <w:p w14:paraId="70EA84A2">
      <w:pPr>
        <w:adjustRightInd w:val="0"/>
        <w:snapToGrid w:val="0"/>
        <w:spacing w:line="560" w:lineRule="exact"/>
        <w:ind w:firstLine="560" w:firstLineChars="200"/>
        <w:rPr>
          <w:highlight w:val="none"/>
        </w:rPr>
      </w:pPr>
      <w:r>
        <w:rPr>
          <w:rFonts w:asciiTheme="minorEastAsia" w:hAnsiTheme="minorEastAsia" w:eastAsiaTheme="minorEastAsia"/>
          <w:bCs/>
          <w:sz w:val="28"/>
          <w:szCs w:val="28"/>
          <w:highlight w:val="none"/>
        </w:rPr>
        <w:t>35.1</w:t>
      </w:r>
      <w:r>
        <w:rPr>
          <w:rFonts w:hint="eastAsia" w:ascii="宋体" w:hAnsi="宋体"/>
          <w:bCs/>
          <w:sz w:val="28"/>
          <w:szCs w:val="28"/>
          <w:highlight w:val="none"/>
        </w:rPr>
        <w:t>评审委员会根据全体成员签字的原始评标记录和评审结果编写评审报告。评审报告主要内容由评审委员会全体成员逐页签字确认。评审委员会成员对需要共同认定的事项存在争议的，按照少数服从多数的原则作出结论。持不同意见的评审委员会成员应当在评审报告上签署不同意见并说明理由；只签字未写明不同意见或只写明不同意见未说明理由的，视为无意见；不签字的，不影响评审报告的有效性。</w:t>
      </w:r>
    </w:p>
    <w:p w14:paraId="3C439675">
      <w:pPr>
        <w:pStyle w:val="6"/>
        <w:keepNext w:val="0"/>
        <w:keepLines w:val="0"/>
        <w:adjustRightInd w:val="0"/>
        <w:snapToGrid w:val="0"/>
        <w:spacing w:before="0" w:after="0" w:line="560" w:lineRule="exact"/>
        <w:ind w:firstLine="560" w:firstLineChars="200"/>
        <w:rPr>
          <w:rFonts w:ascii="黑体" w:hAnsi="黑体"/>
          <w:b w:val="0"/>
          <w:highlight w:val="none"/>
        </w:rPr>
      </w:pPr>
      <w:r>
        <w:rPr>
          <w:rFonts w:ascii="黑体" w:hAnsi="黑体"/>
          <w:b w:val="0"/>
          <w:highlight w:val="none"/>
        </w:rPr>
        <w:t>36.</w:t>
      </w:r>
      <w:r>
        <w:rPr>
          <w:rFonts w:hint="eastAsia" w:ascii="黑体" w:hAnsi="黑体"/>
          <w:b w:val="0"/>
          <w:highlight w:val="none"/>
        </w:rPr>
        <w:t>宣布评审结果</w:t>
      </w:r>
    </w:p>
    <w:p w14:paraId="3AE4BC64">
      <w:pPr>
        <w:adjustRightInd w:val="0"/>
        <w:snapToGrid w:val="0"/>
        <w:spacing w:line="560" w:lineRule="exact"/>
        <w:ind w:firstLine="560" w:firstLineChars="200"/>
        <w:rPr>
          <w:rFonts w:ascii="宋体" w:hAnsi="宋体"/>
          <w:bCs/>
          <w:sz w:val="28"/>
          <w:szCs w:val="28"/>
          <w:highlight w:val="none"/>
        </w:rPr>
      </w:pPr>
      <w:r>
        <w:rPr>
          <w:rFonts w:asciiTheme="minorEastAsia" w:hAnsiTheme="minorEastAsia" w:eastAsiaTheme="minorEastAsia"/>
          <w:bCs/>
          <w:sz w:val="28"/>
          <w:szCs w:val="28"/>
          <w:highlight w:val="none"/>
        </w:rPr>
        <w:t>36.1</w:t>
      </w:r>
      <w:r>
        <w:rPr>
          <w:rFonts w:hint="eastAsia" w:ascii="宋体" w:hAnsi="宋体"/>
          <w:bCs/>
          <w:sz w:val="28"/>
          <w:szCs w:val="28"/>
          <w:highlight w:val="none"/>
        </w:rPr>
        <w:t>评审委员会组长应当当场向所有报价供应商宣布评审结果，包括报价供应商评审排名和最终报价，无效报价供应商名单和原因等。报价供应商有疑义的，评审委员会应当当场予以解答。</w:t>
      </w:r>
    </w:p>
    <w:p w14:paraId="61A2FBB7">
      <w:pPr>
        <w:pStyle w:val="6"/>
        <w:keepNext w:val="0"/>
        <w:keepLines w:val="0"/>
        <w:adjustRightInd w:val="0"/>
        <w:snapToGrid w:val="0"/>
        <w:spacing w:before="0" w:after="0" w:line="560" w:lineRule="exact"/>
        <w:ind w:firstLine="560" w:firstLineChars="200"/>
        <w:rPr>
          <w:rFonts w:ascii="黑体" w:hAnsi="黑体"/>
          <w:b w:val="0"/>
          <w:highlight w:val="none"/>
        </w:rPr>
      </w:pPr>
      <w:bookmarkStart w:id="286" w:name="_Toc8122"/>
      <w:bookmarkStart w:id="287" w:name="_Toc25551"/>
      <w:bookmarkStart w:id="288" w:name="_Toc7662"/>
      <w:bookmarkStart w:id="289" w:name="_Toc2853"/>
      <w:bookmarkStart w:id="290" w:name="_Toc121216116"/>
      <w:r>
        <w:rPr>
          <w:rFonts w:ascii="黑体" w:hAnsi="黑体"/>
          <w:b w:val="0"/>
          <w:highlight w:val="none"/>
        </w:rPr>
        <w:t>37.</w:t>
      </w:r>
      <w:r>
        <w:rPr>
          <w:rFonts w:hint="eastAsia" w:ascii="黑体" w:hAnsi="黑体"/>
          <w:b w:val="0"/>
          <w:highlight w:val="none"/>
        </w:rPr>
        <w:t>无效</w:t>
      </w:r>
      <w:bookmarkEnd w:id="286"/>
      <w:bookmarkEnd w:id="287"/>
      <w:bookmarkEnd w:id="288"/>
      <w:bookmarkEnd w:id="289"/>
      <w:bookmarkEnd w:id="290"/>
      <w:r>
        <w:rPr>
          <w:rFonts w:hint="eastAsia" w:ascii="黑体" w:hAnsi="黑体"/>
          <w:b w:val="0"/>
          <w:highlight w:val="none"/>
        </w:rPr>
        <w:t>报价</w:t>
      </w:r>
    </w:p>
    <w:p w14:paraId="6BC575D4">
      <w:pPr>
        <w:pStyle w:val="114"/>
        <w:adjustRightInd w:val="0"/>
        <w:snapToGrid w:val="0"/>
        <w:spacing w:line="560" w:lineRule="exact"/>
        <w:ind w:firstLine="560"/>
        <w:rPr>
          <w:rFonts w:ascii="宋体" w:hAnsi="宋体"/>
          <w:bCs/>
          <w:sz w:val="28"/>
          <w:szCs w:val="28"/>
          <w:highlight w:val="none"/>
        </w:rPr>
      </w:pPr>
      <w:r>
        <w:rPr>
          <w:rFonts w:ascii="宋体" w:hAnsi="宋体"/>
          <w:bCs/>
          <w:sz w:val="28"/>
          <w:szCs w:val="28"/>
          <w:highlight w:val="none"/>
        </w:rPr>
        <w:t>37.1在</w:t>
      </w:r>
      <w:r>
        <w:rPr>
          <w:rFonts w:hint="eastAsia" w:ascii="宋体" w:hAnsi="宋体"/>
          <w:bCs/>
          <w:sz w:val="28"/>
          <w:szCs w:val="28"/>
          <w:highlight w:val="none"/>
        </w:rPr>
        <w:t>资格性审查</w:t>
      </w:r>
      <w:r>
        <w:rPr>
          <w:rFonts w:ascii="宋体" w:hAnsi="宋体"/>
          <w:bCs/>
          <w:sz w:val="28"/>
          <w:szCs w:val="28"/>
          <w:highlight w:val="none"/>
        </w:rPr>
        <w:t>过程中，有下列情形之一者，</w:t>
      </w:r>
      <w:r>
        <w:rPr>
          <w:rFonts w:hint="eastAsia" w:ascii="仿宋_GB2312" w:hAnsi="仿宋"/>
          <w:bCs/>
          <w:sz w:val="28"/>
          <w:szCs w:val="28"/>
          <w:highlight w:val="none"/>
        </w:rPr>
        <w:t>按照无效报价处理</w:t>
      </w:r>
      <w:r>
        <w:rPr>
          <w:rFonts w:hint="eastAsia" w:ascii="宋体" w:hAnsi="宋体"/>
          <w:bCs/>
          <w:sz w:val="28"/>
          <w:szCs w:val="28"/>
          <w:highlight w:val="none"/>
        </w:rPr>
        <w:t>，但符合本文件第</w:t>
      </w:r>
      <w:r>
        <w:rPr>
          <w:rFonts w:ascii="宋体" w:hAnsi="宋体"/>
          <w:bCs/>
          <w:sz w:val="28"/>
          <w:szCs w:val="28"/>
          <w:highlight w:val="none"/>
        </w:rPr>
        <w:t>38</w:t>
      </w:r>
      <w:r>
        <w:rPr>
          <w:rFonts w:hint="eastAsia" w:ascii="宋体" w:hAnsi="宋体"/>
          <w:bCs/>
          <w:sz w:val="28"/>
          <w:szCs w:val="28"/>
          <w:highlight w:val="none"/>
        </w:rPr>
        <w:t>条规定的情形除外：</w:t>
      </w:r>
    </w:p>
    <w:p w14:paraId="6D7E204A">
      <w:pPr>
        <w:pStyle w:val="114"/>
        <w:adjustRightInd w:val="0"/>
        <w:snapToGrid w:val="0"/>
        <w:spacing w:line="560" w:lineRule="exact"/>
        <w:ind w:firstLine="560"/>
        <w:rPr>
          <w:rFonts w:ascii="宋体" w:hAnsi="宋体"/>
          <w:bCs/>
          <w:sz w:val="28"/>
          <w:szCs w:val="28"/>
          <w:highlight w:val="none"/>
        </w:rPr>
      </w:pPr>
      <w:r>
        <w:rPr>
          <w:rFonts w:hint="eastAsia" w:ascii="宋体" w:hAnsi="宋体"/>
          <w:bCs/>
          <w:sz w:val="28"/>
          <w:szCs w:val="28"/>
          <w:highlight w:val="none"/>
        </w:rPr>
        <w:t>（</w:t>
      </w:r>
      <w:r>
        <w:rPr>
          <w:rFonts w:ascii="宋体" w:hAnsi="宋体"/>
          <w:bCs/>
          <w:sz w:val="28"/>
          <w:szCs w:val="28"/>
          <w:highlight w:val="none"/>
        </w:rPr>
        <w:t>1）</w:t>
      </w:r>
      <w:r>
        <w:rPr>
          <w:rFonts w:hint="eastAsia" w:ascii="宋体" w:hAnsi="宋体"/>
          <w:bCs/>
          <w:sz w:val="28"/>
          <w:szCs w:val="28"/>
          <w:highlight w:val="none"/>
        </w:rPr>
        <w:t>未按照谈判文件要求密封的；</w:t>
      </w:r>
    </w:p>
    <w:p w14:paraId="3BBD5AC6">
      <w:pPr>
        <w:spacing w:line="560" w:lineRule="exact"/>
        <w:ind w:firstLine="560" w:firstLineChars="200"/>
        <w:rPr>
          <w:rFonts w:ascii="宋体" w:hAnsi="宋体"/>
          <w:bCs/>
          <w:kern w:val="0"/>
          <w:sz w:val="28"/>
          <w:szCs w:val="28"/>
          <w:highlight w:val="none"/>
        </w:rPr>
      </w:pPr>
      <w:r>
        <w:rPr>
          <w:rFonts w:hint="eastAsia" w:ascii="宋体" w:hAnsi="宋体"/>
          <w:bCs/>
          <w:kern w:val="0"/>
          <w:sz w:val="28"/>
          <w:szCs w:val="28"/>
          <w:highlight w:val="none"/>
        </w:rPr>
        <w:t>（</w:t>
      </w:r>
      <w:r>
        <w:rPr>
          <w:rFonts w:ascii="宋体" w:hAnsi="宋体"/>
          <w:bCs/>
          <w:kern w:val="0"/>
          <w:sz w:val="28"/>
          <w:szCs w:val="28"/>
          <w:highlight w:val="none"/>
        </w:rPr>
        <w:t>2）</w:t>
      </w:r>
      <w:r>
        <w:rPr>
          <w:rFonts w:hint="eastAsia" w:ascii="宋体" w:hAnsi="宋体"/>
          <w:bCs/>
          <w:kern w:val="0"/>
          <w:sz w:val="28"/>
          <w:szCs w:val="28"/>
          <w:highlight w:val="none"/>
        </w:rPr>
        <w:t>不具备谈判文件中规定的资格性要求的；</w:t>
      </w:r>
    </w:p>
    <w:p w14:paraId="0D984C6D">
      <w:pPr>
        <w:spacing w:line="560" w:lineRule="exact"/>
        <w:ind w:firstLine="560" w:firstLineChars="200"/>
        <w:rPr>
          <w:rFonts w:ascii="宋体" w:hAnsi="宋体"/>
          <w:bCs/>
          <w:kern w:val="0"/>
          <w:sz w:val="28"/>
          <w:szCs w:val="28"/>
          <w:highlight w:val="none"/>
        </w:rPr>
      </w:pPr>
      <w:r>
        <w:rPr>
          <w:rFonts w:hint="eastAsia" w:ascii="宋体" w:hAnsi="宋体"/>
          <w:bCs/>
          <w:kern w:val="0"/>
          <w:sz w:val="28"/>
          <w:szCs w:val="28"/>
          <w:highlight w:val="none"/>
        </w:rPr>
        <w:t>（</w:t>
      </w:r>
      <w:r>
        <w:rPr>
          <w:rFonts w:ascii="宋体" w:hAnsi="宋体"/>
          <w:bCs/>
          <w:kern w:val="0"/>
          <w:sz w:val="28"/>
          <w:szCs w:val="28"/>
          <w:highlight w:val="none"/>
        </w:rPr>
        <w:t>3）</w:t>
      </w:r>
      <w:r>
        <w:rPr>
          <w:rFonts w:hint="eastAsia" w:ascii="宋体" w:hAnsi="宋体"/>
          <w:bCs/>
          <w:kern w:val="0"/>
          <w:sz w:val="28"/>
          <w:szCs w:val="28"/>
          <w:highlight w:val="none"/>
        </w:rPr>
        <w:t>法定代表人授权不符合要求的；</w:t>
      </w:r>
    </w:p>
    <w:p w14:paraId="619DB145">
      <w:pPr>
        <w:spacing w:line="560" w:lineRule="exact"/>
        <w:ind w:firstLine="560" w:firstLineChars="200"/>
        <w:rPr>
          <w:rFonts w:ascii="宋体" w:hAnsi="宋体"/>
          <w:bCs/>
          <w:kern w:val="0"/>
          <w:sz w:val="28"/>
          <w:szCs w:val="28"/>
          <w:highlight w:val="none"/>
        </w:rPr>
      </w:pPr>
      <w:r>
        <w:rPr>
          <w:rFonts w:hint="eastAsia" w:ascii="宋体" w:hAnsi="宋体"/>
          <w:bCs/>
          <w:kern w:val="0"/>
          <w:sz w:val="28"/>
          <w:szCs w:val="28"/>
          <w:highlight w:val="none"/>
        </w:rPr>
        <w:t>（</w:t>
      </w:r>
      <w:r>
        <w:rPr>
          <w:rFonts w:ascii="宋体" w:hAnsi="宋体"/>
          <w:bCs/>
          <w:kern w:val="0"/>
          <w:sz w:val="28"/>
          <w:szCs w:val="28"/>
          <w:highlight w:val="none"/>
        </w:rPr>
        <w:t>4）</w:t>
      </w:r>
      <w:r>
        <w:rPr>
          <w:rFonts w:hint="eastAsia" w:ascii="宋体" w:hAnsi="宋体"/>
          <w:bCs/>
          <w:kern w:val="0"/>
          <w:sz w:val="28"/>
          <w:szCs w:val="28"/>
          <w:highlight w:val="none"/>
        </w:rPr>
        <w:t>属于禁止参加报价供应商的；</w:t>
      </w:r>
    </w:p>
    <w:p w14:paraId="5CA86674">
      <w:pPr>
        <w:spacing w:line="560" w:lineRule="exact"/>
        <w:ind w:firstLine="560" w:firstLineChars="200"/>
        <w:rPr>
          <w:rFonts w:ascii="宋体" w:hAnsi="宋体"/>
          <w:bCs/>
          <w:kern w:val="0"/>
          <w:sz w:val="28"/>
          <w:szCs w:val="28"/>
          <w:highlight w:val="none"/>
        </w:rPr>
      </w:pPr>
      <w:r>
        <w:rPr>
          <w:rFonts w:hint="eastAsia" w:ascii="宋体" w:hAnsi="宋体"/>
          <w:bCs/>
          <w:kern w:val="0"/>
          <w:sz w:val="28"/>
          <w:szCs w:val="28"/>
          <w:highlight w:val="none"/>
        </w:rPr>
        <w:t>（</w:t>
      </w:r>
      <w:r>
        <w:rPr>
          <w:rFonts w:ascii="宋体" w:hAnsi="宋体"/>
          <w:bCs/>
          <w:kern w:val="0"/>
          <w:sz w:val="28"/>
          <w:szCs w:val="28"/>
          <w:highlight w:val="none"/>
        </w:rPr>
        <w:t>5）</w:t>
      </w:r>
      <w:r>
        <w:rPr>
          <w:rFonts w:hint="eastAsia" w:ascii="宋体" w:hAnsi="宋体"/>
          <w:bCs/>
          <w:kern w:val="0"/>
          <w:sz w:val="28"/>
          <w:szCs w:val="28"/>
          <w:highlight w:val="none"/>
        </w:rPr>
        <w:t>未按照规定交纳谈判保证金的；</w:t>
      </w:r>
    </w:p>
    <w:p w14:paraId="17975895">
      <w:pPr>
        <w:adjustRightInd w:val="0"/>
        <w:snapToGrid w:val="0"/>
        <w:spacing w:line="560" w:lineRule="exact"/>
        <w:ind w:firstLine="560" w:firstLineChars="200"/>
        <w:rPr>
          <w:rFonts w:ascii="宋体" w:hAnsi="宋体"/>
          <w:bCs/>
          <w:sz w:val="28"/>
          <w:szCs w:val="28"/>
          <w:highlight w:val="none"/>
        </w:rPr>
      </w:pPr>
      <w:r>
        <w:rPr>
          <w:rFonts w:hint="eastAsia" w:ascii="宋体" w:hAnsi="宋体"/>
          <w:bCs/>
          <w:kern w:val="0"/>
          <w:sz w:val="28"/>
          <w:szCs w:val="28"/>
          <w:highlight w:val="none"/>
        </w:rPr>
        <w:t>（</w:t>
      </w:r>
      <w:r>
        <w:rPr>
          <w:rFonts w:ascii="宋体" w:hAnsi="宋体"/>
          <w:bCs/>
          <w:kern w:val="0"/>
          <w:sz w:val="28"/>
          <w:szCs w:val="28"/>
          <w:highlight w:val="none"/>
        </w:rPr>
        <w:t>6）</w:t>
      </w:r>
      <w:r>
        <w:rPr>
          <w:rFonts w:hint="eastAsia" w:ascii="宋体" w:hAnsi="宋体"/>
          <w:bCs/>
          <w:kern w:val="0"/>
          <w:sz w:val="28"/>
          <w:szCs w:val="28"/>
          <w:highlight w:val="none"/>
        </w:rPr>
        <w:t>不符合国家和军队法律法规规定的资格性要求的。</w:t>
      </w:r>
    </w:p>
    <w:p w14:paraId="5C53F823">
      <w:pPr>
        <w:adjustRightInd w:val="0"/>
        <w:snapToGrid w:val="0"/>
        <w:spacing w:line="560" w:lineRule="exact"/>
        <w:ind w:firstLine="560" w:firstLineChars="200"/>
        <w:rPr>
          <w:rFonts w:ascii="宋体" w:hAnsi="宋体"/>
          <w:bCs/>
          <w:sz w:val="28"/>
          <w:szCs w:val="28"/>
          <w:highlight w:val="none"/>
        </w:rPr>
      </w:pPr>
      <w:r>
        <w:rPr>
          <w:rFonts w:ascii="宋体" w:hAnsi="宋体"/>
          <w:bCs/>
          <w:sz w:val="28"/>
          <w:szCs w:val="28"/>
          <w:highlight w:val="none"/>
        </w:rPr>
        <w:t>37.2在</w:t>
      </w:r>
      <w:r>
        <w:rPr>
          <w:rFonts w:hint="eastAsia" w:ascii="宋体" w:hAnsi="宋体"/>
          <w:bCs/>
          <w:sz w:val="28"/>
          <w:szCs w:val="28"/>
          <w:highlight w:val="none"/>
        </w:rPr>
        <w:t>符合性审查</w:t>
      </w:r>
      <w:r>
        <w:rPr>
          <w:rFonts w:ascii="宋体" w:hAnsi="宋体"/>
          <w:bCs/>
          <w:sz w:val="28"/>
          <w:szCs w:val="28"/>
          <w:highlight w:val="none"/>
        </w:rPr>
        <w:t>过程中，有下列情形之一者，</w:t>
      </w:r>
      <w:r>
        <w:rPr>
          <w:rFonts w:hint="eastAsia" w:ascii="仿宋_GB2312" w:hAnsi="仿宋"/>
          <w:bCs/>
          <w:sz w:val="28"/>
          <w:szCs w:val="28"/>
          <w:highlight w:val="none"/>
        </w:rPr>
        <w:t>按照无效报价处理</w:t>
      </w:r>
      <w:r>
        <w:rPr>
          <w:rFonts w:hint="eastAsia" w:ascii="宋体" w:hAnsi="宋体"/>
          <w:bCs/>
          <w:sz w:val="28"/>
          <w:szCs w:val="28"/>
          <w:highlight w:val="none"/>
        </w:rPr>
        <w:t>，但符合本文件第</w:t>
      </w:r>
      <w:r>
        <w:rPr>
          <w:rFonts w:ascii="宋体" w:hAnsi="宋体"/>
          <w:bCs/>
          <w:sz w:val="28"/>
          <w:szCs w:val="28"/>
          <w:highlight w:val="none"/>
        </w:rPr>
        <w:t>38条规定的情形除外：</w:t>
      </w:r>
    </w:p>
    <w:p w14:paraId="6E720E8B">
      <w:pPr>
        <w:adjustRightInd w:val="0"/>
        <w:snapToGrid w:val="0"/>
        <w:spacing w:line="560" w:lineRule="exact"/>
        <w:ind w:firstLine="560" w:firstLineChars="200"/>
        <w:rPr>
          <w:rFonts w:ascii="仿宋_GB2312" w:hAnsi="仿宋" w:cs="仿宋"/>
          <w:bCs/>
          <w:sz w:val="28"/>
          <w:szCs w:val="28"/>
          <w:highlight w:val="none"/>
        </w:rPr>
      </w:pPr>
      <w:r>
        <w:rPr>
          <w:rFonts w:hint="eastAsia" w:ascii="宋体" w:hAnsi="宋体"/>
          <w:bCs/>
          <w:sz w:val="28"/>
          <w:szCs w:val="28"/>
          <w:highlight w:val="none"/>
        </w:rPr>
        <w:t>（</w:t>
      </w:r>
      <w:r>
        <w:rPr>
          <w:rFonts w:ascii="宋体" w:hAnsi="宋体"/>
          <w:bCs/>
          <w:sz w:val="28"/>
          <w:szCs w:val="28"/>
          <w:highlight w:val="none"/>
        </w:rPr>
        <w:t>1）</w:t>
      </w:r>
      <w:r>
        <w:rPr>
          <w:rFonts w:hint="eastAsia" w:ascii="仿宋_GB2312" w:hAnsi="仿宋" w:cs="仿宋"/>
          <w:bCs/>
          <w:sz w:val="28"/>
          <w:szCs w:val="28"/>
          <w:highlight w:val="none"/>
        </w:rPr>
        <w:t>未按照谈判文件要求签署、盖章的；</w:t>
      </w:r>
    </w:p>
    <w:p w14:paraId="651463E8">
      <w:pPr>
        <w:adjustRightInd w:val="0"/>
        <w:snapToGrid w:val="0"/>
        <w:spacing w:line="560" w:lineRule="exact"/>
        <w:ind w:firstLine="560" w:firstLineChars="200"/>
        <w:rPr>
          <w:rFonts w:ascii="仿宋_GB2312" w:hAnsi="仿宋" w:cs="仿宋"/>
          <w:bCs/>
          <w:sz w:val="28"/>
          <w:szCs w:val="28"/>
          <w:highlight w:val="none"/>
        </w:rPr>
      </w:pPr>
      <w:r>
        <w:rPr>
          <w:rFonts w:hint="eastAsia" w:ascii="宋体" w:hAnsi="宋体"/>
          <w:bCs/>
          <w:sz w:val="28"/>
          <w:szCs w:val="28"/>
          <w:highlight w:val="none"/>
        </w:rPr>
        <w:t>（</w:t>
      </w:r>
      <w:r>
        <w:rPr>
          <w:rFonts w:ascii="宋体" w:hAnsi="宋体"/>
          <w:bCs/>
          <w:sz w:val="28"/>
          <w:szCs w:val="28"/>
          <w:highlight w:val="none"/>
        </w:rPr>
        <w:t>2）</w:t>
      </w:r>
      <w:r>
        <w:rPr>
          <w:rFonts w:hint="eastAsia" w:ascii="宋体" w:hAnsi="宋体"/>
          <w:bCs/>
          <w:sz w:val="28"/>
          <w:szCs w:val="28"/>
          <w:highlight w:val="none"/>
        </w:rPr>
        <w:t>报价</w:t>
      </w:r>
      <w:r>
        <w:rPr>
          <w:rFonts w:hint="eastAsia" w:ascii="仿宋_GB2312" w:hAnsi="仿宋" w:cs="仿宋"/>
          <w:bCs/>
          <w:sz w:val="28"/>
          <w:szCs w:val="28"/>
          <w:highlight w:val="none"/>
        </w:rPr>
        <w:t>有效期不符合谈判文件要求的；</w:t>
      </w:r>
    </w:p>
    <w:p w14:paraId="3C187672">
      <w:pPr>
        <w:adjustRightInd w:val="0"/>
        <w:snapToGrid w:val="0"/>
        <w:spacing w:line="560" w:lineRule="exact"/>
        <w:ind w:firstLine="560" w:firstLineChars="200"/>
        <w:rPr>
          <w:rFonts w:ascii="仿宋_GB2312" w:hAnsi="仿宋" w:cs="仿宋"/>
          <w:bCs/>
          <w:sz w:val="28"/>
          <w:szCs w:val="28"/>
          <w:highlight w:val="none"/>
        </w:rPr>
      </w:pPr>
      <w:r>
        <w:rPr>
          <w:rFonts w:hint="eastAsia" w:ascii="宋体" w:hAnsi="宋体"/>
          <w:bCs/>
          <w:sz w:val="28"/>
          <w:szCs w:val="28"/>
          <w:highlight w:val="none"/>
        </w:rPr>
        <w:t>（3）技术</w:t>
      </w:r>
      <w:r>
        <w:rPr>
          <w:rFonts w:hint="eastAsia" w:ascii="仿宋_GB2312" w:hAnsi="仿宋" w:cs="仿宋"/>
          <w:bCs/>
          <w:sz w:val="28"/>
          <w:szCs w:val="28"/>
          <w:highlight w:val="none"/>
        </w:rPr>
        <w:t>和商务的实质性条款不满足谈判文件要求的；</w:t>
      </w:r>
    </w:p>
    <w:p w14:paraId="7DA86A0B">
      <w:pPr>
        <w:adjustRightInd w:val="0"/>
        <w:snapToGrid w:val="0"/>
        <w:spacing w:line="560" w:lineRule="exact"/>
        <w:ind w:firstLine="560" w:firstLineChars="200"/>
        <w:rPr>
          <w:rFonts w:ascii="仿宋_GB2312" w:hAnsi="仿宋" w:cs="仿宋"/>
          <w:bCs/>
          <w:sz w:val="28"/>
          <w:szCs w:val="28"/>
          <w:highlight w:val="none"/>
        </w:rPr>
      </w:pPr>
      <w:r>
        <w:rPr>
          <w:rFonts w:hint="eastAsia" w:ascii="宋体" w:hAnsi="宋体"/>
          <w:bCs/>
          <w:sz w:val="28"/>
          <w:szCs w:val="28"/>
          <w:highlight w:val="none"/>
        </w:rPr>
        <w:t>（4）其他不</w:t>
      </w:r>
      <w:r>
        <w:rPr>
          <w:rFonts w:hint="eastAsia" w:ascii="仿宋_GB2312" w:hAnsi="仿宋" w:cs="仿宋"/>
          <w:bCs/>
          <w:sz w:val="28"/>
          <w:szCs w:val="28"/>
          <w:highlight w:val="none"/>
        </w:rPr>
        <w:t>满足谈判文件载明的符合性要求的。</w:t>
      </w:r>
    </w:p>
    <w:p w14:paraId="16E62088">
      <w:pPr>
        <w:spacing w:line="580" w:lineRule="exact"/>
        <w:ind w:firstLine="560" w:firstLineChars="200"/>
        <w:rPr>
          <w:rFonts w:ascii="宋体" w:hAnsi="宋体"/>
          <w:sz w:val="28"/>
          <w:szCs w:val="28"/>
          <w:highlight w:val="none"/>
        </w:rPr>
      </w:pPr>
      <w:r>
        <w:rPr>
          <w:rFonts w:ascii="宋体" w:hAnsi="宋体"/>
          <w:bCs/>
          <w:sz w:val="28"/>
          <w:szCs w:val="28"/>
          <w:highlight w:val="none"/>
        </w:rPr>
        <w:t>37.3</w:t>
      </w:r>
      <w:r>
        <w:rPr>
          <w:rFonts w:hint="eastAsia" w:ascii="宋体" w:hAnsi="宋体"/>
          <w:sz w:val="28"/>
          <w:szCs w:val="28"/>
          <w:highlight w:val="none"/>
        </w:rPr>
        <w:t>有下列情形之一的，属于报价供应商相互串通报价，按照无效报价处理：</w:t>
      </w:r>
    </w:p>
    <w:p w14:paraId="64FB3811">
      <w:pPr>
        <w:spacing w:line="560" w:lineRule="exact"/>
        <w:ind w:firstLine="560" w:firstLineChars="200"/>
        <w:rPr>
          <w:rFonts w:ascii="宋体" w:hAnsi="宋体" w:cs="仿宋"/>
          <w:sz w:val="28"/>
          <w:szCs w:val="28"/>
          <w:highlight w:val="none"/>
        </w:rPr>
      </w:pPr>
      <w:r>
        <w:rPr>
          <w:rFonts w:hint="eastAsia" w:ascii="宋体" w:hAnsi="宋体" w:cs="仿宋"/>
          <w:sz w:val="28"/>
          <w:szCs w:val="28"/>
          <w:highlight w:val="none"/>
        </w:rPr>
        <w:t>（</w:t>
      </w:r>
      <w:r>
        <w:rPr>
          <w:rFonts w:ascii="宋体" w:hAnsi="宋体" w:cs="仿宋"/>
          <w:sz w:val="28"/>
          <w:szCs w:val="28"/>
          <w:highlight w:val="none"/>
        </w:rPr>
        <w:t>1</w:t>
      </w:r>
      <w:r>
        <w:rPr>
          <w:rFonts w:hint="eastAsia" w:ascii="宋体" w:hAnsi="宋体" w:cs="仿宋"/>
          <w:sz w:val="28"/>
          <w:szCs w:val="28"/>
          <w:highlight w:val="none"/>
        </w:rPr>
        <w:t>）报价供应商之间约定成交供应商的；</w:t>
      </w:r>
    </w:p>
    <w:p w14:paraId="64D11941">
      <w:pPr>
        <w:spacing w:line="560" w:lineRule="exact"/>
        <w:ind w:firstLine="560" w:firstLineChars="200"/>
        <w:rPr>
          <w:rFonts w:ascii="宋体" w:hAnsi="宋体" w:cs="仿宋"/>
          <w:sz w:val="28"/>
          <w:szCs w:val="28"/>
          <w:highlight w:val="none"/>
        </w:rPr>
      </w:pPr>
      <w:r>
        <w:rPr>
          <w:rFonts w:hint="eastAsia" w:ascii="宋体" w:hAnsi="宋体" w:cs="仿宋"/>
          <w:sz w:val="28"/>
          <w:szCs w:val="28"/>
          <w:highlight w:val="none"/>
        </w:rPr>
        <w:t>（</w:t>
      </w:r>
      <w:r>
        <w:rPr>
          <w:rFonts w:ascii="宋体" w:hAnsi="宋体" w:cs="仿宋"/>
          <w:sz w:val="28"/>
          <w:szCs w:val="28"/>
          <w:highlight w:val="none"/>
        </w:rPr>
        <w:t>2</w:t>
      </w:r>
      <w:r>
        <w:rPr>
          <w:rFonts w:hint="eastAsia" w:ascii="宋体" w:hAnsi="宋体" w:cs="仿宋"/>
          <w:sz w:val="28"/>
          <w:szCs w:val="28"/>
          <w:highlight w:val="none"/>
        </w:rPr>
        <w:t>）报价供应商之间约定部分放弃报价或成交的；</w:t>
      </w:r>
    </w:p>
    <w:p w14:paraId="345B8C05">
      <w:pPr>
        <w:spacing w:line="560" w:lineRule="exact"/>
        <w:ind w:firstLine="560" w:firstLineChars="200"/>
        <w:rPr>
          <w:rFonts w:ascii="宋体" w:hAnsi="宋体" w:cs="仿宋"/>
          <w:sz w:val="28"/>
          <w:szCs w:val="28"/>
          <w:highlight w:val="none"/>
        </w:rPr>
      </w:pPr>
      <w:r>
        <w:rPr>
          <w:rFonts w:hint="eastAsia" w:ascii="宋体" w:hAnsi="宋体" w:cs="仿宋"/>
          <w:sz w:val="28"/>
          <w:szCs w:val="28"/>
          <w:highlight w:val="none"/>
        </w:rPr>
        <w:t>（</w:t>
      </w:r>
      <w:r>
        <w:rPr>
          <w:rFonts w:ascii="宋体" w:hAnsi="宋体" w:cs="仿宋"/>
          <w:sz w:val="28"/>
          <w:szCs w:val="28"/>
          <w:highlight w:val="none"/>
        </w:rPr>
        <w:t>3</w:t>
      </w:r>
      <w:r>
        <w:rPr>
          <w:rFonts w:hint="eastAsia" w:ascii="宋体" w:hAnsi="宋体" w:cs="仿宋"/>
          <w:sz w:val="28"/>
          <w:szCs w:val="28"/>
          <w:highlight w:val="none"/>
        </w:rPr>
        <w:t>）同一集团成员的报价供应商按照该集团要求协同报价的；</w:t>
      </w:r>
    </w:p>
    <w:p w14:paraId="5A42F8C3">
      <w:pPr>
        <w:spacing w:line="560" w:lineRule="exact"/>
        <w:ind w:firstLine="560" w:firstLineChars="200"/>
        <w:rPr>
          <w:rFonts w:ascii="宋体" w:hAnsi="宋体" w:cs="仿宋"/>
          <w:sz w:val="28"/>
          <w:szCs w:val="28"/>
          <w:highlight w:val="none"/>
        </w:rPr>
      </w:pPr>
      <w:r>
        <w:rPr>
          <w:rFonts w:hint="eastAsia" w:ascii="宋体" w:hAnsi="宋体" w:cs="仿宋"/>
          <w:sz w:val="28"/>
          <w:szCs w:val="28"/>
          <w:highlight w:val="none"/>
        </w:rPr>
        <w:t>（</w:t>
      </w:r>
      <w:r>
        <w:rPr>
          <w:rFonts w:ascii="宋体" w:hAnsi="宋体" w:cs="仿宋"/>
          <w:sz w:val="28"/>
          <w:szCs w:val="28"/>
          <w:highlight w:val="none"/>
        </w:rPr>
        <w:t>4</w:t>
      </w:r>
      <w:r>
        <w:rPr>
          <w:rFonts w:hint="eastAsia" w:ascii="宋体" w:hAnsi="宋体" w:cs="仿宋"/>
          <w:sz w:val="28"/>
          <w:szCs w:val="28"/>
          <w:highlight w:val="none"/>
        </w:rPr>
        <w:t>）报价供应商之间为谋取成交或排斥特定报价供应商而采取其他联合行动的；</w:t>
      </w:r>
    </w:p>
    <w:p w14:paraId="07942806">
      <w:pPr>
        <w:spacing w:line="560" w:lineRule="exact"/>
        <w:ind w:firstLine="560" w:firstLineChars="200"/>
        <w:rPr>
          <w:rFonts w:ascii="宋体" w:hAnsi="宋体" w:cs="仿宋"/>
          <w:sz w:val="28"/>
          <w:szCs w:val="28"/>
          <w:highlight w:val="none"/>
        </w:rPr>
      </w:pPr>
      <w:r>
        <w:rPr>
          <w:rFonts w:hint="eastAsia" w:ascii="宋体" w:hAnsi="宋体" w:cs="仿宋"/>
          <w:sz w:val="28"/>
          <w:szCs w:val="28"/>
          <w:highlight w:val="none"/>
        </w:rPr>
        <w:t>（</w:t>
      </w:r>
      <w:r>
        <w:rPr>
          <w:rFonts w:ascii="宋体" w:hAnsi="宋体" w:cs="仿宋"/>
          <w:sz w:val="28"/>
          <w:szCs w:val="28"/>
          <w:highlight w:val="none"/>
        </w:rPr>
        <w:t>5</w:t>
      </w:r>
      <w:r>
        <w:rPr>
          <w:rFonts w:hint="eastAsia" w:ascii="宋体" w:hAnsi="宋体" w:cs="仿宋"/>
          <w:sz w:val="28"/>
          <w:szCs w:val="28"/>
          <w:highlight w:val="none"/>
        </w:rPr>
        <w:t>）国家和</w:t>
      </w:r>
      <w:r>
        <w:rPr>
          <w:rFonts w:ascii="宋体" w:hAnsi="宋体" w:cs="仿宋"/>
          <w:sz w:val="28"/>
          <w:szCs w:val="28"/>
          <w:highlight w:val="none"/>
        </w:rPr>
        <w:t>军队法律法规规定的其他情形。</w:t>
      </w:r>
    </w:p>
    <w:p w14:paraId="2A58281B">
      <w:pPr>
        <w:spacing w:line="560" w:lineRule="exact"/>
        <w:ind w:firstLine="560" w:firstLineChars="200"/>
        <w:rPr>
          <w:rFonts w:ascii="宋体" w:hAnsi="宋体"/>
          <w:sz w:val="28"/>
          <w:szCs w:val="28"/>
          <w:highlight w:val="none"/>
        </w:rPr>
      </w:pPr>
      <w:r>
        <w:rPr>
          <w:rFonts w:ascii="宋体" w:hAnsi="宋体"/>
          <w:sz w:val="28"/>
          <w:szCs w:val="28"/>
          <w:highlight w:val="none"/>
        </w:rPr>
        <w:t>37.4</w:t>
      </w:r>
      <w:r>
        <w:rPr>
          <w:rFonts w:hint="eastAsia" w:ascii="宋体" w:hAnsi="宋体"/>
          <w:sz w:val="28"/>
          <w:szCs w:val="28"/>
          <w:highlight w:val="none"/>
        </w:rPr>
        <w:t>有下列情形之一的，视为报价供应商相互串通报价，按照无效报价处理：</w:t>
      </w:r>
    </w:p>
    <w:p w14:paraId="77265836">
      <w:pPr>
        <w:spacing w:line="560" w:lineRule="exact"/>
        <w:ind w:firstLine="560" w:firstLineChars="200"/>
        <w:rPr>
          <w:rFonts w:ascii="宋体" w:hAnsi="宋体" w:cs="仿宋"/>
          <w:sz w:val="28"/>
          <w:szCs w:val="28"/>
          <w:highlight w:val="none"/>
        </w:rPr>
      </w:pPr>
      <w:r>
        <w:rPr>
          <w:rFonts w:hint="eastAsia" w:ascii="宋体" w:hAnsi="宋体" w:cs="仿宋"/>
          <w:sz w:val="28"/>
          <w:szCs w:val="28"/>
          <w:highlight w:val="none"/>
        </w:rPr>
        <w:t>（</w:t>
      </w:r>
      <w:r>
        <w:rPr>
          <w:rFonts w:ascii="宋体" w:hAnsi="宋体" w:cs="仿宋"/>
          <w:sz w:val="28"/>
          <w:szCs w:val="28"/>
          <w:highlight w:val="none"/>
        </w:rPr>
        <w:t>1</w:t>
      </w:r>
      <w:r>
        <w:rPr>
          <w:rFonts w:hint="eastAsia" w:ascii="宋体" w:hAnsi="宋体" w:cs="仿宋"/>
          <w:sz w:val="28"/>
          <w:szCs w:val="28"/>
          <w:highlight w:val="none"/>
        </w:rPr>
        <w:t>）不同报价供应商的报价文件由同一单位或个人编制的，以及报价使用同一加密锁或具有相同</w:t>
      </w:r>
      <w:r>
        <w:rPr>
          <w:rFonts w:ascii="宋体" w:hAnsi="宋体" w:cs="仿宋"/>
          <w:sz w:val="28"/>
          <w:szCs w:val="28"/>
          <w:highlight w:val="none"/>
        </w:rPr>
        <w:t>Mac地址的；</w:t>
      </w:r>
    </w:p>
    <w:p w14:paraId="442EE068">
      <w:pPr>
        <w:spacing w:line="560" w:lineRule="exact"/>
        <w:ind w:firstLine="560" w:firstLineChars="200"/>
        <w:rPr>
          <w:rFonts w:ascii="宋体" w:hAnsi="宋体" w:cs="仿宋"/>
          <w:sz w:val="28"/>
          <w:szCs w:val="28"/>
          <w:highlight w:val="none"/>
        </w:rPr>
      </w:pPr>
      <w:r>
        <w:rPr>
          <w:rFonts w:hint="eastAsia" w:ascii="宋体" w:hAnsi="宋体" w:cs="仿宋"/>
          <w:sz w:val="28"/>
          <w:szCs w:val="28"/>
          <w:highlight w:val="none"/>
        </w:rPr>
        <w:t>（</w:t>
      </w:r>
      <w:r>
        <w:rPr>
          <w:rFonts w:ascii="宋体" w:hAnsi="宋体" w:cs="仿宋"/>
          <w:sz w:val="28"/>
          <w:szCs w:val="28"/>
          <w:highlight w:val="none"/>
        </w:rPr>
        <w:t>2</w:t>
      </w:r>
      <w:r>
        <w:rPr>
          <w:rFonts w:hint="eastAsia" w:ascii="宋体" w:hAnsi="宋体" w:cs="仿宋"/>
          <w:sz w:val="28"/>
          <w:szCs w:val="28"/>
          <w:highlight w:val="none"/>
        </w:rPr>
        <w:t>）不同报价供应商委托同一单位或个人办理报价事宜的；</w:t>
      </w:r>
    </w:p>
    <w:p w14:paraId="314FD973">
      <w:pPr>
        <w:spacing w:line="560" w:lineRule="exact"/>
        <w:ind w:firstLine="560" w:firstLineChars="200"/>
        <w:rPr>
          <w:rFonts w:ascii="宋体" w:hAnsi="宋体" w:cs="仿宋"/>
          <w:sz w:val="28"/>
          <w:szCs w:val="28"/>
          <w:highlight w:val="none"/>
        </w:rPr>
      </w:pPr>
      <w:r>
        <w:rPr>
          <w:rFonts w:hint="eastAsia" w:ascii="宋体" w:hAnsi="宋体" w:cs="仿宋"/>
          <w:sz w:val="28"/>
          <w:szCs w:val="28"/>
          <w:highlight w:val="none"/>
        </w:rPr>
        <w:t>（</w:t>
      </w:r>
      <w:r>
        <w:rPr>
          <w:rFonts w:ascii="宋体" w:hAnsi="宋体" w:cs="仿宋"/>
          <w:sz w:val="28"/>
          <w:szCs w:val="28"/>
          <w:highlight w:val="none"/>
        </w:rPr>
        <w:t>3</w:t>
      </w:r>
      <w:r>
        <w:rPr>
          <w:rFonts w:hint="eastAsia" w:ascii="宋体" w:hAnsi="宋体" w:cs="仿宋"/>
          <w:sz w:val="28"/>
          <w:szCs w:val="28"/>
          <w:highlight w:val="none"/>
        </w:rPr>
        <w:t>）不同报价供应商的报价文件载明的项目管理成员为同一人的；</w:t>
      </w:r>
    </w:p>
    <w:p w14:paraId="511A0B31">
      <w:pPr>
        <w:spacing w:line="560" w:lineRule="exact"/>
        <w:ind w:firstLine="560" w:firstLineChars="200"/>
        <w:rPr>
          <w:rFonts w:ascii="宋体" w:hAnsi="宋体" w:cs="仿宋"/>
          <w:sz w:val="28"/>
          <w:szCs w:val="28"/>
          <w:highlight w:val="none"/>
        </w:rPr>
      </w:pPr>
      <w:r>
        <w:rPr>
          <w:rFonts w:hint="eastAsia" w:ascii="宋体" w:hAnsi="宋体" w:cs="仿宋"/>
          <w:sz w:val="28"/>
          <w:szCs w:val="28"/>
          <w:highlight w:val="none"/>
        </w:rPr>
        <w:t>（</w:t>
      </w:r>
      <w:r>
        <w:rPr>
          <w:rFonts w:ascii="宋体" w:hAnsi="宋体" w:cs="仿宋"/>
          <w:sz w:val="28"/>
          <w:szCs w:val="28"/>
          <w:highlight w:val="none"/>
        </w:rPr>
        <w:t>4</w:t>
      </w:r>
      <w:r>
        <w:rPr>
          <w:rFonts w:hint="eastAsia" w:ascii="宋体" w:hAnsi="宋体" w:cs="仿宋"/>
          <w:sz w:val="28"/>
          <w:szCs w:val="28"/>
          <w:highlight w:val="none"/>
        </w:rPr>
        <w:t>）不同报价供应商的报价文件异常一致或报价呈规律性差异的；</w:t>
      </w:r>
    </w:p>
    <w:p w14:paraId="49F7BAB2">
      <w:pPr>
        <w:spacing w:line="560" w:lineRule="exact"/>
        <w:ind w:firstLine="560" w:firstLineChars="200"/>
        <w:rPr>
          <w:rFonts w:ascii="宋体" w:hAnsi="宋体" w:cs="仿宋"/>
          <w:sz w:val="28"/>
          <w:szCs w:val="28"/>
          <w:highlight w:val="none"/>
        </w:rPr>
      </w:pPr>
      <w:r>
        <w:rPr>
          <w:rFonts w:hint="eastAsia" w:ascii="宋体" w:hAnsi="宋体" w:cs="仿宋"/>
          <w:sz w:val="28"/>
          <w:szCs w:val="28"/>
          <w:highlight w:val="none"/>
        </w:rPr>
        <w:t>（</w:t>
      </w:r>
      <w:r>
        <w:rPr>
          <w:rFonts w:ascii="宋体" w:hAnsi="宋体" w:cs="仿宋"/>
          <w:sz w:val="28"/>
          <w:szCs w:val="28"/>
          <w:highlight w:val="none"/>
        </w:rPr>
        <w:t>5</w:t>
      </w:r>
      <w:r>
        <w:rPr>
          <w:rFonts w:hint="eastAsia" w:ascii="宋体" w:hAnsi="宋体" w:cs="仿宋"/>
          <w:sz w:val="28"/>
          <w:szCs w:val="28"/>
          <w:highlight w:val="none"/>
        </w:rPr>
        <w:t>）不同报价供应商的报价文件混装、签章混用的；</w:t>
      </w:r>
    </w:p>
    <w:p w14:paraId="175725E3">
      <w:pPr>
        <w:spacing w:line="560" w:lineRule="exact"/>
        <w:ind w:firstLine="560" w:firstLineChars="200"/>
        <w:rPr>
          <w:rFonts w:ascii="宋体" w:hAnsi="宋体" w:cs="仿宋"/>
          <w:sz w:val="28"/>
          <w:szCs w:val="28"/>
          <w:highlight w:val="none"/>
        </w:rPr>
      </w:pPr>
      <w:r>
        <w:rPr>
          <w:rFonts w:hint="eastAsia" w:ascii="宋体" w:hAnsi="宋体" w:cs="仿宋"/>
          <w:sz w:val="28"/>
          <w:szCs w:val="28"/>
          <w:highlight w:val="none"/>
        </w:rPr>
        <w:t>（</w:t>
      </w:r>
      <w:r>
        <w:rPr>
          <w:rFonts w:ascii="宋体" w:hAnsi="宋体" w:cs="仿宋"/>
          <w:sz w:val="28"/>
          <w:szCs w:val="28"/>
          <w:highlight w:val="none"/>
        </w:rPr>
        <w:t>6</w:t>
      </w:r>
      <w:r>
        <w:rPr>
          <w:rFonts w:hint="eastAsia" w:ascii="宋体" w:hAnsi="宋体" w:cs="仿宋"/>
          <w:sz w:val="28"/>
          <w:szCs w:val="28"/>
          <w:highlight w:val="none"/>
        </w:rPr>
        <w:t>）不同报价供应商的报价保证金从同一单位或个人的账户转出的；</w:t>
      </w:r>
    </w:p>
    <w:p w14:paraId="27DC3448">
      <w:pPr>
        <w:spacing w:line="560" w:lineRule="exact"/>
        <w:ind w:firstLine="560" w:firstLineChars="200"/>
        <w:rPr>
          <w:rFonts w:ascii="宋体" w:hAnsi="宋体" w:cs="仿宋"/>
          <w:sz w:val="28"/>
          <w:szCs w:val="28"/>
          <w:highlight w:val="none"/>
        </w:rPr>
      </w:pPr>
      <w:r>
        <w:rPr>
          <w:rFonts w:hint="eastAsia" w:ascii="宋体" w:hAnsi="宋体" w:cs="仿宋"/>
          <w:sz w:val="28"/>
          <w:szCs w:val="28"/>
          <w:highlight w:val="none"/>
        </w:rPr>
        <w:t>（</w:t>
      </w:r>
      <w:r>
        <w:rPr>
          <w:rFonts w:ascii="宋体" w:hAnsi="宋体" w:cs="仿宋"/>
          <w:sz w:val="28"/>
          <w:szCs w:val="28"/>
          <w:highlight w:val="none"/>
        </w:rPr>
        <w:t>7</w:t>
      </w:r>
      <w:r>
        <w:rPr>
          <w:rFonts w:hint="eastAsia" w:ascii="宋体" w:hAnsi="宋体" w:cs="仿宋"/>
          <w:sz w:val="28"/>
          <w:szCs w:val="28"/>
          <w:highlight w:val="none"/>
        </w:rPr>
        <w:t>）国家和</w:t>
      </w:r>
      <w:r>
        <w:rPr>
          <w:rFonts w:ascii="宋体" w:hAnsi="宋体" w:cs="仿宋"/>
          <w:sz w:val="28"/>
          <w:szCs w:val="28"/>
          <w:highlight w:val="none"/>
        </w:rPr>
        <w:t>军队法律法规规定的其他情形。</w:t>
      </w:r>
    </w:p>
    <w:p w14:paraId="3273492A">
      <w:pPr>
        <w:spacing w:line="560" w:lineRule="exact"/>
        <w:ind w:firstLine="560" w:firstLineChars="200"/>
        <w:rPr>
          <w:rFonts w:ascii="宋体" w:hAnsi="宋体"/>
          <w:sz w:val="28"/>
          <w:szCs w:val="28"/>
          <w:highlight w:val="none"/>
        </w:rPr>
      </w:pPr>
      <w:r>
        <w:rPr>
          <w:rFonts w:ascii="宋体" w:hAnsi="宋体"/>
          <w:sz w:val="28"/>
          <w:szCs w:val="28"/>
          <w:highlight w:val="none"/>
        </w:rPr>
        <w:t>37.5</w:t>
      </w:r>
      <w:r>
        <w:rPr>
          <w:rFonts w:hint="eastAsia" w:ascii="宋体" w:hAnsi="宋体"/>
          <w:sz w:val="28"/>
          <w:szCs w:val="28"/>
          <w:highlight w:val="none"/>
        </w:rPr>
        <w:t>有下列情形之一的，属于采购机构、采购单位与报价供应商串通报价，按照无效报价处理：</w:t>
      </w:r>
    </w:p>
    <w:p w14:paraId="5C16FF51">
      <w:pPr>
        <w:spacing w:line="560" w:lineRule="exact"/>
        <w:ind w:firstLine="560" w:firstLineChars="200"/>
        <w:rPr>
          <w:rFonts w:ascii="宋体" w:hAnsi="宋体" w:cs="仿宋"/>
          <w:sz w:val="28"/>
          <w:szCs w:val="28"/>
          <w:highlight w:val="none"/>
        </w:rPr>
      </w:pPr>
      <w:r>
        <w:rPr>
          <w:rFonts w:hint="eastAsia" w:ascii="宋体" w:hAnsi="宋体" w:cs="仿宋"/>
          <w:sz w:val="28"/>
          <w:szCs w:val="28"/>
          <w:highlight w:val="none"/>
        </w:rPr>
        <w:t>（</w:t>
      </w:r>
      <w:r>
        <w:rPr>
          <w:rFonts w:ascii="宋体" w:hAnsi="宋体" w:cs="仿宋"/>
          <w:sz w:val="28"/>
          <w:szCs w:val="28"/>
          <w:highlight w:val="none"/>
        </w:rPr>
        <w:t>1</w:t>
      </w:r>
      <w:r>
        <w:rPr>
          <w:rFonts w:hint="eastAsia" w:ascii="宋体" w:hAnsi="宋体" w:cs="仿宋"/>
          <w:sz w:val="28"/>
          <w:szCs w:val="28"/>
          <w:highlight w:val="none"/>
        </w:rPr>
        <w:t>）在谈判前开启报价文件并将有关信息泄露给其他报价供应商的；</w:t>
      </w:r>
    </w:p>
    <w:p w14:paraId="22A26460">
      <w:pPr>
        <w:spacing w:line="560" w:lineRule="exact"/>
        <w:ind w:firstLine="560" w:firstLineChars="200"/>
        <w:rPr>
          <w:rFonts w:ascii="宋体" w:hAnsi="宋体" w:cs="仿宋"/>
          <w:sz w:val="28"/>
          <w:szCs w:val="28"/>
          <w:highlight w:val="none"/>
        </w:rPr>
      </w:pPr>
      <w:r>
        <w:rPr>
          <w:rFonts w:hint="eastAsia" w:ascii="宋体" w:hAnsi="宋体" w:cs="仿宋"/>
          <w:sz w:val="28"/>
          <w:szCs w:val="28"/>
          <w:highlight w:val="none"/>
        </w:rPr>
        <w:t>（</w:t>
      </w:r>
      <w:r>
        <w:rPr>
          <w:rFonts w:ascii="宋体" w:hAnsi="宋体" w:cs="仿宋"/>
          <w:sz w:val="28"/>
          <w:szCs w:val="28"/>
          <w:highlight w:val="none"/>
        </w:rPr>
        <w:t>2</w:t>
      </w:r>
      <w:r>
        <w:rPr>
          <w:rFonts w:hint="eastAsia" w:ascii="宋体" w:hAnsi="宋体" w:cs="仿宋"/>
          <w:sz w:val="28"/>
          <w:szCs w:val="28"/>
          <w:highlight w:val="none"/>
        </w:rPr>
        <w:t>）直接或间接向报价供应商泄露评审委员会成员信息的；</w:t>
      </w:r>
    </w:p>
    <w:p w14:paraId="62D466FF">
      <w:pPr>
        <w:spacing w:line="560" w:lineRule="exact"/>
        <w:ind w:firstLine="560" w:firstLineChars="200"/>
        <w:rPr>
          <w:rFonts w:ascii="宋体" w:hAnsi="宋体" w:cs="仿宋"/>
          <w:sz w:val="28"/>
          <w:szCs w:val="28"/>
          <w:highlight w:val="none"/>
        </w:rPr>
      </w:pPr>
      <w:r>
        <w:rPr>
          <w:rFonts w:hint="eastAsia" w:ascii="宋体" w:hAnsi="宋体" w:cs="仿宋"/>
          <w:sz w:val="28"/>
          <w:szCs w:val="28"/>
          <w:highlight w:val="none"/>
        </w:rPr>
        <w:t>（</w:t>
      </w:r>
      <w:r>
        <w:rPr>
          <w:rFonts w:ascii="宋体" w:hAnsi="宋体" w:cs="仿宋"/>
          <w:sz w:val="28"/>
          <w:szCs w:val="28"/>
          <w:highlight w:val="none"/>
        </w:rPr>
        <w:t>3</w:t>
      </w:r>
      <w:r>
        <w:rPr>
          <w:rFonts w:hint="eastAsia" w:ascii="宋体" w:hAnsi="宋体" w:cs="仿宋"/>
          <w:sz w:val="28"/>
          <w:szCs w:val="28"/>
          <w:highlight w:val="none"/>
        </w:rPr>
        <w:t>）明示或暗示报价供应商压低或抬高报价价格的；</w:t>
      </w:r>
    </w:p>
    <w:p w14:paraId="68449B9F">
      <w:pPr>
        <w:spacing w:line="560" w:lineRule="exact"/>
        <w:ind w:firstLine="560" w:firstLineChars="200"/>
        <w:rPr>
          <w:rFonts w:ascii="宋体" w:hAnsi="宋体" w:cs="仿宋"/>
          <w:sz w:val="28"/>
          <w:szCs w:val="28"/>
          <w:highlight w:val="none"/>
        </w:rPr>
      </w:pPr>
      <w:r>
        <w:rPr>
          <w:rFonts w:hint="eastAsia" w:ascii="宋体" w:hAnsi="宋体" w:cs="仿宋"/>
          <w:sz w:val="28"/>
          <w:szCs w:val="28"/>
          <w:highlight w:val="none"/>
        </w:rPr>
        <w:t>（</w:t>
      </w:r>
      <w:r>
        <w:rPr>
          <w:rFonts w:ascii="宋体" w:hAnsi="宋体" w:cs="仿宋"/>
          <w:sz w:val="28"/>
          <w:szCs w:val="28"/>
          <w:highlight w:val="none"/>
        </w:rPr>
        <w:t>4</w:t>
      </w:r>
      <w:r>
        <w:rPr>
          <w:rFonts w:hint="eastAsia" w:ascii="宋体" w:hAnsi="宋体" w:cs="仿宋"/>
          <w:sz w:val="28"/>
          <w:szCs w:val="28"/>
          <w:highlight w:val="none"/>
        </w:rPr>
        <w:t>）授意报价供应商撤换、修改报价文件的；</w:t>
      </w:r>
    </w:p>
    <w:p w14:paraId="47EEB80F">
      <w:pPr>
        <w:spacing w:line="560" w:lineRule="exact"/>
        <w:ind w:firstLine="560" w:firstLineChars="200"/>
        <w:rPr>
          <w:rFonts w:ascii="宋体" w:hAnsi="宋体" w:cs="仿宋"/>
          <w:sz w:val="28"/>
          <w:szCs w:val="28"/>
          <w:highlight w:val="none"/>
        </w:rPr>
      </w:pPr>
      <w:r>
        <w:rPr>
          <w:rFonts w:hint="eastAsia" w:ascii="宋体" w:hAnsi="宋体" w:cs="仿宋"/>
          <w:sz w:val="28"/>
          <w:szCs w:val="28"/>
          <w:highlight w:val="none"/>
        </w:rPr>
        <w:t>（</w:t>
      </w:r>
      <w:r>
        <w:rPr>
          <w:rFonts w:ascii="宋体" w:hAnsi="宋体" w:cs="仿宋"/>
          <w:sz w:val="28"/>
          <w:szCs w:val="28"/>
          <w:highlight w:val="none"/>
        </w:rPr>
        <w:t>5</w:t>
      </w:r>
      <w:r>
        <w:rPr>
          <w:rFonts w:hint="eastAsia" w:ascii="宋体" w:hAnsi="宋体" w:cs="仿宋"/>
          <w:sz w:val="28"/>
          <w:szCs w:val="28"/>
          <w:highlight w:val="none"/>
        </w:rPr>
        <w:t>）明示或暗示报价供应商为特定报价供应商成交提供方便的；</w:t>
      </w:r>
    </w:p>
    <w:p w14:paraId="203C7A8E">
      <w:pPr>
        <w:spacing w:line="560" w:lineRule="exact"/>
        <w:ind w:firstLine="560" w:firstLineChars="200"/>
        <w:rPr>
          <w:rFonts w:ascii="宋体" w:hAnsi="宋体" w:cs="仿宋"/>
          <w:sz w:val="28"/>
          <w:szCs w:val="28"/>
          <w:highlight w:val="none"/>
        </w:rPr>
      </w:pPr>
      <w:r>
        <w:rPr>
          <w:rFonts w:hint="eastAsia" w:ascii="宋体" w:hAnsi="宋体" w:cs="仿宋"/>
          <w:sz w:val="28"/>
          <w:szCs w:val="28"/>
          <w:highlight w:val="none"/>
        </w:rPr>
        <w:t>（</w:t>
      </w:r>
      <w:r>
        <w:rPr>
          <w:rFonts w:ascii="宋体" w:hAnsi="宋体" w:cs="仿宋"/>
          <w:sz w:val="28"/>
          <w:szCs w:val="28"/>
          <w:highlight w:val="none"/>
        </w:rPr>
        <w:t>6</w:t>
      </w:r>
      <w:r>
        <w:rPr>
          <w:rFonts w:hint="eastAsia" w:ascii="宋体" w:hAnsi="宋体" w:cs="仿宋"/>
          <w:sz w:val="28"/>
          <w:szCs w:val="28"/>
          <w:highlight w:val="none"/>
        </w:rPr>
        <w:t>）明示或暗示评审委员会为特定报价供应商成交提供方便的；</w:t>
      </w:r>
    </w:p>
    <w:p w14:paraId="6BAFAAD1">
      <w:pPr>
        <w:spacing w:line="560" w:lineRule="exact"/>
        <w:ind w:firstLine="560" w:firstLineChars="200"/>
        <w:rPr>
          <w:rFonts w:ascii="宋体" w:hAnsi="宋体" w:cs="仿宋"/>
          <w:sz w:val="28"/>
          <w:szCs w:val="28"/>
          <w:highlight w:val="none"/>
        </w:rPr>
      </w:pPr>
      <w:r>
        <w:rPr>
          <w:rFonts w:hint="eastAsia" w:ascii="宋体" w:hAnsi="宋体" w:cs="仿宋"/>
          <w:sz w:val="28"/>
          <w:szCs w:val="28"/>
          <w:highlight w:val="none"/>
        </w:rPr>
        <w:t>（</w:t>
      </w:r>
      <w:r>
        <w:rPr>
          <w:rFonts w:ascii="宋体" w:hAnsi="宋体" w:cs="仿宋"/>
          <w:sz w:val="28"/>
          <w:szCs w:val="28"/>
          <w:highlight w:val="none"/>
        </w:rPr>
        <w:t>7</w:t>
      </w:r>
      <w:r>
        <w:rPr>
          <w:rFonts w:hint="eastAsia" w:ascii="宋体" w:hAnsi="宋体" w:cs="仿宋"/>
          <w:sz w:val="28"/>
          <w:szCs w:val="28"/>
          <w:highlight w:val="none"/>
        </w:rPr>
        <w:t>）在报价前与报价供应商就采购项目进行实质性谈判的；</w:t>
      </w:r>
    </w:p>
    <w:p w14:paraId="74329933">
      <w:pPr>
        <w:spacing w:line="560" w:lineRule="exact"/>
        <w:ind w:firstLine="560" w:firstLineChars="200"/>
        <w:rPr>
          <w:rFonts w:ascii="宋体" w:hAnsi="宋体" w:cs="仿宋"/>
          <w:sz w:val="28"/>
          <w:szCs w:val="28"/>
          <w:highlight w:val="none"/>
        </w:rPr>
      </w:pPr>
      <w:r>
        <w:rPr>
          <w:rFonts w:hint="eastAsia" w:ascii="宋体" w:hAnsi="宋体" w:cs="仿宋"/>
          <w:sz w:val="28"/>
          <w:szCs w:val="28"/>
          <w:highlight w:val="none"/>
        </w:rPr>
        <w:t>（</w:t>
      </w:r>
      <w:r>
        <w:rPr>
          <w:rFonts w:ascii="宋体" w:hAnsi="宋体" w:cs="仿宋"/>
          <w:sz w:val="28"/>
          <w:szCs w:val="28"/>
          <w:highlight w:val="none"/>
        </w:rPr>
        <w:t>8</w:t>
      </w:r>
      <w:r>
        <w:rPr>
          <w:rFonts w:hint="eastAsia" w:ascii="宋体" w:hAnsi="宋体" w:cs="仿宋"/>
          <w:sz w:val="28"/>
          <w:szCs w:val="28"/>
          <w:highlight w:val="none"/>
        </w:rPr>
        <w:t>）与报价供应商为谋求特定报价供应商成交而采取其他串通行为的；</w:t>
      </w:r>
    </w:p>
    <w:p w14:paraId="22B7931A">
      <w:pPr>
        <w:spacing w:line="560" w:lineRule="exact"/>
        <w:ind w:firstLine="560" w:firstLineChars="200"/>
        <w:rPr>
          <w:rFonts w:ascii="宋体" w:hAnsi="宋体" w:cs="仿宋"/>
          <w:sz w:val="28"/>
          <w:szCs w:val="28"/>
          <w:highlight w:val="none"/>
        </w:rPr>
      </w:pPr>
      <w:r>
        <w:rPr>
          <w:rFonts w:hint="eastAsia" w:ascii="宋体" w:hAnsi="宋体" w:cs="仿宋"/>
          <w:sz w:val="28"/>
          <w:szCs w:val="28"/>
          <w:highlight w:val="none"/>
        </w:rPr>
        <w:t>（</w:t>
      </w:r>
      <w:r>
        <w:rPr>
          <w:rFonts w:ascii="宋体" w:hAnsi="宋体" w:cs="仿宋"/>
          <w:sz w:val="28"/>
          <w:szCs w:val="28"/>
          <w:highlight w:val="none"/>
        </w:rPr>
        <w:t>9</w:t>
      </w:r>
      <w:r>
        <w:rPr>
          <w:rFonts w:hint="eastAsia" w:ascii="宋体" w:hAnsi="宋体" w:cs="仿宋"/>
          <w:sz w:val="28"/>
          <w:szCs w:val="28"/>
          <w:highlight w:val="none"/>
        </w:rPr>
        <w:t>）国家和</w:t>
      </w:r>
      <w:r>
        <w:rPr>
          <w:rFonts w:ascii="宋体" w:hAnsi="宋体" w:cs="仿宋"/>
          <w:sz w:val="28"/>
          <w:szCs w:val="28"/>
          <w:highlight w:val="none"/>
        </w:rPr>
        <w:t>军队法律法规规定的其他情形。</w:t>
      </w:r>
    </w:p>
    <w:p w14:paraId="7B2F72C8">
      <w:pPr>
        <w:spacing w:line="560" w:lineRule="exact"/>
        <w:ind w:firstLine="560" w:firstLineChars="200"/>
        <w:rPr>
          <w:rFonts w:ascii="宋体" w:hAnsi="宋体"/>
          <w:sz w:val="28"/>
          <w:szCs w:val="28"/>
          <w:highlight w:val="none"/>
        </w:rPr>
      </w:pPr>
      <w:r>
        <w:rPr>
          <w:rFonts w:ascii="宋体" w:hAnsi="宋体"/>
          <w:sz w:val="28"/>
          <w:szCs w:val="28"/>
          <w:highlight w:val="none"/>
        </w:rPr>
        <w:t>37.6</w:t>
      </w:r>
      <w:r>
        <w:rPr>
          <w:rFonts w:hint="eastAsia" w:ascii="宋体" w:hAnsi="宋体"/>
          <w:sz w:val="28"/>
          <w:szCs w:val="28"/>
          <w:highlight w:val="none"/>
        </w:rPr>
        <w:t>有下列情形之一的，属于虚假报价，按照无效报价处理：</w:t>
      </w:r>
    </w:p>
    <w:p w14:paraId="38C22E55">
      <w:pPr>
        <w:spacing w:line="560" w:lineRule="exact"/>
        <w:ind w:firstLine="560" w:firstLineChars="200"/>
        <w:rPr>
          <w:rFonts w:ascii="宋体" w:hAnsi="宋体" w:cs="仿宋"/>
          <w:sz w:val="28"/>
          <w:szCs w:val="28"/>
          <w:highlight w:val="none"/>
        </w:rPr>
      </w:pPr>
      <w:r>
        <w:rPr>
          <w:rFonts w:hint="eastAsia" w:ascii="宋体" w:hAnsi="宋体" w:cs="仿宋"/>
          <w:sz w:val="28"/>
          <w:szCs w:val="28"/>
          <w:highlight w:val="none"/>
        </w:rPr>
        <w:t>（</w:t>
      </w:r>
      <w:r>
        <w:rPr>
          <w:rFonts w:ascii="宋体" w:hAnsi="宋体" w:cs="仿宋"/>
          <w:sz w:val="28"/>
          <w:szCs w:val="28"/>
          <w:highlight w:val="none"/>
        </w:rPr>
        <w:t>1</w:t>
      </w:r>
      <w:r>
        <w:rPr>
          <w:rFonts w:hint="eastAsia" w:ascii="宋体" w:hAnsi="宋体" w:cs="仿宋"/>
          <w:sz w:val="28"/>
          <w:szCs w:val="28"/>
          <w:highlight w:val="none"/>
        </w:rPr>
        <w:t>）使用通过受让或租借等方式获取资格、资质证书的；</w:t>
      </w:r>
    </w:p>
    <w:p w14:paraId="158DEDD6">
      <w:pPr>
        <w:spacing w:line="560" w:lineRule="exact"/>
        <w:ind w:firstLine="560" w:firstLineChars="200"/>
        <w:rPr>
          <w:rFonts w:ascii="宋体" w:hAnsi="宋体" w:cs="仿宋"/>
          <w:sz w:val="28"/>
          <w:szCs w:val="28"/>
          <w:highlight w:val="none"/>
        </w:rPr>
      </w:pPr>
      <w:r>
        <w:rPr>
          <w:rFonts w:hint="eastAsia" w:ascii="宋体" w:hAnsi="宋体" w:cs="仿宋"/>
          <w:sz w:val="28"/>
          <w:szCs w:val="28"/>
          <w:highlight w:val="none"/>
        </w:rPr>
        <w:t>（</w:t>
      </w:r>
      <w:r>
        <w:rPr>
          <w:rFonts w:ascii="宋体" w:hAnsi="宋体" w:cs="仿宋"/>
          <w:sz w:val="28"/>
          <w:szCs w:val="28"/>
          <w:highlight w:val="none"/>
        </w:rPr>
        <w:t>2</w:t>
      </w:r>
      <w:r>
        <w:rPr>
          <w:rFonts w:hint="eastAsia" w:ascii="宋体" w:hAnsi="宋体" w:cs="仿宋"/>
          <w:sz w:val="28"/>
          <w:szCs w:val="28"/>
          <w:highlight w:val="none"/>
        </w:rPr>
        <w:t>）使用伪造证书、证件或印章的；</w:t>
      </w:r>
    </w:p>
    <w:p w14:paraId="15688DA8">
      <w:pPr>
        <w:spacing w:line="560" w:lineRule="exact"/>
        <w:ind w:firstLine="560" w:firstLineChars="200"/>
        <w:rPr>
          <w:rFonts w:ascii="宋体" w:hAnsi="宋体" w:cs="仿宋"/>
          <w:sz w:val="28"/>
          <w:szCs w:val="28"/>
          <w:highlight w:val="none"/>
        </w:rPr>
      </w:pPr>
      <w:r>
        <w:rPr>
          <w:rFonts w:hint="eastAsia" w:ascii="宋体" w:hAnsi="宋体" w:cs="仿宋"/>
          <w:sz w:val="28"/>
          <w:szCs w:val="28"/>
          <w:highlight w:val="none"/>
        </w:rPr>
        <w:t>（</w:t>
      </w:r>
      <w:r>
        <w:rPr>
          <w:rFonts w:ascii="宋体" w:hAnsi="宋体" w:cs="仿宋"/>
          <w:sz w:val="28"/>
          <w:szCs w:val="28"/>
          <w:highlight w:val="none"/>
        </w:rPr>
        <w:t>3</w:t>
      </w:r>
      <w:r>
        <w:rPr>
          <w:rFonts w:hint="eastAsia" w:ascii="宋体" w:hAnsi="宋体" w:cs="仿宋"/>
          <w:sz w:val="28"/>
          <w:szCs w:val="28"/>
          <w:highlight w:val="none"/>
        </w:rPr>
        <w:t>）提供虚假财务状况、检测报告、业绩或发票的；</w:t>
      </w:r>
    </w:p>
    <w:p w14:paraId="7576DFB1">
      <w:pPr>
        <w:spacing w:line="560" w:lineRule="exact"/>
        <w:ind w:firstLine="560" w:firstLineChars="200"/>
        <w:rPr>
          <w:rFonts w:ascii="宋体" w:hAnsi="宋体" w:cs="仿宋"/>
          <w:sz w:val="28"/>
          <w:szCs w:val="28"/>
          <w:highlight w:val="none"/>
        </w:rPr>
      </w:pPr>
      <w:r>
        <w:rPr>
          <w:rFonts w:hint="eastAsia" w:ascii="宋体" w:hAnsi="宋体" w:cs="仿宋"/>
          <w:sz w:val="28"/>
          <w:szCs w:val="28"/>
          <w:highlight w:val="none"/>
        </w:rPr>
        <w:t>（</w:t>
      </w:r>
      <w:r>
        <w:rPr>
          <w:rFonts w:ascii="宋体" w:hAnsi="宋体" w:cs="仿宋"/>
          <w:sz w:val="28"/>
          <w:szCs w:val="28"/>
          <w:highlight w:val="none"/>
        </w:rPr>
        <w:t>4</w:t>
      </w:r>
      <w:r>
        <w:rPr>
          <w:rFonts w:hint="eastAsia" w:ascii="宋体" w:hAnsi="宋体" w:cs="仿宋"/>
          <w:sz w:val="28"/>
          <w:szCs w:val="28"/>
          <w:highlight w:val="none"/>
        </w:rPr>
        <w:t>）提供虚假项目负责人或主要技术人员简历、劳动关系证明的；</w:t>
      </w:r>
    </w:p>
    <w:p w14:paraId="0B8B0F6B">
      <w:pPr>
        <w:spacing w:line="560" w:lineRule="exact"/>
        <w:ind w:firstLine="560" w:firstLineChars="200"/>
        <w:rPr>
          <w:rFonts w:ascii="宋体" w:hAnsi="宋体" w:cs="仿宋"/>
          <w:sz w:val="28"/>
          <w:szCs w:val="28"/>
          <w:highlight w:val="none"/>
        </w:rPr>
      </w:pPr>
      <w:r>
        <w:rPr>
          <w:rFonts w:hint="eastAsia" w:ascii="宋体" w:hAnsi="宋体" w:cs="仿宋"/>
          <w:sz w:val="28"/>
          <w:szCs w:val="28"/>
          <w:highlight w:val="none"/>
        </w:rPr>
        <w:t>（</w:t>
      </w:r>
      <w:r>
        <w:rPr>
          <w:rFonts w:ascii="宋体" w:hAnsi="宋体" w:cs="仿宋"/>
          <w:sz w:val="28"/>
          <w:szCs w:val="28"/>
          <w:highlight w:val="none"/>
        </w:rPr>
        <w:t>5</w:t>
      </w:r>
      <w:r>
        <w:rPr>
          <w:rFonts w:hint="eastAsia" w:ascii="宋体" w:hAnsi="宋体" w:cs="仿宋"/>
          <w:sz w:val="28"/>
          <w:szCs w:val="28"/>
          <w:highlight w:val="none"/>
        </w:rPr>
        <w:t>）提供虚假信用状况的；</w:t>
      </w:r>
    </w:p>
    <w:p w14:paraId="5E509DD0">
      <w:pPr>
        <w:spacing w:line="560" w:lineRule="exact"/>
        <w:ind w:firstLine="560" w:firstLineChars="200"/>
        <w:rPr>
          <w:rFonts w:ascii="宋体" w:hAnsi="宋体" w:cs="仿宋"/>
          <w:sz w:val="28"/>
          <w:szCs w:val="28"/>
          <w:highlight w:val="none"/>
        </w:rPr>
      </w:pPr>
      <w:r>
        <w:rPr>
          <w:rFonts w:hint="eastAsia" w:ascii="宋体" w:hAnsi="宋体" w:cs="仿宋"/>
          <w:sz w:val="28"/>
          <w:szCs w:val="28"/>
          <w:highlight w:val="none"/>
        </w:rPr>
        <w:t>（</w:t>
      </w:r>
      <w:r>
        <w:rPr>
          <w:rFonts w:ascii="宋体" w:hAnsi="宋体" w:cs="仿宋"/>
          <w:sz w:val="28"/>
          <w:szCs w:val="28"/>
          <w:highlight w:val="none"/>
        </w:rPr>
        <w:t>6</w:t>
      </w:r>
      <w:r>
        <w:rPr>
          <w:rFonts w:hint="eastAsia" w:ascii="宋体" w:hAnsi="宋体" w:cs="仿宋"/>
          <w:sz w:val="28"/>
          <w:szCs w:val="28"/>
          <w:highlight w:val="none"/>
        </w:rPr>
        <w:t>）提供虚假样品或借用、冒用其他报价供应商样品的；</w:t>
      </w:r>
    </w:p>
    <w:p w14:paraId="73D0879F">
      <w:pPr>
        <w:spacing w:line="560" w:lineRule="exact"/>
        <w:ind w:firstLine="560" w:firstLineChars="200"/>
        <w:rPr>
          <w:rFonts w:ascii="宋体" w:hAnsi="宋体" w:cs="仿宋"/>
          <w:sz w:val="28"/>
          <w:szCs w:val="28"/>
          <w:highlight w:val="none"/>
        </w:rPr>
      </w:pPr>
      <w:r>
        <w:rPr>
          <w:rFonts w:hint="eastAsia" w:ascii="宋体" w:hAnsi="宋体" w:cs="仿宋"/>
          <w:sz w:val="28"/>
          <w:szCs w:val="28"/>
          <w:highlight w:val="none"/>
        </w:rPr>
        <w:t>（</w:t>
      </w:r>
      <w:r>
        <w:rPr>
          <w:rFonts w:ascii="宋体" w:hAnsi="宋体" w:cs="仿宋"/>
          <w:sz w:val="28"/>
          <w:szCs w:val="28"/>
          <w:highlight w:val="none"/>
        </w:rPr>
        <w:t>7</w:t>
      </w:r>
      <w:r>
        <w:rPr>
          <w:rFonts w:hint="eastAsia" w:ascii="宋体" w:hAnsi="宋体" w:cs="仿宋"/>
          <w:sz w:val="28"/>
          <w:szCs w:val="28"/>
          <w:highlight w:val="none"/>
        </w:rPr>
        <w:t>）存在其他弄虚作假行为的；</w:t>
      </w:r>
    </w:p>
    <w:p w14:paraId="569E9E81">
      <w:pPr>
        <w:spacing w:line="560" w:lineRule="exact"/>
        <w:ind w:firstLine="560" w:firstLineChars="200"/>
        <w:rPr>
          <w:rFonts w:ascii="宋体" w:hAnsi="宋体" w:cs="仿宋"/>
          <w:sz w:val="28"/>
          <w:szCs w:val="28"/>
          <w:highlight w:val="none"/>
        </w:rPr>
      </w:pPr>
      <w:r>
        <w:rPr>
          <w:rFonts w:hint="eastAsia" w:ascii="宋体" w:hAnsi="宋体" w:cs="仿宋"/>
          <w:sz w:val="28"/>
          <w:szCs w:val="28"/>
          <w:highlight w:val="none"/>
        </w:rPr>
        <w:t>（</w:t>
      </w:r>
      <w:r>
        <w:rPr>
          <w:rFonts w:ascii="宋体" w:hAnsi="宋体" w:cs="仿宋"/>
          <w:sz w:val="28"/>
          <w:szCs w:val="28"/>
          <w:highlight w:val="none"/>
        </w:rPr>
        <w:t>8</w:t>
      </w:r>
      <w:r>
        <w:rPr>
          <w:rFonts w:hint="eastAsia" w:ascii="宋体" w:hAnsi="宋体" w:cs="仿宋"/>
          <w:sz w:val="28"/>
          <w:szCs w:val="28"/>
          <w:highlight w:val="none"/>
        </w:rPr>
        <w:t>）国家和</w:t>
      </w:r>
      <w:r>
        <w:rPr>
          <w:rFonts w:ascii="宋体" w:hAnsi="宋体" w:cs="仿宋"/>
          <w:sz w:val="28"/>
          <w:szCs w:val="28"/>
          <w:highlight w:val="none"/>
        </w:rPr>
        <w:t>军队法律法规规定的其他情形。</w:t>
      </w:r>
    </w:p>
    <w:p w14:paraId="66F89756">
      <w:pPr>
        <w:spacing w:line="560" w:lineRule="exact"/>
        <w:ind w:firstLine="560" w:firstLineChars="200"/>
        <w:rPr>
          <w:rFonts w:ascii="宋体" w:hAnsi="宋体"/>
          <w:sz w:val="28"/>
          <w:szCs w:val="28"/>
          <w:highlight w:val="none"/>
        </w:rPr>
      </w:pPr>
      <w:r>
        <w:rPr>
          <w:rFonts w:hint="eastAsia" w:ascii="宋体" w:hAnsi="宋体"/>
          <w:sz w:val="28"/>
          <w:szCs w:val="28"/>
          <w:highlight w:val="none"/>
        </w:rPr>
        <w:t>3</w:t>
      </w:r>
      <w:r>
        <w:rPr>
          <w:rFonts w:ascii="宋体" w:hAnsi="宋体"/>
          <w:sz w:val="28"/>
          <w:szCs w:val="28"/>
          <w:highlight w:val="none"/>
        </w:rPr>
        <w:t>7</w:t>
      </w:r>
      <w:r>
        <w:rPr>
          <w:rFonts w:hint="eastAsia" w:ascii="宋体" w:hAnsi="宋体"/>
          <w:sz w:val="28"/>
          <w:szCs w:val="28"/>
          <w:highlight w:val="none"/>
        </w:rPr>
        <w:t>.7谈判文件中明确的其他应当视为无效报价的情形。</w:t>
      </w:r>
    </w:p>
    <w:p w14:paraId="58DD3606">
      <w:pPr>
        <w:pStyle w:val="6"/>
        <w:keepNext w:val="0"/>
        <w:keepLines w:val="0"/>
        <w:adjustRightInd w:val="0"/>
        <w:snapToGrid w:val="0"/>
        <w:spacing w:before="0" w:after="0" w:line="560" w:lineRule="exact"/>
        <w:ind w:firstLine="560" w:firstLineChars="200"/>
        <w:rPr>
          <w:rFonts w:ascii="黑体" w:hAnsi="黑体"/>
          <w:b w:val="0"/>
          <w:highlight w:val="none"/>
        </w:rPr>
      </w:pPr>
      <w:r>
        <w:rPr>
          <w:rFonts w:ascii="黑体" w:hAnsi="黑体"/>
          <w:b w:val="0"/>
          <w:highlight w:val="none"/>
        </w:rPr>
        <w:t>38.</w:t>
      </w:r>
      <w:r>
        <w:rPr>
          <w:rFonts w:hint="eastAsia" w:ascii="黑体" w:hAnsi="黑体"/>
          <w:b w:val="0"/>
          <w:highlight w:val="none"/>
        </w:rPr>
        <w:t>通过资格性、符合性审查的特殊情形</w:t>
      </w:r>
    </w:p>
    <w:p w14:paraId="061EF0BD">
      <w:pPr>
        <w:pStyle w:val="100"/>
        <w:spacing w:line="560" w:lineRule="exact"/>
        <w:ind w:firstLine="560"/>
        <w:rPr>
          <w:rFonts w:ascii="宋体" w:hAnsi="宋体"/>
          <w:sz w:val="28"/>
          <w:szCs w:val="28"/>
          <w:highlight w:val="none"/>
        </w:rPr>
      </w:pPr>
      <w:r>
        <w:rPr>
          <w:rFonts w:ascii="宋体" w:hAnsi="宋体"/>
          <w:sz w:val="28"/>
          <w:szCs w:val="28"/>
          <w:highlight w:val="none"/>
        </w:rPr>
        <w:t>38.1</w:t>
      </w:r>
      <w:r>
        <w:rPr>
          <w:rFonts w:hint="eastAsia" w:ascii="宋体" w:hAnsi="宋体"/>
          <w:sz w:val="28"/>
          <w:szCs w:val="28"/>
          <w:highlight w:val="none"/>
        </w:rPr>
        <w:t>报价文件有下列情形，但其他方面符合要求，应当认定通过资格性、符合性审查：</w:t>
      </w:r>
    </w:p>
    <w:p w14:paraId="35B1B334">
      <w:pPr>
        <w:pStyle w:val="100"/>
        <w:spacing w:line="560" w:lineRule="exact"/>
        <w:ind w:firstLine="560"/>
        <w:rPr>
          <w:rFonts w:ascii="宋体" w:hAnsi="宋体"/>
          <w:sz w:val="28"/>
          <w:szCs w:val="28"/>
          <w:highlight w:val="none"/>
        </w:rPr>
      </w:pPr>
      <w:r>
        <w:rPr>
          <w:rFonts w:hint="eastAsia" w:ascii="宋体" w:hAnsi="宋体"/>
          <w:sz w:val="28"/>
          <w:szCs w:val="28"/>
          <w:highlight w:val="none"/>
        </w:rPr>
        <w:t>（1）密封时未加盖、少加盖公章或密封章，但密封完好、完整标明了报价供应商名称且得到报价供应商现场认可的；</w:t>
      </w:r>
    </w:p>
    <w:p w14:paraId="6F614E80">
      <w:pPr>
        <w:spacing w:line="560" w:lineRule="exact"/>
        <w:ind w:firstLine="560" w:firstLineChars="200"/>
        <w:rPr>
          <w:rFonts w:ascii="宋体" w:hAnsi="宋体"/>
          <w:sz w:val="28"/>
          <w:szCs w:val="28"/>
          <w:highlight w:val="none"/>
        </w:rPr>
      </w:pPr>
      <w:r>
        <w:rPr>
          <w:rFonts w:hint="eastAsia" w:ascii="宋体" w:hAnsi="宋体"/>
          <w:sz w:val="28"/>
          <w:szCs w:val="28"/>
          <w:highlight w:val="none"/>
        </w:rPr>
        <w:t>（2）正副本数量齐全、密封完好，但未按照谈判文件要求进行分装或统装的；</w:t>
      </w:r>
    </w:p>
    <w:p w14:paraId="0A392339">
      <w:pPr>
        <w:spacing w:line="560" w:lineRule="exact"/>
        <w:ind w:firstLine="560" w:firstLineChars="200"/>
        <w:rPr>
          <w:rFonts w:ascii="宋体" w:hAnsi="宋体"/>
          <w:sz w:val="28"/>
          <w:szCs w:val="28"/>
          <w:highlight w:val="none"/>
        </w:rPr>
      </w:pPr>
      <w:r>
        <w:rPr>
          <w:rFonts w:hint="eastAsia" w:ascii="宋体" w:hAnsi="宋体"/>
          <w:sz w:val="28"/>
          <w:szCs w:val="28"/>
          <w:highlight w:val="none"/>
        </w:rPr>
        <w:t>（3）除谈判文件规定要求法定代表人或授权代表签字以外，其他未签字的；</w:t>
      </w:r>
    </w:p>
    <w:p w14:paraId="2E1E97F1">
      <w:pPr>
        <w:spacing w:line="560" w:lineRule="exact"/>
        <w:ind w:firstLine="560" w:firstLineChars="200"/>
        <w:rPr>
          <w:rFonts w:ascii="宋体" w:hAnsi="宋体"/>
          <w:sz w:val="28"/>
          <w:szCs w:val="28"/>
          <w:highlight w:val="none"/>
        </w:rPr>
      </w:pPr>
      <w:r>
        <w:rPr>
          <w:rFonts w:hint="eastAsia" w:ascii="宋体" w:hAnsi="宋体"/>
          <w:sz w:val="28"/>
          <w:szCs w:val="28"/>
          <w:highlight w:val="none"/>
        </w:rPr>
        <w:t>（4）除谈判文件规定要求加盖报价供应商等公章以外，其他未盖章或加盖相关专用章的；</w:t>
      </w:r>
    </w:p>
    <w:p w14:paraId="4B0A4CDD">
      <w:pPr>
        <w:spacing w:line="560" w:lineRule="exact"/>
        <w:ind w:firstLine="560" w:firstLineChars="200"/>
        <w:rPr>
          <w:rFonts w:ascii="宋体" w:hAnsi="宋体"/>
          <w:sz w:val="28"/>
          <w:szCs w:val="28"/>
          <w:highlight w:val="none"/>
        </w:rPr>
      </w:pPr>
      <w:r>
        <w:rPr>
          <w:rFonts w:hint="eastAsia" w:ascii="宋体" w:hAnsi="宋体"/>
          <w:sz w:val="28"/>
          <w:szCs w:val="28"/>
          <w:highlight w:val="none"/>
        </w:rPr>
        <w:t>（5）报价文件印刷装订不规范、书写有错误，资格证明文件与报价文件混装，报价文件未标明正副本但能分辨出报价文件主体的。</w:t>
      </w:r>
    </w:p>
    <w:p w14:paraId="5CE1A38B">
      <w:pPr>
        <w:pStyle w:val="100"/>
        <w:spacing w:line="560" w:lineRule="exact"/>
        <w:ind w:firstLine="560"/>
        <w:rPr>
          <w:rFonts w:ascii="宋体" w:hAnsi="宋体"/>
          <w:sz w:val="28"/>
          <w:szCs w:val="28"/>
          <w:highlight w:val="none"/>
        </w:rPr>
      </w:pPr>
      <w:r>
        <w:rPr>
          <w:rFonts w:hint="eastAsia" w:ascii="宋体" w:hAnsi="宋体"/>
          <w:sz w:val="28"/>
          <w:szCs w:val="28"/>
          <w:highlight w:val="none"/>
        </w:rPr>
        <w:t>评审委员会、采购机构不得将谈判文件未明确的内容作为判定报价供应商无效报价的依据，但违反国家和</w:t>
      </w:r>
      <w:r>
        <w:rPr>
          <w:rFonts w:ascii="宋体" w:hAnsi="宋体"/>
          <w:sz w:val="28"/>
          <w:szCs w:val="28"/>
          <w:highlight w:val="none"/>
        </w:rPr>
        <w:t>军队</w:t>
      </w:r>
      <w:r>
        <w:rPr>
          <w:rFonts w:hint="eastAsia" w:ascii="宋体" w:hAnsi="宋体"/>
          <w:sz w:val="28"/>
          <w:szCs w:val="28"/>
          <w:highlight w:val="none"/>
        </w:rPr>
        <w:t>有关法律法规规定的情形除外。</w:t>
      </w:r>
    </w:p>
    <w:p w14:paraId="233BF357">
      <w:pPr>
        <w:pStyle w:val="6"/>
        <w:keepNext w:val="0"/>
        <w:keepLines w:val="0"/>
        <w:adjustRightInd w:val="0"/>
        <w:snapToGrid w:val="0"/>
        <w:spacing w:before="0" w:after="0" w:line="560" w:lineRule="exact"/>
        <w:ind w:firstLine="560" w:firstLineChars="200"/>
        <w:rPr>
          <w:rFonts w:ascii="黑体" w:hAnsi="黑体"/>
          <w:b w:val="0"/>
          <w:highlight w:val="none"/>
        </w:rPr>
      </w:pPr>
      <w:bookmarkStart w:id="291" w:name="_Toc24181"/>
      <w:bookmarkStart w:id="292" w:name="_Toc30788"/>
      <w:bookmarkStart w:id="293" w:name="_Toc121216119"/>
      <w:bookmarkStart w:id="294" w:name="_Toc20568"/>
      <w:bookmarkStart w:id="295" w:name="_Toc4875"/>
      <w:r>
        <w:rPr>
          <w:rFonts w:ascii="黑体" w:hAnsi="黑体"/>
          <w:b w:val="0"/>
          <w:highlight w:val="none"/>
        </w:rPr>
        <w:t>39.</w:t>
      </w:r>
      <w:bookmarkEnd w:id="291"/>
      <w:bookmarkEnd w:id="292"/>
      <w:bookmarkEnd w:id="293"/>
      <w:bookmarkEnd w:id="294"/>
      <w:bookmarkEnd w:id="295"/>
      <w:r>
        <w:rPr>
          <w:rFonts w:hint="eastAsia" w:ascii="黑体" w:hAnsi="黑体"/>
          <w:b w:val="0"/>
          <w:highlight w:val="none"/>
        </w:rPr>
        <w:t>终止竞争性谈判采购活动</w:t>
      </w:r>
    </w:p>
    <w:p w14:paraId="426E5122">
      <w:pPr>
        <w:adjustRightInd w:val="0"/>
        <w:snapToGrid w:val="0"/>
        <w:spacing w:line="560" w:lineRule="exact"/>
        <w:ind w:firstLine="560" w:firstLineChars="200"/>
        <w:rPr>
          <w:rFonts w:ascii="宋体" w:hAnsi="宋体"/>
          <w:bCs/>
          <w:sz w:val="28"/>
          <w:szCs w:val="28"/>
          <w:highlight w:val="none"/>
        </w:rPr>
      </w:pPr>
      <w:r>
        <w:rPr>
          <w:rFonts w:ascii="宋体" w:hAnsi="宋体"/>
          <w:bCs/>
          <w:sz w:val="28"/>
          <w:szCs w:val="28"/>
          <w:highlight w:val="none"/>
        </w:rPr>
        <w:t>39.1有下列情形之一的，</w:t>
      </w:r>
      <w:r>
        <w:rPr>
          <w:rFonts w:hint="eastAsia" w:ascii="宋体" w:hAnsi="宋体"/>
          <w:bCs/>
          <w:sz w:val="28"/>
          <w:szCs w:val="28"/>
          <w:highlight w:val="none"/>
        </w:rPr>
        <w:t>应当终止竞争性谈判采购活动</w:t>
      </w:r>
      <w:r>
        <w:rPr>
          <w:rFonts w:ascii="宋体" w:hAnsi="宋体"/>
          <w:bCs/>
          <w:sz w:val="28"/>
          <w:szCs w:val="28"/>
          <w:highlight w:val="none"/>
        </w:rPr>
        <w:t>：</w:t>
      </w:r>
    </w:p>
    <w:p w14:paraId="7123C5B9">
      <w:pPr>
        <w:adjustRightInd w:val="0"/>
        <w:snapToGrid w:val="0"/>
        <w:spacing w:line="560" w:lineRule="exact"/>
        <w:ind w:firstLine="560" w:firstLineChars="200"/>
        <w:rPr>
          <w:rFonts w:ascii="宋体" w:hAnsi="宋体"/>
          <w:bCs/>
          <w:sz w:val="28"/>
          <w:szCs w:val="28"/>
          <w:highlight w:val="none"/>
        </w:rPr>
      </w:pPr>
      <w:r>
        <w:rPr>
          <w:rFonts w:hint="eastAsia" w:ascii="宋体" w:hAnsi="宋体"/>
          <w:bCs/>
          <w:sz w:val="28"/>
          <w:szCs w:val="28"/>
          <w:highlight w:val="none"/>
        </w:rPr>
        <w:t>（</w:t>
      </w:r>
      <w:r>
        <w:rPr>
          <w:rFonts w:ascii="宋体" w:hAnsi="宋体"/>
          <w:bCs/>
          <w:sz w:val="28"/>
          <w:szCs w:val="28"/>
          <w:highlight w:val="none"/>
        </w:rPr>
        <w:t>1）</w:t>
      </w:r>
      <w:r>
        <w:rPr>
          <w:rFonts w:hint="eastAsia" w:ascii="宋体" w:hAnsi="宋体"/>
          <w:bCs/>
          <w:sz w:val="28"/>
          <w:szCs w:val="28"/>
          <w:highlight w:val="none"/>
        </w:rPr>
        <w:t>报名参加或实质性响应报价供应商不足</w:t>
      </w:r>
      <w:r>
        <w:rPr>
          <w:rFonts w:ascii="宋体" w:hAnsi="宋体"/>
          <w:bCs/>
          <w:sz w:val="28"/>
          <w:szCs w:val="28"/>
          <w:highlight w:val="none"/>
        </w:rPr>
        <w:t>3家</w:t>
      </w:r>
      <w:r>
        <w:rPr>
          <w:rFonts w:hint="eastAsia" w:ascii="宋体" w:hAnsi="宋体"/>
          <w:bCs/>
          <w:sz w:val="28"/>
          <w:szCs w:val="28"/>
          <w:highlight w:val="none"/>
        </w:rPr>
        <w:t>的</w:t>
      </w:r>
      <w:r>
        <w:rPr>
          <w:rFonts w:ascii="宋体" w:hAnsi="宋体"/>
          <w:bCs/>
          <w:sz w:val="28"/>
          <w:szCs w:val="28"/>
          <w:highlight w:val="none"/>
        </w:rPr>
        <w:t>，</w:t>
      </w:r>
      <w:r>
        <w:rPr>
          <w:rFonts w:hint="eastAsia" w:ascii="宋体" w:hAnsi="宋体"/>
          <w:bCs/>
          <w:sz w:val="28"/>
          <w:szCs w:val="28"/>
          <w:highlight w:val="none"/>
        </w:rPr>
        <w:t>符合本章第</w:t>
      </w:r>
      <w:r>
        <w:rPr>
          <w:rFonts w:ascii="宋体" w:hAnsi="宋体"/>
          <w:bCs/>
          <w:sz w:val="28"/>
          <w:szCs w:val="28"/>
          <w:highlight w:val="none"/>
        </w:rPr>
        <w:t>41.1</w:t>
      </w:r>
      <w:r>
        <w:rPr>
          <w:rFonts w:hint="eastAsia" w:ascii="宋体" w:hAnsi="宋体"/>
          <w:bCs/>
          <w:sz w:val="28"/>
          <w:szCs w:val="28"/>
          <w:highlight w:val="none"/>
        </w:rPr>
        <w:t>条情形的除外；</w:t>
      </w:r>
    </w:p>
    <w:p w14:paraId="4992DDBE">
      <w:pPr>
        <w:adjustRightInd w:val="0"/>
        <w:snapToGrid w:val="0"/>
        <w:spacing w:line="560" w:lineRule="exact"/>
        <w:ind w:firstLine="560" w:firstLineChars="200"/>
        <w:rPr>
          <w:rFonts w:ascii="宋体" w:hAnsi="宋体"/>
          <w:bCs/>
          <w:sz w:val="28"/>
          <w:szCs w:val="28"/>
          <w:highlight w:val="none"/>
        </w:rPr>
      </w:pPr>
      <w:r>
        <w:rPr>
          <w:rFonts w:hint="eastAsia" w:ascii="宋体" w:hAnsi="宋体"/>
          <w:bCs/>
          <w:sz w:val="28"/>
          <w:szCs w:val="28"/>
          <w:highlight w:val="none"/>
        </w:rPr>
        <w:t>（</w:t>
      </w:r>
      <w:r>
        <w:rPr>
          <w:rFonts w:ascii="宋体" w:hAnsi="宋体"/>
          <w:bCs/>
          <w:sz w:val="28"/>
          <w:szCs w:val="28"/>
          <w:highlight w:val="none"/>
        </w:rPr>
        <w:t>2）出现影响采购公平公正的违法、违规行为的；</w:t>
      </w:r>
    </w:p>
    <w:p w14:paraId="4F084A96">
      <w:pPr>
        <w:adjustRightInd w:val="0"/>
        <w:snapToGrid w:val="0"/>
        <w:spacing w:line="560" w:lineRule="exact"/>
        <w:ind w:firstLine="560" w:firstLineChars="200"/>
        <w:rPr>
          <w:rFonts w:ascii="宋体" w:hAnsi="宋体"/>
          <w:bCs/>
          <w:sz w:val="28"/>
          <w:szCs w:val="28"/>
          <w:highlight w:val="none"/>
        </w:rPr>
      </w:pPr>
      <w:r>
        <w:rPr>
          <w:rFonts w:hint="eastAsia" w:ascii="宋体" w:hAnsi="宋体"/>
          <w:bCs/>
          <w:sz w:val="28"/>
          <w:szCs w:val="28"/>
          <w:highlight w:val="none"/>
        </w:rPr>
        <w:t>（</w:t>
      </w:r>
      <w:r>
        <w:rPr>
          <w:rFonts w:ascii="宋体" w:hAnsi="宋体"/>
          <w:bCs/>
          <w:sz w:val="28"/>
          <w:szCs w:val="28"/>
          <w:highlight w:val="none"/>
        </w:rPr>
        <w:t>3）因重大变故，取消采购任务的</w:t>
      </w:r>
      <w:r>
        <w:rPr>
          <w:rFonts w:hint="eastAsia" w:ascii="宋体" w:hAnsi="宋体"/>
          <w:bCs/>
          <w:sz w:val="28"/>
          <w:szCs w:val="28"/>
          <w:highlight w:val="none"/>
        </w:rPr>
        <w:t>。</w:t>
      </w:r>
    </w:p>
    <w:p w14:paraId="681458CC">
      <w:pPr>
        <w:pStyle w:val="6"/>
        <w:keepNext w:val="0"/>
        <w:keepLines w:val="0"/>
        <w:adjustRightInd w:val="0"/>
        <w:snapToGrid w:val="0"/>
        <w:spacing w:before="0" w:after="0" w:line="560" w:lineRule="exact"/>
        <w:ind w:firstLine="560" w:firstLineChars="200"/>
        <w:rPr>
          <w:rFonts w:ascii="黑体" w:hAnsi="黑体"/>
          <w:b w:val="0"/>
          <w:highlight w:val="none"/>
        </w:rPr>
      </w:pPr>
      <w:bookmarkStart w:id="296" w:name="_Toc15536"/>
      <w:bookmarkStart w:id="297" w:name="_Toc28683"/>
      <w:bookmarkStart w:id="298" w:name="_Toc29718"/>
      <w:bookmarkStart w:id="299" w:name="_Toc21189"/>
      <w:bookmarkStart w:id="300" w:name="_Toc121216120"/>
      <w:r>
        <w:rPr>
          <w:rFonts w:ascii="黑体" w:hAnsi="黑体"/>
          <w:b w:val="0"/>
          <w:highlight w:val="none"/>
        </w:rPr>
        <w:t>40.</w:t>
      </w:r>
      <w:r>
        <w:rPr>
          <w:rFonts w:hint="eastAsia" w:ascii="黑体" w:hAnsi="黑体"/>
          <w:b w:val="0"/>
          <w:highlight w:val="none"/>
        </w:rPr>
        <w:t>终止评审</w:t>
      </w:r>
      <w:bookmarkEnd w:id="296"/>
      <w:bookmarkEnd w:id="297"/>
      <w:bookmarkEnd w:id="298"/>
      <w:bookmarkEnd w:id="299"/>
      <w:bookmarkEnd w:id="300"/>
    </w:p>
    <w:p w14:paraId="4E8ECEC8">
      <w:pPr>
        <w:adjustRightInd w:val="0"/>
        <w:snapToGrid w:val="0"/>
        <w:spacing w:line="560" w:lineRule="exact"/>
        <w:ind w:firstLine="560" w:firstLineChars="200"/>
        <w:rPr>
          <w:rFonts w:ascii="宋体" w:hAnsi="宋体"/>
          <w:bCs/>
          <w:sz w:val="28"/>
          <w:szCs w:val="28"/>
          <w:highlight w:val="none"/>
        </w:rPr>
      </w:pPr>
      <w:r>
        <w:rPr>
          <w:rFonts w:ascii="宋体" w:hAnsi="宋体"/>
          <w:bCs/>
          <w:sz w:val="28"/>
          <w:szCs w:val="28"/>
          <w:highlight w:val="none"/>
        </w:rPr>
        <w:t>40.1</w:t>
      </w:r>
      <w:r>
        <w:rPr>
          <w:rFonts w:hint="eastAsia" w:ascii="仿宋_GB2312" w:hAnsi="仿宋"/>
          <w:bCs/>
          <w:sz w:val="28"/>
          <w:szCs w:val="28"/>
          <w:highlight w:val="none"/>
        </w:rPr>
        <w:t>在评审过程中，有下列情形之一的，评审委员会应当终止评审，并书面说明情况：</w:t>
      </w:r>
    </w:p>
    <w:p w14:paraId="7194B086">
      <w:pPr>
        <w:adjustRightInd w:val="0"/>
        <w:snapToGrid w:val="0"/>
        <w:spacing w:line="560" w:lineRule="exact"/>
        <w:ind w:firstLine="560" w:firstLineChars="200"/>
        <w:rPr>
          <w:rFonts w:ascii="仿宋_GB2312" w:hAnsi="仿宋" w:cs="仿宋"/>
          <w:bCs/>
          <w:sz w:val="28"/>
          <w:szCs w:val="28"/>
          <w:highlight w:val="none"/>
        </w:rPr>
      </w:pPr>
      <w:r>
        <w:rPr>
          <w:rFonts w:hint="eastAsia" w:ascii="宋体" w:hAnsi="宋体"/>
          <w:bCs/>
          <w:sz w:val="28"/>
          <w:szCs w:val="28"/>
          <w:highlight w:val="none"/>
        </w:rPr>
        <w:t>（</w:t>
      </w:r>
      <w:r>
        <w:rPr>
          <w:rFonts w:ascii="宋体" w:hAnsi="宋体"/>
          <w:bCs/>
          <w:sz w:val="28"/>
          <w:szCs w:val="28"/>
          <w:highlight w:val="none"/>
        </w:rPr>
        <w:t>1）</w:t>
      </w:r>
      <w:r>
        <w:rPr>
          <w:rFonts w:hint="eastAsia" w:ascii="仿宋_GB2312" w:hAnsi="仿宋" w:cs="仿宋"/>
          <w:bCs/>
          <w:sz w:val="28"/>
          <w:szCs w:val="28"/>
          <w:highlight w:val="none"/>
        </w:rPr>
        <w:t>谈判文件存在重大歧义、缺陷，导致评审工作无法进行的；</w:t>
      </w:r>
    </w:p>
    <w:p w14:paraId="192ABD4F">
      <w:pPr>
        <w:adjustRightInd w:val="0"/>
        <w:snapToGrid w:val="0"/>
        <w:spacing w:line="560" w:lineRule="exact"/>
        <w:ind w:firstLine="560" w:firstLineChars="200"/>
        <w:rPr>
          <w:rFonts w:ascii="仿宋_GB2312" w:hAnsi="仿宋" w:cs="仿宋"/>
          <w:bCs/>
          <w:sz w:val="28"/>
          <w:szCs w:val="28"/>
          <w:highlight w:val="none"/>
        </w:rPr>
      </w:pPr>
      <w:r>
        <w:rPr>
          <w:rFonts w:hint="eastAsia" w:ascii="宋体" w:hAnsi="宋体"/>
          <w:bCs/>
          <w:sz w:val="28"/>
          <w:szCs w:val="28"/>
          <w:highlight w:val="none"/>
        </w:rPr>
        <w:t>（</w:t>
      </w:r>
      <w:r>
        <w:rPr>
          <w:rFonts w:ascii="宋体" w:hAnsi="宋体"/>
          <w:bCs/>
          <w:sz w:val="28"/>
          <w:szCs w:val="28"/>
          <w:highlight w:val="none"/>
        </w:rPr>
        <w:t>2）</w:t>
      </w:r>
      <w:r>
        <w:rPr>
          <w:rFonts w:hint="eastAsia" w:ascii="仿宋_GB2312" w:hAnsi="仿宋" w:cs="仿宋"/>
          <w:bCs/>
          <w:sz w:val="28"/>
          <w:szCs w:val="28"/>
          <w:highlight w:val="none"/>
        </w:rPr>
        <w:t>谈判文件存在明显的倾向性、排他性或歧视性的；</w:t>
      </w:r>
    </w:p>
    <w:p w14:paraId="2C0E522F">
      <w:pPr>
        <w:adjustRightInd w:val="0"/>
        <w:snapToGrid w:val="0"/>
        <w:spacing w:line="560" w:lineRule="exact"/>
        <w:ind w:firstLine="560" w:firstLineChars="200"/>
        <w:rPr>
          <w:rFonts w:ascii="仿宋_GB2312" w:hAnsi="仿宋" w:cs="仿宋"/>
          <w:bCs/>
          <w:sz w:val="28"/>
          <w:szCs w:val="28"/>
          <w:highlight w:val="none"/>
        </w:rPr>
      </w:pPr>
      <w:r>
        <w:rPr>
          <w:rFonts w:hint="eastAsia" w:ascii="宋体" w:hAnsi="宋体"/>
          <w:bCs/>
          <w:sz w:val="28"/>
          <w:szCs w:val="28"/>
          <w:highlight w:val="none"/>
        </w:rPr>
        <w:t>（</w:t>
      </w:r>
      <w:r>
        <w:rPr>
          <w:rFonts w:ascii="宋体" w:hAnsi="宋体"/>
          <w:bCs/>
          <w:sz w:val="28"/>
          <w:szCs w:val="28"/>
          <w:highlight w:val="none"/>
        </w:rPr>
        <w:t>3）</w:t>
      </w:r>
      <w:r>
        <w:rPr>
          <w:rFonts w:hint="eastAsia" w:ascii="仿宋_GB2312" w:hAnsi="仿宋" w:cs="仿宋"/>
          <w:bCs/>
          <w:sz w:val="28"/>
          <w:szCs w:val="28"/>
          <w:highlight w:val="none"/>
        </w:rPr>
        <w:t>谈判文件违反国家和军队强制性规定的；</w:t>
      </w:r>
    </w:p>
    <w:p w14:paraId="7AF97C99">
      <w:pPr>
        <w:adjustRightInd w:val="0"/>
        <w:snapToGrid w:val="0"/>
        <w:spacing w:line="560" w:lineRule="exact"/>
        <w:ind w:firstLine="560" w:firstLineChars="200"/>
        <w:rPr>
          <w:rFonts w:ascii="仿宋_GB2312" w:hAnsi="仿宋" w:cs="仿宋"/>
          <w:bCs/>
          <w:sz w:val="28"/>
          <w:szCs w:val="28"/>
          <w:highlight w:val="none"/>
        </w:rPr>
      </w:pPr>
      <w:r>
        <w:rPr>
          <w:rFonts w:hint="eastAsia" w:ascii="宋体" w:hAnsi="宋体"/>
          <w:bCs/>
          <w:sz w:val="28"/>
          <w:szCs w:val="28"/>
          <w:highlight w:val="none"/>
        </w:rPr>
        <w:t>（</w:t>
      </w:r>
      <w:r>
        <w:rPr>
          <w:rFonts w:ascii="宋体" w:hAnsi="宋体"/>
          <w:bCs/>
          <w:sz w:val="28"/>
          <w:szCs w:val="28"/>
          <w:highlight w:val="none"/>
        </w:rPr>
        <w:t>4）</w:t>
      </w:r>
      <w:r>
        <w:rPr>
          <w:rFonts w:hint="eastAsia" w:ascii="仿宋_GB2312" w:hAnsi="仿宋" w:cs="仿宋"/>
          <w:bCs/>
          <w:sz w:val="28"/>
          <w:szCs w:val="28"/>
          <w:highlight w:val="none"/>
        </w:rPr>
        <w:t>参加报价供应商均不符合相关要求的；</w:t>
      </w:r>
    </w:p>
    <w:p w14:paraId="46C5B34E">
      <w:pPr>
        <w:adjustRightInd w:val="0"/>
        <w:snapToGrid w:val="0"/>
        <w:spacing w:line="560" w:lineRule="exact"/>
        <w:ind w:firstLine="560" w:firstLineChars="200"/>
        <w:rPr>
          <w:rFonts w:ascii="仿宋_GB2312" w:hAnsi="仿宋" w:cs="仿宋"/>
          <w:bCs/>
          <w:sz w:val="28"/>
          <w:szCs w:val="28"/>
          <w:highlight w:val="none"/>
        </w:rPr>
      </w:pPr>
      <w:r>
        <w:rPr>
          <w:rFonts w:hint="eastAsia" w:ascii="宋体" w:hAnsi="宋体"/>
          <w:bCs/>
          <w:sz w:val="28"/>
          <w:szCs w:val="28"/>
          <w:highlight w:val="none"/>
        </w:rPr>
        <w:t>（</w:t>
      </w:r>
      <w:r>
        <w:rPr>
          <w:rFonts w:ascii="宋体" w:hAnsi="宋体"/>
          <w:bCs/>
          <w:sz w:val="28"/>
          <w:szCs w:val="28"/>
          <w:highlight w:val="none"/>
        </w:rPr>
        <w:t>5）</w:t>
      </w:r>
      <w:r>
        <w:rPr>
          <w:rFonts w:hint="eastAsia" w:ascii="仿宋_GB2312" w:hAnsi="仿宋" w:cs="仿宋"/>
          <w:bCs/>
          <w:sz w:val="28"/>
          <w:szCs w:val="28"/>
          <w:highlight w:val="none"/>
        </w:rPr>
        <w:t>报价供应商报价均超预算，且采购单位无法追加预算的；</w:t>
      </w:r>
    </w:p>
    <w:p w14:paraId="0B028CC2">
      <w:pPr>
        <w:adjustRightInd w:val="0"/>
        <w:snapToGrid w:val="0"/>
        <w:spacing w:line="560" w:lineRule="exact"/>
        <w:ind w:firstLine="560" w:firstLineChars="200"/>
        <w:rPr>
          <w:rFonts w:ascii="仿宋_GB2312" w:hAnsi="仿宋" w:cs="仿宋"/>
          <w:bCs/>
          <w:sz w:val="28"/>
          <w:szCs w:val="28"/>
          <w:highlight w:val="none"/>
        </w:rPr>
      </w:pPr>
      <w:r>
        <w:rPr>
          <w:rFonts w:hint="eastAsia" w:ascii="宋体" w:hAnsi="宋体"/>
          <w:bCs/>
          <w:sz w:val="28"/>
          <w:szCs w:val="28"/>
          <w:highlight w:val="none"/>
        </w:rPr>
        <w:t>（</w:t>
      </w:r>
      <w:r>
        <w:rPr>
          <w:rFonts w:ascii="宋体" w:hAnsi="宋体"/>
          <w:bCs/>
          <w:sz w:val="28"/>
          <w:szCs w:val="28"/>
          <w:highlight w:val="none"/>
        </w:rPr>
        <w:t>6）</w:t>
      </w:r>
      <w:r>
        <w:rPr>
          <w:rFonts w:hint="eastAsia" w:ascii="仿宋_GB2312" w:hAnsi="仿宋" w:cs="仿宋"/>
          <w:bCs/>
          <w:sz w:val="28"/>
          <w:szCs w:val="28"/>
          <w:highlight w:val="none"/>
        </w:rPr>
        <w:t>有关报价供应商和个人干预评审委员会依法独立评审的；</w:t>
      </w:r>
    </w:p>
    <w:p w14:paraId="22DC9DE7">
      <w:pPr>
        <w:adjustRightInd w:val="0"/>
        <w:snapToGrid w:val="0"/>
        <w:spacing w:line="560" w:lineRule="exact"/>
        <w:ind w:firstLine="560" w:firstLineChars="200"/>
        <w:rPr>
          <w:rFonts w:ascii="仿宋_GB2312" w:hAnsi="仿宋" w:cs="仿宋"/>
          <w:bCs/>
          <w:sz w:val="28"/>
          <w:szCs w:val="28"/>
          <w:highlight w:val="none"/>
        </w:rPr>
      </w:pPr>
      <w:r>
        <w:rPr>
          <w:rFonts w:hint="eastAsia" w:ascii="宋体" w:hAnsi="宋体"/>
          <w:bCs/>
          <w:sz w:val="28"/>
          <w:szCs w:val="28"/>
          <w:highlight w:val="none"/>
        </w:rPr>
        <w:t>（</w:t>
      </w:r>
      <w:r>
        <w:rPr>
          <w:rFonts w:ascii="宋体" w:hAnsi="宋体"/>
          <w:bCs/>
          <w:sz w:val="28"/>
          <w:szCs w:val="28"/>
          <w:highlight w:val="none"/>
        </w:rPr>
        <w:t>7）</w:t>
      </w:r>
      <w:r>
        <w:rPr>
          <w:rFonts w:hint="eastAsia" w:ascii="仿宋_GB2312" w:hAnsi="仿宋" w:cs="仿宋"/>
          <w:bCs/>
          <w:sz w:val="28"/>
          <w:szCs w:val="28"/>
          <w:highlight w:val="none"/>
        </w:rPr>
        <w:t>采购活动中出现违法、违规情形的；</w:t>
      </w:r>
    </w:p>
    <w:p w14:paraId="7119F52C">
      <w:pPr>
        <w:tabs>
          <w:tab w:val="left" w:pos="0"/>
        </w:tabs>
        <w:adjustRightInd w:val="0"/>
        <w:snapToGrid w:val="0"/>
        <w:spacing w:line="560" w:lineRule="exact"/>
        <w:ind w:firstLine="560" w:firstLineChars="200"/>
        <w:rPr>
          <w:rFonts w:ascii="宋体" w:hAnsi="宋体"/>
          <w:bCs/>
          <w:sz w:val="28"/>
          <w:szCs w:val="28"/>
          <w:highlight w:val="none"/>
        </w:rPr>
      </w:pPr>
      <w:r>
        <w:rPr>
          <w:rFonts w:hint="eastAsia" w:ascii="宋体" w:hAnsi="宋体"/>
          <w:bCs/>
          <w:sz w:val="28"/>
          <w:szCs w:val="28"/>
          <w:highlight w:val="none"/>
        </w:rPr>
        <w:t>（</w:t>
      </w:r>
      <w:r>
        <w:rPr>
          <w:rFonts w:ascii="宋体" w:hAnsi="宋体"/>
          <w:bCs/>
          <w:sz w:val="28"/>
          <w:szCs w:val="28"/>
          <w:highlight w:val="none"/>
        </w:rPr>
        <w:t>8）</w:t>
      </w:r>
      <w:r>
        <w:rPr>
          <w:rFonts w:hint="eastAsia" w:ascii="仿宋_GB2312" w:hAnsi="仿宋" w:cs="仿宋"/>
          <w:bCs/>
          <w:sz w:val="28"/>
          <w:szCs w:val="28"/>
          <w:highlight w:val="none"/>
        </w:rPr>
        <w:t>国家和军队法律法规规定的其他情形。</w:t>
      </w:r>
    </w:p>
    <w:bookmarkEnd w:id="275"/>
    <w:bookmarkEnd w:id="276"/>
    <w:bookmarkEnd w:id="277"/>
    <w:bookmarkEnd w:id="278"/>
    <w:bookmarkEnd w:id="279"/>
    <w:bookmarkEnd w:id="280"/>
    <w:p w14:paraId="606658AE">
      <w:pPr>
        <w:pStyle w:val="6"/>
        <w:keepNext w:val="0"/>
        <w:keepLines w:val="0"/>
        <w:adjustRightInd w:val="0"/>
        <w:snapToGrid w:val="0"/>
        <w:spacing w:before="0" w:after="0" w:line="560" w:lineRule="exact"/>
        <w:ind w:firstLine="560" w:firstLineChars="200"/>
        <w:rPr>
          <w:rFonts w:ascii="黑体" w:hAnsi="黑体"/>
          <w:b w:val="0"/>
          <w:highlight w:val="none"/>
        </w:rPr>
      </w:pPr>
      <w:bookmarkStart w:id="301" w:name="_Toc112768420"/>
      <w:bookmarkStart w:id="302" w:name="_Toc28022"/>
      <w:bookmarkStart w:id="303" w:name="_Toc24729"/>
      <w:bookmarkStart w:id="304" w:name="_Toc5728"/>
      <w:bookmarkStart w:id="305" w:name="_Toc18007"/>
      <w:bookmarkStart w:id="306" w:name="_Toc27475"/>
      <w:r>
        <w:rPr>
          <w:rFonts w:ascii="黑体" w:hAnsi="黑体"/>
          <w:b w:val="0"/>
          <w:highlight w:val="none"/>
        </w:rPr>
        <w:t>41.</w:t>
      </w:r>
      <w:bookmarkStart w:id="307" w:name="_Hlk112698157"/>
      <w:r>
        <w:rPr>
          <w:rFonts w:hint="eastAsia" w:ascii="黑体" w:hAnsi="黑体"/>
          <w:b w:val="0"/>
          <w:highlight w:val="none"/>
        </w:rPr>
        <w:t>特殊情形的</w:t>
      </w:r>
      <w:bookmarkEnd w:id="307"/>
      <w:r>
        <w:rPr>
          <w:rFonts w:hint="eastAsia" w:ascii="黑体" w:hAnsi="黑体"/>
          <w:b w:val="0"/>
          <w:highlight w:val="none"/>
        </w:rPr>
        <w:t>处理规定</w:t>
      </w:r>
      <w:bookmarkEnd w:id="301"/>
      <w:bookmarkEnd w:id="302"/>
      <w:bookmarkEnd w:id="303"/>
      <w:bookmarkEnd w:id="304"/>
      <w:bookmarkEnd w:id="305"/>
      <w:bookmarkEnd w:id="306"/>
    </w:p>
    <w:p w14:paraId="63A392FA">
      <w:pPr>
        <w:tabs>
          <w:tab w:val="left" w:pos="1020"/>
        </w:tabs>
        <w:adjustRightInd w:val="0"/>
        <w:snapToGrid w:val="0"/>
        <w:spacing w:line="560" w:lineRule="exact"/>
        <w:ind w:firstLine="560" w:firstLineChars="200"/>
        <w:rPr>
          <w:rFonts w:ascii="宋体" w:hAnsi="宋体"/>
          <w:bCs/>
          <w:sz w:val="28"/>
          <w:szCs w:val="28"/>
          <w:highlight w:val="none"/>
        </w:rPr>
      </w:pPr>
      <w:r>
        <w:rPr>
          <w:rFonts w:ascii="宋体" w:hAnsi="宋体"/>
          <w:bCs/>
          <w:sz w:val="28"/>
          <w:szCs w:val="28"/>
          <w:highlight w:val="none"/>
        </w:rPr>
        <w:t>41.1</w:t>
      </w:r>
      <w:r>
        <w:rPr>
          <w:rFonts w:hint="eastAsia" w:ascii="宋体" w:hAnsi="宋体"/>
          <w:bCs/>
          <w:sz w:val="28"/>
          <w:szCs w:val="28"/>
          <w:highlight w:val="none"/>
        </w:rPr>
        <w:t>报价供应商或通过资格性、符合性审查的报价供应商只有</w:t>
      </w:r>
      <w:r>
        <w:rPr>
          <w:rFonts w:ascii="宋体" w:hAnsi="宋体"/>
          <w:bCs/>
          <w:sz w:val="28"/>
          <w:szCs w:val="28"/>
          <w:highlight w:val="none"/>
        </w:rPr>
        <w:t>2家且预算500万元以下项目，或重新组织采购仍只有2家</w:t>
      </w:r>
      <w:r>
        <w:rPr>
          <w:rFonts w:hint="eastAsia" w:ascii="宋体" w:hAnsi="宋体"/>
          <w:bCs/>
          <w:sz w:val="28"/>
          <w:szCs w:val="28"/>
          <w:highlight w:val="none"/>
        </w:rPr>
        <w:t>报价</w:t>
      </w:r>
      <w:r>
        <w:rPr>
          <w:rFonts w:ascii="宋体" w:hAnsi="宋体"/>
          <w:bCs/>
          <w:sz w:val="28"/>
          <w:szCs w:val="28"/>
          <w:highlight w:val="none"/>
        </w:rPr>
        <w:t>供应商</w:t>
      </w:r>
      <w:r>
        <w:rPr>
          <w:rFonts w:hint="eastAsia" w:ascii="宋体" w:hAnsi="宋体"/>
          <w:bCs/>
          <w:sz w:val="28"/>
          <w:szCs w:val="28"/>
          <w:highlight w:val="none"/>
        </w:rPr>
        <w:t>响应的项目，评审委员会认为谈判文件无倾向性或排他性条款，供应商选择程序合规的，由采购机构报上级采购管理部门批准，并经采购单位同意后，按照原评审方法和评审标准继续组织评审。</w:t>
      </w:r>
    </w:p>
    <w:p w14:paraId="046990A7">
      <w:pPr>
        <w:tabs>
          <w:tab w:val="left" w:pos="1020"/>
        </w:tabs>
        <w:adjustRightInd w:val="0"/>
        <w:snapToGrid w:val="0"/>
        <w:spacing w:line="560" w:lineRule="exact"/>
        <w:ind w:firstLine="560" w:firstLineChars="200"/>
        <w:rPr>
          <w:rFonts w:ascii="仿宋_GB2312" w:hAnsi="宋体" w:cs="宋体"/>
          <w:bCs/>
          <w:sz w:val="28"/>
          <w:szCs w:val="36"/>
          <w:highlight w:val="none"/>
        </w:rPr>
      </w:pPr>
      <w:r>
        <w:rPr>
          <w:rFonts w:ascii="宋体" w:hAnsi="宋体"/>
          <w:bCs/>
          <w:sz w:val="28"/>
          <w:szCs w:val="28"/>
          <w:highlight w:val="none"/>
        </w:rPr>
        <w:t>41.2</w:t>
      </w:r>
      <w:r>
        <w:rPr>
          <w:rFonts w:hint="eastAsia" w:asciiTheme="minorEastAsia" w:hAnsiTheme="minorEastAsia" w:eastAsiaTheme="minorEastAsia"/>
          <w:bCs/>
          <w:sz w:val="28"/>
          <w:szCs w:val="28"/>
          <w:highlight w:val="none"/>
        </w:rPr>
        <w:t>按照</w:t>
      </w:r>
      <w:r>
        <w:rPr>
          <w:rFonts w:asciiTheme="minorEastAsia" w:hAnsiTheme="minorEastAsia" w:eastAsiaTheme="minorEastAsia"/>
          <w:bCs/>
          <w:sz w:val="28"/>
          <w:szCs w:val="28"/>
          <w:highlight w:val="none"/>
        </w:rPr>
        <w:t>41.1</w:t>
      </w:r>
      <w:r>
        <w:rPr>
          <w:rFonts w:hint="eastAsia" w:asciiTheme="minorEastAsia" w:hAnsiTheme="minorEastAsia" w:eastAsiaTheme="minorEastAsia"/>
          <w:bCs/>
          <w:sz w:val="28"/>
          <w:szCs w:val="28"/>
          <w:highlight w:val="none"/>
        </w:rPr>
        <w:t>条</w:t>
      </w:r>
      <w:r>
        <w:rPr>
          <w:rFonts w:asciiTheme="minorEastAsia" w:hAnsiTheme="minorEastAsia" w:eastAsiaTheme="minorEastAsia"/>
          <w:bCs/>
          <w:sz w:val="28"/>
          <w:szCs w:val="28"/>
          <w:highlight w:val="none"/>
        </w:rPr>
        <w:t>程序组织的项目，评审委员会或采购机构认为存在价格虚高风险的，可以提出审价方式定价结算</w:t>
      </w:r>
      <w:r>
        <w:rPr>
          <w:rFonts w:hint="eastAsia" w:asciiTheme="minorEastAsia" w:hAnsiTheme="minorEastAsia" w:eastAsiaTheme="minorEastAsia"/>
          <w:bCs/>
          <w:sz w:val="28"/>
          <w:szCs w:val="28"/>
          <w:highlight w:val="none"/>
        </w:rPr>
        <w:t>。</w:t>
      </w:r>
    </w:p>
    <w:p w14:paraId="7A4C96AA">
      <w:pPr>
        <w:pStyle w:val="5"/>
        <w:keepNext w:val="0"/>
        <w:keepLines w:val="0"/>
        <w:adjustRightInd w:val="0"/>
        <w:snapToGrid w:val="0"/>
        <w:spacing w:before="120" w:beforeLines="50" w:after="120" w:afterLines="50" w:line="560" w:lineRule="exact"/>
        <w:jc w:val="center"/>
        <w:rPr>
          <w:b w:val="0"/>
          <w:highlight w:val="none"/>
        </w:rPr>
      </w:pPr>
      <w:bookmarkStart w:id="308" w:name="_Toc16155"/>
      <w:bookmarkStart w:id="309" w:name="_Toc26655"/>
      <w:bookmarkStart w:id="310" w:name="_Toc6119"/>
      <w:bookmarkStart w:id="311" w:name="_Toc9433"/>
      <w:bookmarkStart w:id="312" w:name="_Toc32389"/>
      <w:bookmarkStart w:id="313" w:name="_Toc1261"/>
      <w:bookmarkStart w:id="314" w:name="_Toc112768425"/>
      <w:bookmarkStart w:id="315" w:name="_Toc19999"/>
      <w:bookmarkStart w:id="316" w:name="_Toc112317773"/>
      <w:bookmarkStart w:id="317" w:name="_Toc32618"/>
      <w:bookmarkStart w:id="318" w:name="_Toc30155"/>
      <w:bookmarkStart w:id="319" w:name="_Toc152058257"/>
      <w:bookmarkStart w:id="320" w:name="_Toc21751"/>
      <w:bookmarkStart w:id="321" w:name="_Toc28809"/>
      <w:r>
        <w:rPr>
          <w:rFonts w:hint="eastAsia"/>
          <w:b w:val="0"/>
          <w:highlight w:val="none"/>
        </w:rPr>
        <w:t>六、成交</w:t>
      </w:r>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p>
    <w:p w14:paraId="7247C065">
      <w:pPr>
        <w:pStyle w:val="6"/>
        <w:keepNext w:val="0"/>
        <w:keepLines w:val="0"/>
        <w:adjustRightInd w:val="0"/>
        <w:snapToGrid w:val="0"/>
        <w:spacing w:before="0" w:after="0" w:line="560" w:lineRule="exact"/>
        <w:ind w:firstLine="560" w:firstLineChars="200"/>
        <w:rPr>
          <w:rFonts w:ascii="黑体" w:hAnsi="黑体"/>
          <w:b w:val="0"/>
          <w:highlight w:val="none"/>
        </w:rPr>
      </w:pPr>
      <w:bookmarkStart w:id="322" w:name="_Toc26950"/>
      <w:bookmarkStart w:id="323" w:name="_Toc8158"/>
      <w:bookmarkStart w:id="324" w:name="_Toc12975"/>
      <w:bookmarkStart w:id="325" w:name="_Toc3301"/>
      <w:bookmarkStart w:id="326" w:name="_Toc3866"/>
      <w:bookmarkStart w:id="327" w:name="_Toc112768426"/>
      <w:r>
        <w:rPr>
          <w:rFonts w:ascii="黑体" w:hAnsi="黑体"/>
          <w:b w:val="0"/>
          <w:highlight w:val="none"/>
        </w:rPr>
        <w:t>42.</w:t>
      </w:r>
      <w:r>
        <w:rPr>
          <w:rFonts w:hint="eastAsia" w:ascii="黑体" w:hAnsi="黑体"/>
          <w:b w:val="0"/>
          <w:highlight w:val="none"/>
        </w:rPr>
        <w:t>成交供应商公示</w:t>
      </w:r>
      <w:bookmarkEnd w:id="322"/>
      <w:bookmarkEnd w:id="323"/>
      <w:bookmarkEnd w:id="324"/>
      <w:bookmarkEnd w:id="325"/>
      <w:bookmarkEnd w:id="326"/>
      <w:bookmarkEnd w:id="327"/>
    </w:p>
    <w:p w14:paraId="7D20556A">
      <w:pPr>
        <w:adjustRightInd w:val="0"/>
        <w:snapToGrid w:val="0"/>
        <w:spacing w:line="560" w:lineRule="exact"/>
        <w:ind w:firstLine="560" w:firstLineChars="200"/>
        <w:rPr>
          <w:rFonts w:ascii="宋体" w:hAnsi="宋体"/>
          <w:bCs/>
          <w:sz w:val="28"/>
          <w:szCs w:val="28"/>
          <w:highlight w:val="none"/>
        </w:rPr>
      </w:pPr>
      <w:r>
        <w:rPr>
          <w:rFonts w:ascii="宋体" w:hAnsi="宋体"/>
          <w:bCs/>
          <w:sz w:val="28"/>
          <w:szCs w:val="28"/>
          <w:highlight w:val="none"/>
        </w:rPr>
        <w:t>42.1评审结束后2个工作日内，采购机构在军队采购网（</w:t>
      </w:r>
      <w:r>
        <w:rPr>
          <w:rFonts w:hint="eastAsia" w:ascii="宋体" w:hAnsi="宋体"/>
          <w:bCs/>
          <w:sz w:val="28"/>
          <w:szCs w:val="28"/>
          <w:highlight w:val="none"/>
        </w:rPr>
        <w:t>www.plap.mil.cn</w:t>
      </w:r>
      <w:r>
        <w:rPr>
          <w:rFonts w:ascii="宋体" w:hAnsi="宋体"/>
          <w:bCs/>
          <w:sz w:val="28"/>
          <w:szCs w:val="28"/>
          <w:highlight w:val="none"/>
        </w:rPr>
        <w:t>）上公示评审结果，公示期</w:t>
      </w:r>
      <w:r>
        <w:rPr>
          <w:rFonts w:hint="eastAsia" w:ascii="宋体" w:hAnsi="宋体"/>
          <w:bCs/>
          <w:sz w:val="28"/>
          <w:szCs w:val="28"/>
          <w:highlight w:val="none"/>
        </w:rPr>
        <w:t>不少于</w:t>
      </w:r>
      <w:r>
        <w:rPr>
          <w:rFonts w:ascii="宋体" w:hAnsi="宋体"/>
          <w:bCs/>
          <w:sz w:val="28"/>
          <w:szCs w:val="28"/>
          <w:highlight w:val="none"/>
        </w:rPr>
        <w:t>3个工作日。在公示期内无异议的，</w:t>
      </w:r>
      <w:r>
        <w:rPr>
          <w:rFonts w:hint="eastAsia" w:ascii="宋体" w:hAnsi="宋体"/>
          <w:bCs/>
          <w:sz w:val="28"/>
          <w:szCs w:val="28"/>
          <w:highlight w:val="none"/>
        </w:rPr>
        <w:t>采购机构将评审结果报采购单位；有异议的，报价供应商可以依据谈判文件规定的方式提出质疑。</w:t>
      </w:r>
    </w:p>
    <w:p w14:paraId="527D4C86">
      <w:pPr>
        <w:adjustRightInd w:val="0"/>
        <w:snapToGrid w:val="0"/>
        <w:spacing w:line="560" w:lineRule="exact"/>
        <w:ind w:firstLine="560" w:firstLineChars="200"/>
        <w:rPr>
          <w:rFonts w:ascii="宋体" w:hAnsi="宋体"/>
          <w:bCs/>
          <w:sz w:val="28"/>
          <w:szCs w:val="28"/>
          <w:highlight w:val="none"/>
        </w:rPr>
      </w:pPr>
      <w:r>
        <w:rPr>
          <w:rFonts w:ascii="宋体" w:hAnsi="宋体"/>
          <w:bCs/>
          <w:sz w:val="28"/>
          <w:szCs w:val="28"/>
          <w:highlight w:val="none"/>
        </w:rPr>
        <w:t>42.2</w:t>
      </w:r>
      <w:r>
        <w:rPr>
          <w:rFonts w:hint="eastAsia" w:ascii="宋体" w:hAnsi="宋体"/>
          <w:bCs/>
          <w:sz w:val="28"/>
          <w:szCs w:val="28"/>
          <w:highlight w:val="none"/>
        </w:rPr>
        <w:t>成交</w:t>
      </w:r>
      <w:r>
        <w:rPr>
          <w:rFonts w:ascii="宋体" w:hAnsi="宋体"/>
          <w:bCs/>
          <w:sz w:val="28"/>
          <w:szCs w:val="28"/>
          <w:highlight w:val="none"/>
        </w:rPr>
        <w:t>供应商无正当理由放弃成交的，不予退还谈判保证金，</w:t>
      </w:r>
      <w:r>
        <w:rPr>
          <w:rFonts w:hint="eastAsia" w:ascii="宋体" w:hAnsi="宋体"/>
          <w:bCs/>
          <w:sz w:val="28"/>
          <w:szCs w:val="28"/>
          <w:highlight w:val="none"/>
        </w:rPr>
        <w:t>由采购管理部门依规处理。</w:t>
      </w:r>
    </w:p>
    <w:p w14:paraId="4C8B23EC">
      <w:pPr>
        <w:adjustRightInd w:val="0"/>
        <w:snapToGrid w:val="0"/>
        <w:spacing w:line="560" w:lineRule="exact"/>
        <w:ind w:firstLine="560" w:firstLineChars="200"/>
        <w:rPr>
          <w:rFonts w:ascii="宋体" w:hAnsi="宋体"/>
          <w:bCs/>
          <w:sz w:val="28"/>
          <w:szCs w:val="28"/>
          <w:highlight w:val="none"/>
        </w:rPr>
      </w:pPr>
      <w:r>
        <w:rPr>
          <w:rFonts w:ascii="宋体" w:hAnsi="宋体"/>
          <w:bCs/>
          <w:sz w:val="28"/>
          <w:szCs w:val="28"/>
          <w:highlight w:val="none"/>
        </w:rPr>
        <w:t>42.3成交供应商出现下列情况之一的，一经查实，将被取消成交资格：</w:t>
      </w:r>
    </w:p>
    <w:p w14:paraId="5DA832F8">
      <w:pPr>
        <w:adjustRightInd w:val="0"/>
        <w:snapToGrid w:val="0"/>
        <w:spacing w:line="560" w:lineRule="exact"/>
        <w:ind w:firstLine="560" w:firstLineChars="200"/>
        <w:rPr>
          <w:rFonts w:ascii="宋体" w:hAnsi="宋体"/>
          <w:bCs/>
          <w:sz w:val="28"/>
          <w:szCs w:val="28"/>
          <w:highlight w:val="none"/>
        </w:rPr>
      </w:pPr>
      <w:r>
        <w:rPr>
          <w:rFonts w:hint="eastAsia" w:ascii="宋体" w:hAnsi="宋体"/>
          <w:bCs/>
          <w:sz w:val="28"/>
          <w:szCs w:val="28"/>
          <w:highlight w:val="none"/>
        </w:rPr>
        <w:t xml:space="preserve">（1）属于谈判文件规定的虚假报价的； </w:t>
      </w:r>
    </w:p>
    <w:p w14:paraId="1CB2A56B">
      <w:pPr>
        <w:adjustRightInd w:val="0"/>
        <w:snapToGrid w:val="0"/>
        <w:spacing w:line="560" w:lineRule="exact"/>
        <w:ind w:firstLine="560" w:firstLineChars="200"/>
        <w:rPr>
          <w:rFonts w:ascii="宋体" w:hAnsi="宋体"/>
          <w:bCs/>
          <w:sz w:val="28"/>
          <w:szCs w:val="28"/>
          <w:highlight w:val="none"/>
        </w:rPr>
      </w:pPr>
      <w:r>
        <w:rPr>
          <w:rFonts w:hint="eastAsia" w:ascii="宋体" w:hAnsi="宋体"/>
          <w:bCs/>
          <w:sz w:val="28"/>
          <w:szCs w:val="28"/>
          <w:highlight w:val="none"/>
        </w:rPr>
        <w:t>（2）向采购单位、采购机构、评审委员会成员行贿或进行其他不正当利益输送的；</w:t>
      </w:r>
    </w:p>
    <w:p w14:paraId="4940DE0B">
      <w:pPr>
        <w:adjustRightInd w:val="0"/>
        <w:snapToGrid w:val="0"/>
        <w:spacing w:line="560" w:lineRule="exact"/>
        <w:ind w:firstLine="560" w:firstLineChars="200"/>
        <w:rPr>
          <w:rFonts w:ascii="宋体" w:hAnsi="宋体"/>
          <w:bCs/>
          <w:sz w:val="28"/>
          <w:szCs w:val="28"/>
          <w:highlight w:val="none"/>
        </w:rPr>
      </w:pPr>
      <w:r>
        <w:rPr>
          <w:rFonts w:hint="eastAsia" w:ascii="宋体" w:hAnsi="宋体"/>
          <w:bCs/>
          <w:sz w:val="28"/>
          <w:szCs w:val="28"/>
          <w:highlight w:val="none"/>
        </w:rPr>
        <w:t>（3）属于恶意低价竞争，报价明显低于合理成本且不能证明其报价合理的；</w:t>
      </w:r>
    </w:p>
    <w:p w14:paraId="12C16DF9">
      <w:pPr>
        <w:adjustRightInd w:val="0"/>
        <w:snapToGrid w:val="0"/>
        <w:spacing w:line="560" w:lineRule="exact"/>
        <w:ind w:firstLine="560" w:firstLineChars="200"/>
        <w:rPr>
          <w:rFonts w:ascii="宋体" w:hAnsi="宋体"/>
          <w:bCs/>
          <w:sz w:val="28"/>
          <w:szCs w:val="28"/>
          <w:highlight w:val="none"/>
        </w:rPr>
      </w:pPr>
      <w:r>
        <w:rPr>
          <w:rFonts w:hint="eastAsia" w:ascii="宋体" w:hAnsi="宋体"/>
          <w:bCs/>
          <w:sz w:val="28"/>
          <w:szCs w:val="28"/>
          <w:highlight w:val="none"/>
        </w:rPr>
        <w:t>（4）属于谈判文件规定的无效报价情形，但在评审过程中未被评审委员会发现的；</w:t>
      </w:r>
    </w:p>
    <w:p w14:paraId="1F8651A0">
      <w:pPr>
        <w:adjustRightInd w:val="0"/>
        <w:snapToGrid w:val="0"/>
        <w:spacing w:line="560" w:lineRule="exact"/>
        <w:ind w:firstLine="560" w:firstLineChars="200"/>
        <w:rPr>
          <w:rFonts w:ascii="宋体" w:hAnsi="宋体"/>
          <w:bCs/>
          <w:sz w:val="28"/>
          <w:szCs w:val="28"/>
          <w:highlight w:val="none"/>
        </w:rPr>
      </w:pPr>
      <w:r>
        <w:rPr>
          <w:rFonts w:hint="eastAsia" w:ascii="宋体" w:hAnsi="宋体"/>
          <w:bCs/>
          <w:sz w:val="28"/>
          <w:szCs w:val="28"/>
          <w:highlight w:val="none"/>
        </w:rPr>
        <w:t>（5）属于谈判文件规定的串通报价的；</w:t>
      </w:r>
    </w:p>
    <w:p w14:paraId="23F9E31E">
      <w:pPr>
        <w:adjustRightInd w:val="0"/>
        <w:snapToGrid w:val="0"/>
        <w:spacing w:line="560" w:lineRule="exact"/>
        <w:ind w:firstLine="560" w:firstLineChars="200"/>
        <w:rPr>
          <w:rFonts w:ascii="宋体" w:hAnsi="宋体"/>
          <w:bCs/>
          <w:sz w:val="28"/>
          <w:szCs w:val="28"/>
          <w:highlight w:val="none"/>
        </w:rPr>
      </w:pPr>
      <w:r>
        <w:rPr>
          <w:rFonts w:hint="eastAsia" w:ascii="宋体" w:hAnsi="宋体"/>
          <w:bCs/>
          <w:sz w:val="28"/>
          <w:szCs w:val="28"/>
          <w:highlight w:val="none"/>
        </w:rPr>
        <w:t>（6）出现干扰或影响评审客观公正行为的；</w:t>
      </w:r>
    </w:p>
    <w:p w14:paraId="2D06A994">
      <w:pPr>
        <w:adjustRightInd w:val="0"/>
        <w:snapToGrid w:val="0"/>
        <w:spacing w:line="560" w:lineRule="exact"/>
        <w:ind w:firstLine="560" w:firstLineChars="200"/>
        <w:rPr>
          <w:rFonts w:ascii="宋体" w:hAnsi="宋体"/>
          <w:bCs/>
          <w:sz w:val="28"/>
          <w:szCs w:val="28"/>
          <w:highlight w:val="none"/>
        </w:rPr>
      </w:pPr>
      <w:r>
        <w:rPr>
          <w:rFonts w:hint="eastAsia" w:ascii="宋体" w:hAnsi="宋体"/>
          <w:bCs/>
          <w:sz w:val="28"/>
          <w:szCs w:val="28"/>
          <w:highlight w:val="none"/>
        </w:rPr>
        <w:t>（7）存在其他违法违规行为的；</w:t>
      </w:r>
    </w:p>
    <w:p w14:paraId="67B495F3">
      <w:pPr>
        <w:adjustRightInd w:val="0"/>
        <w:snapToGrid w:val="0"/>
        <w:spacing w:line="560" w:lineRule="exact"/>
        <w:ind w:firstLine="560" w:firstLineChars="200"/>
        <w:rPr>
          <w:rFonts w:ascii="宋体" w:hAnsi="宋体"/>
          <w:bCs/>
          <w:sz w:val="28"/>
          <w:szCs w:val="28"/>
          <w:highlight w:val="none"/>
        </w:rPr>
      </w:pPr>
      <w:r>
        <w:rPr>
          <w:rFonts w:hint="eastAsia" w:ascii="宋体" w:hAnsi="宋体"/>
          <w:bCs/>
          <w:sz w:val="28"/>
          <w:szCs w:val="28"/>
          <w:highlight w:val="none"/>
        </w:rPr>
        <w:t>（8）国家和军队法律法规规定的其他情形。</w:t>
      </w:r>
    </w:p>
    <w:p w14:paraId="13D8160B">
      <w:pPr>
        <w:adjustRightInd w:val="0"/>
        <w:snapToGrid w:val="0"/>
        <w:spacing w:line="560" w:lineRule="exact"/>
        <w:ind w:firstLine="560" w:firstLineChars="200"/>
        <w:rPr>
          <w:rFonts w:ascii="宋体" w:hAnsi="宋体"/>
          <w:bCs/>
          <w:sz w:val="28"/>
          <w:szCs w:val="28"/>
          <w:highlight w:val="none"/>
        </w:rPr>
      </w:pPr>
      <w:r>
        <w:rPr>
          <w:rFonts w:hint="eastAsia" w:ascii="宋体" w:hAnsi="宋体"/>
          <w:bCs/>
          <w:sz w:val="28"/>
          <w:szCs w:val="28"/>
          <w:highlight w:val="none"/>
        </w:rPr>
        <w:t>成交供应商在签订正式合同前，受到禁止参加军队采购活动处罚且本项目在处罚范围内的，取消成交资格。成交供应商被取消或放弃成交资格的，采购单位可以按照评审排名结果依次递补确定成交供应商，但剩余有效报价供应商数量应当达到需要递补报价供应商数量的2倍，否则由采购机构重新组织采购。</w:t>
      </w:r>
    </w:p>
    <w:p w14:paraId="11A9CC05">
      <w:pPr>
        <w:pStyle w:val="6"/>
        <w:keepNext w:val="0"/>
        <w:keepLines w:val="0"/>
        <w:adjustRightInd w:val="0"/>
        <w:snapToGrid w:val="0"/>
        <w:spacing w:before="0" w:after="0" w:line="560" w:lineRule="exact"/>
        <w:ind w:firstLine="560" w:firstLineChars="200"/>
        <w:rPr>
          <w:rFonts w:ascii="黑体" w:hAnsi="黑体"/>
          <w:b w:val="0"/>
          <w:highlight w:val="none"/>
        </w:rPr>
      </w:pPr>
      <w:bookmarkStart w:id="328" w:name="_Toc5791"/>
      <w:bookmarkStart w:id="329" w:name="_Toc112768427"/>
      <w:bookmarkStart w:id="330" w:name="_Toc22523"/>
      <w:bookmarkStart w:id="331" w:name="_Toc15845"/>
      <w:bookmarkStart w:id="332" w:name="_Toc21704"/>
      <w:bookmarkStart w:id="333" w:name="_Toc13364"/>
      <w:r>
        <w:rPr>
          <w:rFonts w:ascii="黑体" w:hAnsi="黑体"/>
          <w:b w:val="0"/>
          <w:highlight w:val="none"/>
        </w:rPr>
        <w:t>43.</w:t>
      </w:r>
      <w:r>
        <w:rPr>
          <w:rFonts w:hint="eastAsia" w:ascii="黑体" w:hAnsi="黑体"/>
          <w:b w:val="0"/>
          <w:highlight w:val="none"/>
        </w:rPr>
        <w:t>成交通知</w:t>
      </w:r>
      <w:bookmarkEnd w:id="328"/>
      <w:bookmarkEnd w:id="329"/>
      <w:bookmarkEnd w:id="330"/>
      <w:bookmarkEnd w:id="331"/>
      <w:bookmarkEnd w:id="332"/>
      <w:bookmarkEnd w:id="333"/>
    </w:p>
    <w:p w14:paraId="71B59159">
      <w:pPr>
        <w:adjustRightInd w:val="0"/>
        <w:snapToGrid w:val="0"/>
        <w:spacing w:line="560" w:lineRule="exact"/>
        <w:ind w:firstLine="560" w:firstLineChars="200"/>
        <w:rPr>
          <w:rFonts w:ascii="宋体" w:hAnsi="宋体"/>
          <w:bCs/>
          <w:sz w:val="28"/>
          <w:szCs w:val="28"/>
          <w:highlight w:val="none"/>
        </w:rPr>
      </w:pPr>
      <w:r>
        <w:rPr>
          <w:rFonts w:ascii="宋体" w:hAnsi="宋体"/>
          <w:bCs/>
          <w:sz w:val="28"/>
          <w:szCs w:val="28"/>
          <w:highlight w:val="none"/>
        </w:rPr>
        <w:t>43.1</w:t>
      </w:r>
      <w:r>
        <w:rPr>
          <w:rFonts w:hint="eastAsia" w:ascii="Times New Roman" w:hAnsi="Times New Roman" w:cs="Times New Roman"/>
          <w:bCs/>
          <w:sz w:val="28"/>
          <w:szCs w:val="28"/>
          <w:highlight w:val="none"/>
        </w:rPr>
        <w:t>评审</w:t>
      </w:r>
      <w:r>
        <w:rPr>
          <w:rFonts w:ascii="Times New Roman" w:hAnsi="Times New Roman" w:cs="Times New Roman"/>
          <w:bCs/>
          <w:sz w:val="28"/>
          <w:szCs w:val="28"/>
          <w:highlight w:val="none"/>
        </w:rPr>
        <w:t>结果公示无异议</w:t>
      </w:r>
      <w:r>
        <w:rPr>
          <w:rFonts w:hint="eastAsia" w:ascii="Times New Roman" w:hAnsi="Times New Roman" w:cs="Times New Roman"/>
          <w:bCs/>
          <w:sz w:val="28"/>
          <w:szCs w:val="28"/>
          <w:highlight w:val="none"/>
        </w:rPr>
        <w:t>、采购人完成价格复核并确定成交人</w:t>
      </w:r>
      <w:r>
        <w:rPr>
          <w:rFonts w:ascii="Times New Roman" w:hAnsi="Times New Roman" w:cs="Times New Roman"/>
          <w:bCs/>
          <w:sz w:val="28"/>
          <w:szCs w:val="28"/>
          <w:highlight w:val="none"/>
        </w:rPr>
        <w:t>后2个工作日内，采购机构以书面形式向成交供应商发出《成交通知书》，同时向未成交供应商发出《未成交通知书》。</w:t>
      </w:r>
    </w:p>
    <w:p w14:paraId="74010342">
      <w:pPr>
        <w:pStyle w:val="5"/>
        <w:keepNext w:val="0"/>
        <w:keepLines w:val="0"/>
        <w:adjustRightInd w:val="0"/>
        <w:snapToGrid w:val="0"/>
        <w:spacing w:before="120" w:beforeLines="50" w:after="120" w:afterLines="50" w:line="560" w:lineRule="exact"/>
        <w:jc w:val="center"/>
        <w:rPr>
          <w:b w:val="0"/>
          <w:highlight w:val="none"/>
        </w:rPr>
      </w:pPr>
      <w:bookmarkStart w:id="334" w:name="_Toc21091"/>
      <w:bookmarkStart w:id="335" w:name="_Toc862"/>
      <w:bookmarkStart w:id="336" w:name="_Toc30106"/>
      <w:bookmarkStart w:id="337" w:name="_Toc152058258"/>
      <w:bookmarkStart w:id="338" w:name="_Toc3094"/>
      <w:bookmarkStart w:id="339" w:name="_Toc27080"/>
      <w:bookmarkStart w:id="340" w:name="_Toc14223"/>
      <w:bookmarkStart w:id="341" w:name="_Toc15545"/>
      <w:bookmarkStart w:id="342" w:name="_Toc112317774"/>
      <w:bookmarkStart w:id="343" w:name="_Toc31814"/>
      <w:bookmarkStart w:id="344" w:name="_Toc1745"/>
      <w:bookmarkStart w:id="345" w:name="_Toc24236"/>
      <w:bookmarkStart w:id="346" w:name="_Toc1444"/>
      <w:bookmarkStart w:id="347" w:name="_Toc112768428"/>
      <w:r>
        <w:rPr>
          <w:rFonts w:hint="eastAsia"/>
          <w:b w:val="0"/>
          <w:highlight w:val="none"/>
        </w:rPr>
        <w:t>七、质疑、投诉和投诉复议</w:t>
      </w:r>
      <w:bookmarkEnd w:id="334"/>
      <w:bookmarkEnd w:id="335"/>
      <w:bookmarkEnd w:id="336"/>
      <w:bookmarkEnd w:id="337"/>
      <w:bookmarkEnd w:id="338"/>
      <w:bookmarkEnd w:id="339"/>
      <w:bookmarkEnd w:id="340"/>
    </w:p>
    <w:p w14:paraId="096EEB46">
      <w:pPr>
        <w:pStyle w:val="6"/>
        <w:keepNext w:val="0"/>
        <w:keepLines w:val="0"/>
        <w:adjustRightInd w:val="0"/>
        <w:snapToGrid w:val="0"/>
        <w:spacing w:before="0" w:after="0" w:line="560" w:lineRule="exact"/>
        <w:ind w:firstLine="560" w:firstLineChars="200"/>
        <w:rPr>
          <w:rFonts w:ascii="黑体" w:hAnsi="黑体"/>
          <w:b w:val="0"/>
          <w:highlight w:val="none"/>
        </w:rPr>
      </w:pPr>
      <w:r>
        <w:rPr>
          <w:rFonts w:ascii="黑体" w:hAnsi="黑体"/>
          <w:b w:val="0"/>
          <w:highlight w:val="none"/>
        </w:rPr>
        <w:t>44.</w:t>
      </w:r>
      <w:r>
        <w:rPr>
          <w:rFonts w:hint="eastAsia" w:ascii="黑体" w:hAnsi="黑体"/>
          <w:b w:val="0"/>
          <w:highlight w:val="none"/>
        </w:rPr>
        <w:t>质疑</w:t>
      </w:r>
    </w:p>
    <w:p w14:paraId="3DD6A372">
      <w:pPr>
        <w:tabs>
          <w:tab w:val="left" w:pos="562"/>
          <w:tab w:val="left" w:pos="1129"/>
        </w:tabs>
        <w:adjustRightInd w:val="0"/>
        <w:snapToGrid w:val="0"/>
        <w:spacing w:line="560" w:lineRule="exact"/>
        <w:ind w:firstLine="560" w:firstLineChars="200"/>
        <w:rPr>
          <w:rFonts w:ascii="宋体" w:hAnsi="宋体"/>
          <w:bCs/>
          <w:sz w:val="28"/>
          <w:szCs w:val="28"/>
          <w:highlight w:val="none"/>
        </w:rPr>
      </w:pPr>
      <w:r>
        <w:rPr>
          <w:rFonts w:ascii="宋体" w:hAnsi="宋体"/>
          <w:bCs/>
          <w:sz w:val="28"/>
          <w:szCs w:val="28"/>
          <w:highlight w:val="none"/>
        </w:rPr>
        <w:t>44.1供应商认为</w:t>
      </w:r>
      <w:r>
        <w:rPr>
          <w:rFonts w:hint="eastAsia" w:ascii="宋体" w:hAnsi="宋体"/>
          <w:bCs/>
          <w:sz w:val="28"/>
          <w:szCs w:val="28"/>
          <w:highlight w:val="none"/>
        </w:rPr>
        <w:t>谈判文件、谈判过程、成交结果使自己权益受到损害的，以书面形式向采购机构提出质疑。供应商应当在规定质疑期内一次性提出针对同一采购程序环节的质疑。</w:t>
      </w:r>
    </w:p>
    <w:p w14:paraId="3DA27275">
      <w:pPr>
        <w:tabs>
          <w:tab w:val="left" w:pos="562"/>
          <w:tab w:val="left" w:pos="1129"/>
        </w:tabs>
        <w:adjustRightInd w:val="0"/>
        <w:snapToGrid w:val="0"/>
        <w:spacing w:line="560" w:lineRule="exact"/>
        <w:ind w:firstLine="560" w:firstLineChars="200"/>
        <w:rPr>
          <w:rFonts w:ascii="宋体" w:hAnsi="宋体"/>
          <w:bCs/>
          <w:sz w:val="28"/>
          <w:szCs w:val="28"/>
          <w:highlight w:val="none"/>
        </w:rPr>
      </w:pPr>
      <w:r>
        <w:rPr>
          <w:rFonts w:hint="eastAsia" w:ascii="宋体" w:hAnsi="宋体"/>
          <w:bCs/>
          <w:sz w:val="28"/>
          <w:szCs w:val="28"/>
          <w:highlight w:val="none"/>
        </w:rPr>
        <w:t>（1）领取资格预审文件的供应商，对资格预审文件的质疑应当在提交资格预审申请文件截止时间2日前提出。</w:t>
      </w:r>
    </w:p>
    <w:p w14:paraId="3A20EEA2">
      <w:pPr>
        <w:tabs>
          <w:tab w:val="left" w:pos="562"/>
          <w:tab w:val="left" w:pos="1129"/>
        </w:tabs>
        <w:adjustRightInd w:val="0"/>
        <w:snapToGrid w:val="0"/>
        <w:spacing w:line="560" w:lineRule="exact"/>
        <w:ind w:firstLine="560" w:firstLineChars="200"/>
        <w:rPr>
          <w:rFonts w:ascii="宋体" w:hAnsi="宋体"/>
          <w:bCs/>
          <w:sz w:val="28"/>
          <w:szCs w:val="28"/>
          <w:highlight w:val="none"/>
        </w:rPr>
      </w:pPr>
      <w:r>
        <w:rPr>
          <w:rFonts w:hint="eastAsia" w:ascii="宋体" w:hAnsi="宋体"/>
          <w:bCs/>
          <w:sz w:val="28"/>
          <w:szCs w:val="28"/>
          <w:highlight w:val="none"/>
        </w:rPr>
        <w:t>（</w:t>
      </w:r>
      <w:r>
        <w:rPr>
          <w:rFonts w:ascii="宋体" w:hAnsi="宋体"/>
          <w:bCs/>
          <w:sz w:val="28"/>
          <w:szCs w:val="28"/>
          <w:highlight w:val="none"/>
        </w:rPr>
        <w:t>2）</w:t>
      </w:r>
      <w:r>
        <w:rPr>
          <w:rFonts w:hint="eastAsia" w:ascii="宋体" w:hAnsi="宋体"/>
          <w:bCs/>
          <w:sz w:val="28"/>
          <w:szCs w:val="28"/>
          <w:highlight w:val="none"/>
        </w:rPr>
        <w:t>领取谈判文件的供应商，</w:t>
      </w:r>
      <w:r>
        <w:rPr>
          <w:rFonts w:ascii="宋体" w:hAnsi="宋体"/>
          <w:bCs/>
          <w:sz w:val="28"/>
          <w:szCs w:val="28"/>
          <w:highlight w:val="none"/>
        </w:rPr>
        <w:t>对谈判文件的</w:t>
      </w:r>
      <w:r>
        <w:rPr>
          <w:rFonts w:hint="eastAsia" w:ascii="宋体" w:hAnsi="宋体"/>
          <w:bCs/>
          <w:sz w:val="28"/>
          <w:szCs w:val="28"/>
          <w:highlight w:val="none"/>
        </w:rPr>
        <w:t>质疑应当</w:t>
      </w:r>
      <w:r>
        <w:rPr>
          <w:rFonts w:ascii="宋体" w:hAnsi="宋体"/>
          <w:bCs/>
          <w:sz w:val="28"/>
          <w:szCs w:val="28"/>
          <w:highlight w:val="none"/>
        </w:rPr>
        <w:t>在</w:t>
      </w:r>
      <w:r>
        <w:rPr>
          <w:rFonts w:hint="eastAsia" w:ascii="宋体" w:hAnsi="宋体"/>
          <w:bCs/>
          <w:sz w:val="28"/>
          <w:szCs w:val="28"/>
          <w:highlight w:val="none"/>
        </w:rPr>
        <w:t>申领谈判文件之日起3</w:t>
      </w:r>
      <w:r>
        <w:rPr>
          <w:rFonts w:ascii="宋体" w:hAnsi="宋体"/>
          <w:bCs/>
          <w:sz w:val="28"/>
          <w:szCs w:val="28"/>
          <w:highlight w:val="none"/>
        </w:rPr>
        <w:t>个工作日内</w:t>
      </w:r>
      <w:r>
        <w:rPr>
          <w:rFonts w:hint="eastAsia" w:ascii="宋体" w:hAnsi="宋体"/>
          <w:bCs/>
          <w:sz w:val="28"/>
          <w:szCs w:val="28"/>
          <w:highlight w:val="none"/>
        </w:rPr>
        <w:t>提出。</w:t>
      </w:r>
    </w:p>
    <w:p w14:paraId="5815C3BC">
      <w:pPr>
        <w:tabs>
          <w:tab w:val="left" w:pos="562"/>
          <w:tab w:val="left" w:pos="1129"/>
        </w:tabs>
        <w:adjustRightInd w:val="0"/>
        <w:snapToGrid w:val="0"/>
        <w:spacing w:line="560" w:lineRule="exact"/>
        <w:ind w:firstLine="560" w:firstLineChars="200"/>
        <w:rPr>
          <w:rFonts w:ascii="宋体" w:hAnsi="宋体"/>
          <w:bCs/>
          <w:sz w:val="28"/>
          <w:szCs w:val="28"/>
          <w:highlight w:val="none"/>
        </w:rPr>
      </w:pPr>
      <w:r>
        <w:rPr>
          <w:rFonts w:hint="eastAsia" w:ascii="宋体" w:hAnsi="宋体"/>
          <w:bCs/>
          <w:sz w:val="28"/>
          <w:szCs w:val="28"/>
          <w:highlight w:val="none"/>
        </w:rPr>
        <w:t>（</w:t>
      </w:r>
      <w:r>
        <w:rPr>
          <w:rFonts w:ascii="宋体" w:hAnsi="宋体"/>
          <w:bCs/>
          <w:sz w:val="28"/>
          <w:szCs w:val="28"/>
          <w:highlight w:val="none"/>
        </w:rPr>
        <w:t>3）</w:t>
      </w:r>
      <w:r>
        <w:rPr>
          <w:rFonts w:hint="eastAsia" w:ascii="宋体" w:hAnsi="宋体"/>
          <w:bCs/>
          <w:sz w:val="28"/>
          <w:szCs w:val="28"/>
          <w:highlight w:val="none"/>
        </w:rPr>
        <w:t>报价供应商</w:t>
      </w:r>
      <w:r>
        <w:rPr>
          <w:rFonts w:ascii="宋体" w:hAnsi="宋体"/>
          <w:bCs/>
          <w:sz w:val="28"/>
          <w:szCs w:val="28"/>
          <w:highlight w:val="none"/>
        </w:rPr>
        <w:t>对谈判过程提出质疑的，应当在各采购程序环节结束之日起3日内提出</w:t>
      </w:r>
      <w:r>
        <w:rPr>
          <w:rFonts w:hint="eastAsia" w:ascii="宋体" w:hAnsi="宋体"/>
          <w:bCs/>
          <w:sz w:val="28"/>
          <w:szCs w:val="28"/>
          <w:highlight w:val="none"/>
        </w:rPr>
        <w:t>。</w:t>
      </w:r>
    </w:p>
    <w:p w14:paraId="5E8C93EE">
      <w:pPr>
        <w:tabs>
          <w:tab w:val="left" w:pos="562"/>
          <w:tab w:val="left" w:pos="1129"/>
        </w:tabs>
        <w:adjustRightInd w:val="0"/>
        <w:snapToGrid w:val="0"/>
        <w:spacing w:line="560" w:lineRule="exact"/>
        <w:ind w:firstLine="560" w:firstLineChars="200"/>
        <w:rPr>
          <w:rFonts w:ascii="宋体" w:hAnsi="宋体"/>
          <w:bCs/>
          <w:sz w:val="28"/>
          <w:szCs w:val="28"/>
          <w:highlight w:val="none"/>
        </w:rPr>
      </w:pPr>
      <w:r>
        <w:rPr>
          <w:rFonts w:hint="eastAsia" w:ascii="宋体" w:hAnsi="宋体"/>
          <w:bCs/>
          <w:sz w:val="28"/>
          <w:szCs w:val="28"/>
          <w:highlight w:val="none"/>
        </w:rPr>
        <w:t>（</w:t>
      </w:r>
      <w:r>
        <w:rPr>
          <w:rFonts w:ascii="宋体" w:hAnsi="宋体"/>
          <w:bCs/>
          <w:sz w:val="28"/>
          <w:szCs w:val="28"/>
          <w:highlight w:val="none"/>
        </w:rPr>
        <w:t>4）</w:t>
      </w:r>
      <w:r>
        <w:rPr>
          <w:rFonts w:hint="eastAsia" w:ascii="宋体" w:hAnsi="宋体"/>
          <w:bCs/>
          <w:sz w:val="28"/>
          <w:szCs w:val="28"/>
          <w:highlight w:val="none"/>
        </w:rPr>
        <w:t>报价供应商</w:t>
      </w:r>
      <w:r>
        <w:rPr>
          <w:rFonts w:ascii="宋体" w:hAnsi="宋体"/>
          <w:bCs/>
          <w:sz w:val="28"/>
          <w:szCs w:val="28"/>
          <w:highlight w:val="none"/>
        </w:rPr>
        <w:t>对成交结果提出质疑的，应当在成交结果公示期内提出。</w:t>
      </w:r>
    </w:p>
    <w:p w14:paraId="41D3453A">
      <w:pPr>
        <w:tabs>
          <w:tab w:val="left" w:pos="562"/>
          <w:tab w:val="left" w:pos="1129"/>
        </w:tabs>
        <w:adjustRightInd w:val="0"/>
        <w:snapToGrid w:val="0"/>
        <w:spacing w:line="560" w:lineRule="exact"/>
        <w:ind w:firstLine="560" w:firstLineChars="200"/>
        <w:rPr>
          <w:rFonts w:ascii="宋体" w:hAnsi="宋体"/>
          <w:bCs/>
          <w:sz w:val="28"/>
          <w:szCs w:val="28"/>
          <w:highlight w:val="none"/>
        </w:rPr>
      </w:pPr>
      <w:r>
        <w:rPr>
          <w:rFonts w:ascii="宋体" w:hAnsi="宋体"/>
          <w:bCs/>
          <w:sz w:val="28"/>
          <w:szCs w:val="28"/>
          <w:highlight w:val="none"/>
        </w:rPr>
        <w:t>44.2</w:t>
      </w:r>
      <w:r>
        <w:rPr>
          <w:rFonts w:hint="eastAsia" w:ascii="宋体" w:hAnsi="宋体"/>
          <w:bCs/>
          <w:sz w:val="28"/>
          <w:szCs w:val="28"/>
          <w:highlight w:val="none"/>
        </w:rPr>
        <w:t>报价</w:t>
      </w:r>
      <w:r>
        <w:rPr>
          <w:rFonts w:ascii="宋体" w:hAnsi="宋体"/>
          <w:bCs/>
          <w:sz w:val="28"/>
          <w:szCs w:val="28"/>
          <w:highlight w:val="none"/>
        </w:rPr>
        <w:t>供应商应当按照</w:t>
      </w:r>
      <w:r>
        <w:rPr>
          <w:rFonts w:hint="eastAsia" w:ascii="宋体" w:hAnsi="宋体"/>
          <w:bCs/>
          <w:sz w:val="28"/>
          <w:szCs w:val="28"/>
          <w:highlight w:val="none"/>
        </w:rPr>
        <w:t>谈判文件</w:t>
      </w:r>
      <w:r>
        <w:rPr>
          <w:rFonts w:ascii="宋体" w:hAnsi="宋体"/>
          <w:bCs/>
          <w:sz w:val="28"/>
          <w:szCs w:val="28"/>
          <w:highlight w:val="none"/>
        </w:rPr>
        <w:t>规定的程序和渠道</w:t>
      </w:r>
      <w:r>
        <w:rPr>
          <w:rFonts w:hint="eastAsia" w:ascii="宋体" w:hAnsi="宋体"/>
          <w:bCs/>
          <w:sz w:val="28"/>
          <w:szCs w:val="28"/>
          <w:highlight w:val="none"/>
        </w:rPr>
        <w:t>提出质疑</w:t>
      </w:r>
      <w:r>
        <w:rPr>
          <w:rFonts w:ascii="宋体" w:hAnsi="宋体"/>
          <w:bCs/>
          <w:sz w:val="28"/>
          <w:szCs w:val="28"/>
          <w:highlight w:val="none"/>
        </w:rPr>
        <w:t>，</w:t>
      </w:r>
      <w:r>
        <w:rPr>
          <w:rFonts w:hint="eastAsia" w:ascii="宋体" w:hAnsi="宋体"/>
          <w:bCs/>
          <w:sz w:val="28"/>
          <w:szCs w:val="28"/>
          <w:highlight w:val="none"/>
        </w:rPr>
        <w:t>质疑函</w:t>
      </w:r>
      <w:r>
        <w:rPr>
          <w:rFonts w:ascii="宋体" w:hAnsi="宋体"/>
          <w:bCs/>
          <w:sz w:val="28"/>
          <w:szCs w:val="28"/>
          <w:highlight w:val="none"/>
        </w:rPr>
        <w:t>主要包括下列内容：</w:t>
      </w:r>
    </w:p>
    <w:p w14:paraId="523A12B8">
      <w:pPr>
        <w:adjustRightInd w:val="0"/>
        <w:snapToGrid w:val="0"/>
        <w:spacing w:line="560" w:lineRule="exact"/>
        <w:ind w:firstLine="560" w:firstLineChars="200"/>
        <w:rPr>
          <w:rFonts w:ascii="宋体" w:hAnsi="宋体"/>
          <w:bCs/>
          <w:sz w:val="28"/>
          <w:szCs w:val="28"/>
          <w:highlight w:val="none"/>
        </w:rPr>
      </w:pPr>
      <w:r>
        <w:rPr>
          <w:rFonts w:hint="eastAsia" w:ascii="宋体" w:hAnsi="宋体"/>
          <w:bCs/>
          <w:sz w:val="28"/>
          <w:szCs w:val="28"/>
          <w:highlight w:val="none"/>
        </w:rPr>
        <w:t>（</w:t>
      </w:r>
      <w:r>
        <w:rPr>
          <w:rFonts w:ascii="宋体" w:hAnsi="宋体"/>
          <w:bCs/>
          <w:sz w:val="28"/>
          <w:szCs w:val="28"/>
          <w:highlight w:val="none"/>
        </w:rPr>
        <w:t>1）</w:t>
      </w:r>
      <w:r>
        <w:rPr>
          <w:rFonts w:hint="eastAsia" w:ascii="宋体" w:hAnsi="宋体"/>
          <w:bCs/>
          <w:sz w:val="28"/>
          <w:szCs w:val="28"/>
          <w:highlight w:val="none"/>
        </w:rPr>
        <w:t>报价供应商名称、通讯地址、联系人及联系电话；</w:t>
      </w:r>
    </w:p>
    <w:p w14:paraId="2724739B">
      <w:pPr>
        <w:adjustRightInd w:val="0"/>
        <w:snapToGrid w:val="0"/>
        <w:spacing w:line="560" w:lineRule="exact"/>
        <w:ind w:firstLine="560" w:firstLineChars="200"/>
        <w:rPr>
          <w:rFonts w:ascii="宋体" w:hAnsi="宋体"/>
          <w:bCs/>
          <w:sz w:val="28"/>
          <w:szCs w:val="28"/>
          <w:highlight w:val="none"/>
        </w:rPr>
      </w:pPr>
      <w:r>
        <w:rPr>
          <w:rFonts w:hint="eastAsia" w:ascii="宋体" w:hAnsi="宋体"/>
          <w:bCs/>
          <w:sz w:val="28"/>
          <w:szCs w:val="28"/>
          <w:highlight w:val="none"/>
        </w:rPr>
        <w:t>（</w:t>
      </w:r>
      <w:r>
        <w:rPr>
          <w:rFonts w:ascii="宋体" w:hAnsi="宋体"/>
          <w:bCs/>
          <w:sz w:val="28"/>
          <w:szCs w:val="28"/>
          <w:highlight w:val="none"/>
        </w:rPr>
        <w:t>2）</w:t>
      </w:r>
      <w:r>
        <w:rPr>
          <w:rFonts w:hint="eastAsia" w:ascii="宋体" w:hAnsi="宋体"/>
          <w:bCs/>
          <w:sz w:val="28"/>
          <w:szCs w:val="28"/>
          <w:highlight w:val="none"/>
        </w:rPr>
        <w:t>质疑采购项目的名称、编号；</w:t>
      </w:r>
    </w:p>
    <w:p w14:paraId="31D9575A">
      <w:pPr>
        <w:adjustRightInd w:val="0"/>
        <w:snapToGrid w:val="0"/>
        <w:spacing w:line="560" w:lineRule="exact"/>
        <w:ind w:firstLine="560" w:firstLineChars="200"/>
        <w:rPr>
          <w:rFonts w:ascii="宋体" w:hAnsi="宋体"/>
          <w:bCs/>
          <w:sz w:val="28"/>
          <w:szCs w:val="28"/>
          <w:highlight w:val="none"/>
        </w:rPr>
      </w:pPr>
      <w:r>
        <w:rPr>
          <w:rFonts w:hint="eastAsia" w:ascii="宋体" w:hAnsi="宋体"/>
          <w:bCs/>
          <w:sz w:val="28"/>
          <w:szCs w:val="28"/>
          <w:highlight w:val="none"/>
        </w:rPr>
        <w:t>（</w:t>
      </w:r>
      <w:r>
        <w:rPr>
          <w:rFonts w:ascii="宋体" w:hAnsi="宋体"/>
          <w:bCs/>
          <w:sz w:val="28"/>
          <w:szCs w:val="28"/>
          <w:highlight w:val="none"/>
        </w:rPr>
        <w:t>3）</w:t>
      </w:r>
      <w:r>
        <w:rPr>
          <w:rFonts w:hint="eastAsia" w:ascii="宋体" w:hAnsi="宋体"/>
          <w:bCs/>
          <w:sz w:val="28"/>
          <w:szCs w:val="28"/>
          <w:highlight w:val="none"/>
        </w:rPr>
        <w:t>具体质疑事项和请求；</w:t>
      </w:r>
    </w:p>
    <w:p w14:paraId="11006679">
      <w:pPr>
        <w:adjustRightInd w:val="0"/>
        <w:snapToGrid w:val="0"/>
        <w:spacing w:line="560" w:lineRule="exact"/>
        <w:ind w:firstLine="560" w:firstLineChars="200"/>
        <w:rPr>
          <w:rFonts w:ascii="宋体" w:hAnsi="宋体"/>
          <w:bCs/>
          <w:sz w:val="28"/>
          <w:szCs w:val="28"/>
          <w:highlight w:val="none"/>
        </w:rPr>
      </w:pPr>
      <w:r>
        <w:rPr>
          <w:rFonts w:hint="eastAsia" w:ascii="宋体" w:hAnsi="宋体"/>
          <w:bCs/>
          <w:sz w:val="28"/>
          <w:szCs w:val="28"/>
          <w:highlight w:val="none"/>
        </w:rPr>
        <w:t>（</w:t>
      </w:r>
      <w:r>
        <w:rPr>
          <w:rFonts w:ascii="宋体" w:hAnsi="宋体"/>
          <w:bCs/>
          <w:sz w:val="28"/>
          <w:szCs w:val="28"/>
          <w:highlight w:val="none"/>
        </w:rPr>
        <w:t>4）</w:t>
      </w:r>
      <w:r>
        <w:rPr>
          <w:rFonts w:hint="eastAsia" w:ascii="宋体" w:hAnsi="宋体"/>
          <w:bCs/>
          <w:sz w:val="28"/>
          <w:szCs w:val="28"/>
          <w:highlight w:val="none"/>
        </w:rPr>
        <w:t>事实依据；</w:t>
      </w:r>
    </w:p>
    <w:p w14:paraId="7E731343">
      <w:pPr>
        <w:adjustRightInd w:val="0"/>
        <w:snapToGrid w:val="0"/>
        <w:spacing w:line="560" w:lineRule="exact"/>
        <w:ind w:firstLine="560" w:firstLineChars="200"/>
        <w:rPr>
          <w:rFonts w:ascii="宋体" w:hAnsi="宋体"/>
          <w:bCs/>
          <w:sz w:val="28"/>
          <w:szCs w:val="28"/>
          <w:highlight w:val="none"/>
        </w:rPr>
      </w:pPr>
      <w:r>
        <w:rPr>
          <w:rFonts w:hint="eastAsia" w:ascii="宋体" w:hAnsi="宋体"/>
          <w:bCs/>
          <w:sz w:val="28"/>
          <w:szCs w:val="28"/>
          <w:highlight w:val="none"/>
        </w:rPr>
        <w:t>（</w:t>
      </w:r>
      <w:r>
        <w:rPr>
          <w:rFonts w:ascii="宋体" w:hAnsi="宋体"/>
          <w:bCs/>
          <w:sz w:val="28"/>
          <w:szCs w:val="28"/>
          <w:highlight w:val="none"/>
        </w:rPr>
        <w:t>5）</w:t>
      </w:r>
      <w:r>
        <w:rPr>
          <w:rFonts w:hint="eastAsia" w:ascii="宋体" w:hAnsi="宋体"/>
          <w:bCs/>
          <w:sz w:val="28"/>
          <w:szCs w:val="28"/>
          <w:highlight w:val="none"/>
        </w:rPr>
        <w:t>法律依据；</w:t>
      </w:r>
    </w:p>
    <w:p w14:paraId="23166738">
      <w:pPr>
        <w:adjustRightInd w:val="0"/>
        <w:snapToGrid w:val="0"/>
        <w:spacing w:line="560" w:lineRule="exact"/>
        <w:ind w:firstLine="560" w:firstLineChars="200"/>
        <w:rPr>
          <w:rFonts w:ascii="宋体" w:hAnsi="宋体"/>
          <w:bCs/>
          <w:sz w:val="28"/>
          <w:szCs w:val="28"/>
          <w:highlight w:val="none"/>
        </w:rPr>
      </w:pPr>
      <w:r>
        <w:rPr>
          <w:rFonts w:hint="eastAsia" w:ascii="宋体" w:hAnsi="宋体"/>
          <w:bCs/>
          <w:sz w:val="28"/>
          <w:szCs w:val="28"/>
          <w:highlight w:val="none"/>
        </w:rPr>
        <w:t>（</w:t>
      </w:r>
      <w:r>
        <w:rPr>
          <w:rFonts w:ascii="宋体" w:hAnsi="宋体"/>
          <w:bCs/>
          <w:sz w:val="28"/>
          <w:szCs w:val="28"/>
          <w:highlight w:val="none"/>
        </w:rPr>
        <w:t>6）</w:t>
      </w:r>
      <w:r>
        <w:rPr>
          <w:rFonts w:hint="eastAsia" w:ascii="宋体" w:hAnsi="宋体"/>
          <w:bCs/>
          <w:sz w:val="28"/>
          <w:szCs w:val="28"/>
          <w:highlight w:val="none"/>
        </w:rPr>
        <w:t>提出质疑的日期。</w:t>
      </w:r>
    </w:p>
    <w:p w14:paraId="5F3E0449">
      <w:pPr>
        <w:adjustRightInd w:val="0"/>
        <w:snapToGrid w:val="0"/>
        <w:spacing w:line="560" w:lineRule="exact"/>
        <w:ind w:firstLine="560" w:firstLineChars="200"/>
        <w:rPr>
          <w:rFonts w:ascii="宋体" w:hAnsi="宋体"/>
          <w:bCs/>
          <w:sz w:val="28"/>
          <w:szCs w:val="28"/>
          <w:highlight w:val="none"/>
        </w:rPr>
      </w:pPr>
      <w:r>
        <w:rPr>
          <w:rFonts w:ascii="宋体" w:hAnsi="宋体"/>
          <w:bCs/>
          <w:sz w:val="28"/>
          <w:szCs w:val="28"/>
          <w:highlight w:val="none"/>
        </w:rPr>
        <w:t>44.3</w:t>
      </w:r>
      <w:r>
        <w:rPr>
          <w:rFonts w:hint="eastAsia" w:ascii="宋体" w:hAnsi="宋体"/>
          <w:bCs/>
          <w:sz w:val="28"/>
          <w:szCs w:val="28"/>
          <w:highlight w:val="none"/>
        </w:rPr>
        <w:t>质疑函应当由法定代表人或其授权代表签字，并加盖公章。授权代表应当提供由法定代表人签署的授权书，载明被授权人的姓名、职务、授权范围和时间期限，并加盖公章。</w:t>
      </w:r>
    </w:p>
    <w:p w14:paraId="73A273CF">
      <w:pPr>
        <w:tabs>
          <w:tab w:val="left" w:pos="562"/>
        </w:tabs>
        <w:adjustRightInd w:val="0"/>
        <w:snapToGrid w:val="0"/>
        <w:spacing w:line="560" w:lineRule="exact"/>
        <w:ind w:firstLine="560" w:firstLineChars="200"/>
        <w:rPr>
          <w:rFonts w:ascii="宋体" w:hAnsi="宋体"/>
          <w:bCs/>
          <w:sz w:val="28"/>
          <w:szCs w:val="28"/>
          <w:highlight w:val="none"/>
        </w:rPr>
      </w:pPr>
      <w:r>
        <w:rPr>
          <w:rFonts w:ascii="宋体" w:hAnsi="宋体"/>
          <w:bCs/>
          <w:sz w:val="28"/>
          <w:szCs w:val="28"/>
          <w:highlight w:val="none"/>
        </w:rPr>
        <w:t>44.4质疑</w:t>
      </w:r>
      <w:r>
        <w:rPr>
          <w:rFonts w:hint="eastAsia" w:ascii="宋体" w:hAnsi="宋体"/>
          <w:bCs/>
          <w:sz w:val="28"/>
          <w:szCs w:val="28"/>
          <w:highlight w:val="none"/>
        </w:rPr>
        <w:t>受理单位及</w:t>
      </w:r>
      <w:r>
        <w:rPr>
          <w:rFonts w:ascii="宋体" w:hAnsi="宋体"/>
          <w:bCs/>
          <w:sz w:val="28"/>
          <w:szCs w:val="28"/>
          <w:highlight w:val="none"/>
        </w:rPr>
        <w:t>联系方式</w:t>
      </w:r>
      <w:r>
        <w:rPr>
          <w:rFonts w:hint="eastAsia" w:ascii="宋体" w:hAnsi="宋体"/>
          <w:bCs/>
          <w:sz w:val="28"/>
          <w:szCs w:val="28"/>
          <w:highlight w:val="none"/>
        </w:rPr>
        <w:t>见</w:t>
      </w:r>
      <w:r>
        <w:rPr>
          <w:rFonts w:hint="eastAsia" w:ascii="宋体" w:hAnsi="宋体"/>
          <w:bCs/>
          <w:sz w:val="28"/>
          <w:szCs w:val="28"/>
          <w:highlight w:val="none"/>
          <w:lang w:val="zh-CN"/>
        </w:rPr>
        <w:t>【</w:t>
      </w:r>
      <w:r>
        <w:rPr>
          <w:rFonts w:hint="eastAsia" w:asciiTheme="minorEastAsia" w:hAnsiTheme="minorEastAsia" w:eastAsiaTheme="minorEastAsia"/>
          <w:bCs/>
          <w:sz w:val="28"/>
          <w:szCs w:val="28"/>
          <w:highlight w:val="none"/>
        </w:rPr>
        <w:t>报价供应商</w:t>
      </w:r>
      <w:r>
        <w:rPr>
          <w:rFonts w:hint="eastAsia" w:ascii="宋体" w:hAnsi="宋体"/>
          <w:bCs/>
          <w:sz w:val="28"/>
          <w:szCs w:val="28"/>
          <w:highlight w:val="none"/>
          <w:lang w:val="zh-CN"/>
        </w:rPr>
        <w:t>须知前附表】</w:t>
      </w:r>
      <w:r>
        <w:rPr>
          <w:rFonts w:hint="eastAsia" w:ascii="宋体" w:hAnsi="宋体"/>
          <w:bCs/>
          <w:sz w:val="28"/>
          <w:szCs w:val="28"/>
          <w:highlight w:val="none"/>
        </w:rPr>
        <w:t>。</w:t>
      </w:r>
    </w:p>
    <w:p w14:paraId="00C07236">
      <w:pPr>
        <w:pStyle w:val="6"/>
        <w:keepNext w:val="0"/>
        <w:keepLines w:val="0"/>
        <w:adjustRightInd w:val="0"/>
        <w:snapToGrid w:val="0"/>
        <w:spacing w:before="0" w:after="0" w:line="560" w:lineRule="exact"/>
        <w:ind w:firstLine="560" w:firstLineChars="200"/>
        <w:rPr>
          <w:rFonts w:ascii="黑体" w:hAnsi="黑体"/>
          <w:b w:val="0"/>
          <w:highlight w:val="none"/>
        </w:rPr>
      </w:pPr>
      <w:r>
        <w:rPr>
          <w:rFonts w:ascii="黑体" w:hAnsi="黑体"/>
          <w:b w:val="0"/>
          <w:highlight w:val="none"/>
        </w:rPr>
        <w:t>45.</w:t>
      </w:r>
      <w:r>
        <w:rPr>
          <w:rFonts w:hint="eastAsia" w:ascii="黑体" w:hAnsi="黑体"/>
          <w:b w:val="0"/>
          <w:highlight w:val="none"/>
        </w:rPr>
        <w:t>投诉</w:t>
      </w:r>
    </w:p>
    <w:p w14:paraId="158670AD">
      <w:pPr>
        <w:tabs>
          <w:tab w:val="left" w:pos="562"/>
          <w:tab w:val="left" w:pos="1129"/>
        </w:tabs>
        <w:adjustRightInd w:val="0"/>
        <w:snapToGrid w:val="0"/>
        <w:spacing w:line="560" w:lineRule="exact"/>
        <w:ind w:firstLine="560" w:firstLineChars="200"/>
        <w:rPr>
          <w:rFonts w:ascii="宋体" w:hAnsi="宋体"/>
          <w:bCs/>
          <w:sz w:val="28"/>
          <w:szCs w:val="28"/>
          <w:highlight w:val="none"/>
        </w:rPr>
      </w:pPr>
      <w:r>
        <w:rPr>
          <w:rFonts w:ascii="宋体" w:hAnsi="宋体"/>
          <w:bCs/>
          <w:sz w:val="28"/>
          <w:szCs w:val="28"/>
          <w:highlight w:val="none"/>
        </w:rPr>
        <w:t>45.1质疑</w:t>
      </w:r>
      <w:r>
        <w:rPr>
          <w:rFonts w:hint="eastAsia" w:ascii="宋体" w:hAnsi="宋体"/>
          <w:bCs/>
          <w:sz w:val="28"/>
          <w:szCs w:val="28"/>
          <w:highlight w:val="none"/>
        </w:rPr>
        <w:t>受理单位拒收质疑</w:t>
      </w:r>
      <w:r>
        <w:rPr>
          <w:rFonts w:ascii="宋体" w:hAnsi="宋体"/>
          <w:bCs/>
          <w:sz w:val="28"/>
          <w:szCs w:val="28"/>
          <w:highlight w:val="none"/>
        </w:rPr>
        <w:t>函或</w:t>
      </w:r>
      <w:r>
        <w:rPr>
          <w:rFonts w:hint="eastAsia" w:ascii="宋体" w:hAnsi="宋体"/>
          <w:bCs/>
          <w:sz w:val="28"/>
          <w:szCs w:val="28"/>
          <w:highlight w:val="none"/>
        </w:rPr>
        <w:t>未</w:t>
      </w:r>
      <w:r>
        <w:rPr>
          <w:rFonts w:ascii="宋体" w:hAnsi="宋体"/>
          <w:bCs/>
          <w:sz w:val="28"/>
          <w:szCs w:val="28"/>
          <w:highlight w:val="none"/>
        </w:rPr>
        <w:t>在规定期限内</w:t>
      </w:r>
      <w:r>
        <w:rPr>
          <w:rFonts w:hint="eastAsia" w:ascii="宋体" w:hAnsi="宋体"/>
          <w:bCs/>
          <w:sz w:val="28"/>
          <w:szCs w:val="28"/>
          <w:highlight w:val="none"/>
        </w:rPr>
        <w:t>作出</w:t>
      </w:r>
      <w:r>
        <w:rPr>
          <w:rFonts w:ascii="宋体" w:hAnsi="宋体"/>
          <w:bCs/>
          <w:sz w:val="28"/>
          <w:szCs w:val="28"/>
          <w:highlight w:val="none"/>
        </w:rPr>
        <w:t>答复</w:t>
      </w:r>
      <w:r>
        <w:rPr>
          <w:rFonts w:hint="eastAsia" w:ascii="宋体" w:hAnsi="宋体"/>
          <w:bCs/>
          <w:sz w:val="28"/>
          <w:szCs w:val="28"/>
          <w:highlight w:val="none"/>
        </w:rPr>
        <w:t>，</w:t>
      </w:r>
      <w:r>
        <w:rPr>
          <w:rFonts w:ascii="宋体" w:hAnsi="宋体"/>
          <w:bCs/>
          <w:sz w:val="28"/>
          <w:szCs w:val="28"/>
          <w:highlight w:val="none"/>
        </w:rPr>
        <w:t>以及对</w:t>
      </w:r>
      <w:r>
        <w:rPr>
          <w:rFonts w:hint="eastAsia" w:ascii="宋体" w:hAnsi="宋体"/>
          <w:bCs/>
          <w:sz w:val="28"/>
          <w:szCs w:val="28"/>
          <w:highlight w:val="none"/>
        </w:rPr>
        <w:t>质疑</w:t>
      </w:r>
      <w:r>
        <w:rPr>
          <w:rFonts w:ascii="宋体" w:hAnsi="宋体"/>
          <w:bCs/>
          <w:sz w:val="28"/>
          <w:szCs w:val="28"/>
          <w:highlight w:val="none"/>
        </w:rPr>
        <w:t>答复及处理结果不满意的，质疑</w:t>
      </w:r>
      <w:r>
        <w:rPr>
          <w:rFonts w:hint="eastAsia" w:ascii="宋体" w:hAnsi="宋体"/>
          <w:bCs/>
          <w:sz w:val="28"/>
          <w:szCs w:val="28"/>
          <w:highlight w:val="none"/>
        </w:rPr>
        <w:t>供应商</w:t>
      </w:r>
      <w:r>
        <w:rPr>
          <w:rFonts w:ascii="宋体" w:hAnsi="宋体"/>
          <w:bCs/>
          <w:sz w:val="28"/>
          <w:szCs w:val="28"/>
          <w:highlight w:val="none"/>
        </w:rPr>
        <w:t>可以在质疑答复期满之日起15个工作日内，</w:t>
      </w:r>
      <w:r>
        <w:rPr>
          <w:rFonts w:hint="eastAsia" w:ascii="宋体" w:hAnsi="宋体"/>
          <w:bCs/>
          <w:sz w:val="28"/>
          <w:szCs w:val="28"/>
          <w:highlight w:val="none"/>
        </w:rPr>
        <w:t>向投诉受理部门提出书面投诉</w:t>
      </w:r>
      <w:r>
        <w:rPr>
          <w:rFonts w:ascii="宋体" w:hAnsi="宋体"/>
          <w:bCs/>
          <w:sz w:val="28"/>
          <w:szCs w:val="28"/>
          <w:highlight w:val="none"/>
        </w:rPr>
        <w:t>。</w:t>
      </w:r>
    </w:p>
    <w:p w14:paraId="48699C86">
      <w:pPr>
        <w:tabs>
          <w:tab w:val="left" w:pos="562"/>
          <w:tab w:val="left" w:pos="1129"/>
        </w:tabs>
        <w:adjustRightInd w:val="0"/>
        <w:snapToGrid w:val="0"/>
        <w:spacing w:line="560" w:lineRule="exact"/>
        <w:ind w:firstLine="560" w:firstLineChars="200"/>
        <w:rPr>
          <w:rFonts w:ascii="仿宋_GB2312" w:hAnsi="宋体" w:cs="宋体"/>
          <w:bCs/>
          <w:sz w:val="28"/>
          <w:szCs w:val="36"/>
          <w:highlight w:val="none"/>
        </w:rPr>
      </w:pPr>
      <w:r>
        <w:rPr>
          <w:rFonts w:ascii="宋体" w:hAnsi="宋体"/>
          <w:bCs/>
          <w:sz w:val="28"/>
          <w:szCs w:val="28"/>
          <w:highlight w:val="none"/>
        </w:rPr>
        <w:t>45.2</w:t>
      </w:r>
      <w:r>
        <w:rPr>
          <w:rFonts w:hint="eastAsia" w:ascii="仿宋_GB2312" w:hAnsi="宋体" w:cs="宋体"/>
          <w:bCs/>
          <w:sz w:val="28"/>
          <w:szCs w:val="36"/>
          <w:highlight w:val="none"/>
        </w:rPr>
        <w:t>投诉人投诉时</w:t>
      </w:r>
      <w:r>
        <w:rPr>
          <w:rFonts w:hint="eastAsia" w:ascii="宋体" w:hAnsi="宋体"/>
          <w:bCs/>
          <w:sz w:val="28"/>
          <w:szCs w:val="28"/>
          <w:highlight w:val="none"/>
        </w:rPr>
        <w:t>，</w:t>
      </w:r>
      <w:r>
        <w:rPr>
          <w:rFonts w:ascii="仿宋_GB2312" w:hAnsi="宋体" w:cs="宋体"/>
          <w:bCs/>
          <w:sz w:val="28"/>
          <w:szCs w:val="36"/>
          <w:highlight w:val="none"/>
        </w:rPr>
        <w:t>应当提交投诉书正本和必要的证明材料，并按照被投诉人和与投诉事项有关的供应商数量提供投诉书副本。投诉书应当包括下列内容：</w:t>
      </w:r>
    </w:p>
    <w:p w14:paraId="01F4F133">
      <w:pPr>
        <w:pStyle w:val="22"/>
        <w:adjustRightInd w:val="0"/>
        <w:snapToGrid w:val="0"/>
        <w:spacing w:line="560" w:lineRule="exact"/>
        <w:ind w:firstLine="560" w:firstLineChars="200"/>
        <w:rPr>
          <w:rFonts w:ascii="仿宋_GB2312" w:hAnsi="宋体" w:cs="宋体"/>
          <w:bCs/>
          <w:sz w:val="28"/>
          <w:szCs w:val="36"/>
          <w:highlight w:val="none"/>
        </w:rPr>
      </w:pPr>
      <w:r>
        <w:rPr>
          <w:rFonts w:hint="eastAsia" w:hAnsi="宋体"/>
          <w:bCs/>
          <w:sz w:val="28"/>
          <w:szCs w:val="28"/>
          <w:highlight w:val="none"/>
        </w:rPr>
        <w:t>（1）</w:t>
      </w:r>
      <w:r>
        <w:rPr>
          <w:rFonts w:hint="eastAsia" w:ascii="仿宋_GB2312" w:hAnsi="宋体" w:cs="宋体"/>
          <w:bCs/>
          <w:sz w:val="28"/>
          <w:szCs w:val="36"/>
          <w:highlight w:val="none"/>
        </w:rPr>
        <w:t>投诉人和被投诉人的名称、通讯地址、邮编、联系人及联系电话；</w:t>
      </w:r>
    </w:p>
    <w:p w14:paraId="1B8643C1">
      <w:pPr>
        <w:pStyle w:val="22"/>
        <w:adjustRightInd w:val="0"/>
        <w:snapToGrid w:val="0"/>
        <w:spacing w:line="560" w:lineRule="exact"/>
        <w:ind w:firstLine="560" w:firstLineChars="200"/>
        <w:rPr>
          <w:rFonts w:ascii="仿宋_GB2312" w:hAnsi="宋体" w:cs="宋体"/>
          <w:bCs/>
          <w:sz w:val="28"/>
          <w:szCs w:val="36"/>
          <w:highlight w:val="none"/>
        </w:rPr>
      </w:pPr>
      <w:r>
        <w:rPr>
          <w:rFonts w:hint="eastAsia" w:hAnsi="宋体"/>
          <w:bCs/>
          <w:sz w:val="28"/>
          <w:szCs w:val="28"/>
          <w:highlight w:val="none"/>
        </w:rPr>
        <w:t>（2）</w:t>
      </w:r>
      <w:r>
        <w:rPr>
          <w:rFonts w:hint="eastAsia" w:ascii="仿宋_GB2312" w:hAnsi="宋体" w:cs="宋体"/>
          <w:bCs/>
          <w:sz w:val="28"/>
          <w:szCs w:val="36"/>
          <w:highlight w:val="none"/>
        </w:rPr>
        <w:t>质疑和质疑答复情况说明及相关证明材料；</w:t>
      </w:r>
    </w:p>
    <w:p w14:paraId="0B15CCA6">
      <w:pPr>
        <w:pStyle w:val="22"/>
        <w:adjustRightInd w:val="0"/>
        <w:snapToGrid w:val="0"/>
        <w:spacing w:line="560" w:lineRule="exact"/>
        <w:ind w:firstLine="560" w:firstLineChars="200"/>
        <w:rPr>
          <w:rFonts w:cs="宋体" w:asciiTheme="minorEastAsia" w:hAnsiTheme="minorEastAsia" w:eastAsiaTheme="minorEastAsia"/>
          <w:bCs/>
          <w:sz w:val="28"/>
          <w:szCs w:val="36"/>
          <w:highlight w:val="none"/>
        </w:rPr>
      </w:pPr>
      <w:r>
        <w:rPr>
          <w:rFonts w:hint="eastAsia" w:cs="宋体" w:asciiTheme="minorEastAsia" w:hAnsiTheme="minorEastAsia" w:eastAsiaTheme="minorEastAsia"/>
          <w:bCs/>
          <w:sz w:val="28"/>
          <w:szCs w:val="36"/>
          <w:highlight w:val="none"/>
        </w:rPr>
        <w:t>（3）具体、明确的投诉事项和与投诉事项相关的投诉请求；</w:t>
      </w:r>
    </w:p>
    <w:p w14:paraId="302D4D2A">
      <w:pPr>
        <w:pStyle w:val="22"/>
        <w:adjustRightInd w:val="0"/>
        <w:snapToGrid w:val="0"/>
        <w:spacing w:line="560" w:lineRule="exact"/>
        <w:ind w:firstLine="560" w:firstLineChars="200"/>
        <w:rPr>
          <w:rFonts w:ascii="仿宋_GB2312" w:hAnsi="宋体" w:cs="宋体"/>
          <w:bCs/>
          <w:sz w:val="28"/>
          <w:szCs w:val="36"/>
          <w:highlight w:val="none"/>
        </w:rPr>
      </w:pPr>
      <w:r>
        <w:rPr>
          <w:rFonts w:hint="eastAsia" w:hAnsi="宋体"/>
          <w:bCs/>
          <w:sz w:val="28"/>
          <w:szCs w:val="28"/>
          <w:highlight w:val="none"/>
        </w:rPr>
        <w:t>（4）</w:t>
      </w:r>
      <w:r>
        <w:rPr>
          <w:rFonts w:hint="eastAsia" w:ascii="仿宋_GB2312" w:hAnsi="宋体" w:cs="宋体"/>
          <w:bCs/>
          <w:sz w:val="28"/>
          <w:szCs w:val="36"/>
          <w:highlight w:val="none"/>
        </w:rPr>
        <w:t>事实依据；</w:t>
      </w:r>
    </w:p>
    <w:p w14:paraId="04DFF5E5">
      <w:pPr>
        <w:pStyle w:val="22"/>
        <w:adjustRightInd w:val="0"/>
        <w:snapToGrid w:val="0"/>
        <w:spacing w:line="560" w:lineRule="exact"/>
        <w:ind w:firstLine="560" w:firstLineChars="200"/>
        <w:rPr>
          <w:rFonts w:ascii="仿宋_GB2312" w:hAnsi="宋体" w:cs="宋体"/>
          <w:bCs/>
          <w:sz w:val="28"/>
          <w:szCs w:val="36"/>
          <w:highlight w:val="none"/>
        </w:rPr>
      </w:pPr>
      <w:r>
        <w:rPr>
          <w:rFonts w:hint="eastAsia" w:hAnsi="宋体"/>
          <w:bCs/>
          <w:sz w:val="28"/>
          <w:szCs w:val="28"/>
          <w:highlight w:val="none"/>
        </w:rPr>
        <w:t>（5）</w:t>
      </w:r>
      <w:r>
        <w:rPr>
          <w:rFonts w:hint="eastAsia" w:ascii="仿宋_GB2312" w:hAnsi="宋体" w:cs="宋体"/>
          <w:bCs/>
          <w:sz w:val="28"/>
          <w:szCs w:val="36"/>
          <w:highlight w:val="none"/>
        </w:rPr>
        <w:t>法律依据；</w:t>
      </w:r>
    </w:p>
    <w:p w14:paraId="6E6FFD00">
      <w:pPr>
        <w:pStyle w:val="22"/>
        <w:adjustRightInd w:val="0"/>
        <w:snapToGrid w:val="0"/>
        <w:spacing w:line="560" w:lineRule="exact"/>
        <w:ind w:firstLine="560" w:firstLineChars="200"/>
        <w:rPr>
          <w:rFonts w:ascii="仿宋_GB2312" w:hAnsi="宋体" w:cs="宋体"/>
          <w:bCs/>
          <w:sz w:val="28"/>
          <w:szCs w:val="36"/>
          <w:highlight w:val="none"/>
        </w:rPr>
      </w:pPr>
      <w:r>
        <w:rPr>
          <w:rFonts w:hint="eastAsia" w:hAnsi="宋体"/>
          <w:bCs/>
          <w:sz w:val="28"/>
          <w:szCs w:val="28"/>
          <w:highlight w:val="none"/>
        </w:rPr>
        <w:t>（6）</w:t>
      </w:r>
      <w:r>
        <w:rPr>
          <w:rFonts w:hint="eastAsia" w:ascii="仿宋_GB2312" w:hAnsi="宋体" w:cs="宋体"/>
          <w:bCs/>
          <w:sz w:val="28"/>
          <w:szCs w:val="36"/>
          <w:highlight w:val="none"/>
        </w:rPr>
        <w:t>提起投诉的日期。</w:t>
      </w:r>
    </w:p>
    <w:p w14:paraId="2740597C">
      <w:pPr>
        <w:pStyle w:val="22"/>
        <w:adjustRightInd w:val="0"/>
        <w:snapToGrid w:val="0"/>
        <w:spacing w:line="560" w:lineRule="exact"/>
        <w:ind w:firstLine="560" w:firstLineChars="200"/>
        <w:rPr>
          <w:rFonts w:ascii="仿宋_GB2312" w:hAnsi="宋体" w:cs="宋体"/>
          <w:bCs/>
          <w:sz w:val="28"/>
          <w:szCs w:val="36"/>
          <w:highlight w:val="none"/>
        </w:rPr>
      </w:pPr>
      <w:r>
        <w:rPr>
          <w:rFonts w:hAnsi="宋体" w:cs="Times New Roman"/>
          <w:bCs/>
          <w:sz w:val="28"/>
          <w:szCs w:val="28"/>
          <w:highlight w:val="none"/>
        </w:rPr>
        <w:t>45.3</w:t>
      </w:r>
      <w:r>
        <w:rPr>
          <w:rFonts w:hint="eastAsia" w:ascii="仿宋_GB2312" w:hAnsi="宋体" w:cs="宋体"/>
          <w:bCs/>
          <w:sz w:val="28"/>
          <w:szCs w:val="36"/>
          <w:highlight w:val="none"/>
        </w:rPr>
        <w:t>投诉书应当由法定代表人或其授权代表签字，并加盖公章。法定代表人授权其他人办理采购投诉事宜，应当在正本中签署授权书；授权书应当载明被授权人的姓名、职务、授权范围和时间期限，并加盖公章。</w:t>
      </w:r>
    </w:p>
    <w:p w14:paraId="5448C03F">
      <w:pPr>
        <w:tabs>
          <w:tab w:val="left" w:pos="562"/>
        </w:tabs>
        <w:adjustRightInd w:val="0"/>
        <w:snapToGrid w:val="0"/>
        <w:spacing w:line="560" w:lineRule="exact"/>
        <w:ind w:firstLine="560" w:firstLineChars="200"/>
        <w:rPr>
          <w:rFonts w:ascii="宋体" w:hAnsi="宋体"/>
          <w:bCs/>
          <w:sz w:val="28"/>
          <w:szCs w:val="28"/>
          <w:highlight w:val="none"/>
        </w:rPr>
      </w:pPr>
      <w:r>
        <w:rPr>
          <w:rFonts w:ascii="宋体" w:hAnsi="宋体"/>
          <w:bCs/>
          <w:sz w:val="28"/>
          <w:szCs w:val="28"/>
          <w:highlight w:val="none"/>
        </w:rPr>
        <w:t>45.4受理、处理</w:t>
      </w:r>
      <w:r>
        <w:rPr>
          <w:rFonts w:hint="eastAsia" w:ascii="宋体" w:hAnsi="宋体"/>
          <w:bCs/>
          <w:sz w:val="28"/>
          <w:szCs w:val="28"/>
          <w:highlight w:val="none"/>
        </w:rPr>
        <w:t>投诉申请</w:t>
      </w:r>
      <w:r>
        <w:rPr>
          <w:rFonts w:ascii="宋体" w:hAnsi="宋体"/>
          <w:bCs/>
          <w:sz w:val="28"/>
          <w:szCs w:val="28"/>
          <w:highlight w:val="none"/>
        </w:rPr>
        <w:t>部门及联系方式</w:t>
      </w:r>
      <w:r>
        <w:rPr>
          <w:rFonts w:hint="eastAsia" w:ascii="宋体" w:hAnsi="宋体"/>
          <w:bCs/>
          <w:sz w:val="28"/>
          <w:szCs w:val="28"/>
          <w:highlight w:val="none"/>
        </w:rPr>
        <w:t>见</w:t>
      </w:r>
      <w:r>
        <w:rPr>
          <w:rFonts w:hint="eastAsia" w:ascii="宋体" w:hAnsi="宋体"/>
          <w:bCs/>
          <w:sz w:val="28"/>
          <w:szCs w:val="28"/>
          <w:highlight w:val="none"/>
          <w:lang w:val="zh-CN"/>
        </w:rPr>
        <w:t>【</w:t>
      </w:r>
      <w:r>
        <w:rPr>
          <w:rFonts w:hint="eastAsia" w:asciiTheme="minorEastAsia" w:hAnsiTheme="minorEastAsia" w:eastAsiaTheme="minorEastAsia"/>
          <w:bCs/>
          <w:sz w:val="28"/>
          <w:szCs w:val="28"/>
          <w:highlight w:val="none"/>
        </w:rPr>
        <w:t>报价供应商</w:t>
      </w:r>
      <w:r>
        <w:rPr>
          <w:rFonts w:hint="eastAsia" w:ascii="宋体" w:hAnsi="宋体"/>
          <w:bCs/>
          <w:sz w:val="28"/>
          <w:szCs w:val="28"/>
          <w:highlight w:val="none"/>
          <w:lang w:val="zh-CN"/>
        </w:rPr>
        <w:t>须知前附表】</w:t>
      </w:r>
      <w:r>
        <w:rPr>
          <w:rFonts w:hint="eastAsia" w:ascii="宋体" w:hAnsi="宋体"/>
          <w:bCs/>
          <w:sz w:val="28"/>
          <w:szCs w:val="28"/>
          <w:highlight w:val="none"/>
        </w:rPr>
        <w:t>。</w:t>
      </w:r>
    </w:p>
    <w:p w14:paraId="04FAC91B">
      <w:pPr>
        <w:pStyle w:val="6"/>
        <w:keepNext w:val="0"/>
        <w:keepLines w:val="0"/>
        <w:adjustRightInd w:val="0"/>
        <w:snapToGrid w:val="0"/>
        <w:spacing w:before="0" w:after="0" w:line="560" w:lineRule="exact"/>
        <w:ind w:firstLine="560" w:firstLineChars="200"/>
        <w:rPr>
          <w:rFonts w:ascii="黑体" w:hAnsi="黑体"/>
          <w:b w:val="0"/>
          <w:highlight w:val="none"/>
        </w:rPr>
      </w:pPr>
      <w:r>
        <w:rPr>
          <w:rFonts w:ascii="黑体" w:hAnsi="黑体"/>
          <w:b w:val="0"/>
          <w:highlight w:val="none"/>
        </w:rPr>
        <w:t>46</w:t>
      </w:r>
      <w:r>
        <w:rPr>
          <w:rFonts w:hint="eastAsia" w:ascii="黑体" w:hAnsi="黑体"/>
          <w:b w:val="0"/>
          <w:highlight w:val="none"/>
        </w:rPr>
        <w:t>.投诉复议</w:t>
      </w:r>
    </w:p>
    <w:p w14:paraId="1FEBC40B">
      <w:pPr>
        <w:tabs>
          <w:tab w:val="left" w:pos="562"/>
          <w:tab w:val="left" w:pos="1129"/>
        </w:tabs>
        <w:adjustRightInd w:val="0"/>
        <w:snapToGrid w:val="0"/>
        <w:spacing w:line="560" w:lineRule="exact"/>
        <w:ind w:firstLine="560" w:firstLineChars="200"/>
        <w:rPr>
          <w:rFonts w:ascii="仿宋_GB2312" w:hAnsi="宋体" w:cs="宋体"/>
          <w:bCs/>
          <w:sz w:val="28"/>
          <w:szCs w:val="36"/>
          <w:highlight w:val="none"/>
        </w:rPr>
      </w:pPr>
      <w:r>
        <w:rPr>
          <w:rFonts w:ascii="宋体" w:hAnsi="宋体"/>
          <w:bCs/>
          <w:sz w:val="28"/>
          <w:szCs w:val="28"/>
          <w:highlight w:val="none"/>
        </w:rPr>
        <w:t>46.1</w:t>
      </w:r>
      <w:r>
        <w:rPr>
          <w:rFonts w:hint="eastAsia" w:ascii="仿宋_GB2312" w:hAnsi="宋体" w:cs="宋体"/>
          <w:bCs/>
          <w:sz w:val="28"/>
          <w:szCs w:val="36"/>
          <w:highlight w:val="none"/>
        </w:rPr>
        <w:t>投诉人对投诉受理部门的投诉处理决定不服或投诉受理部门逾期未作处理的，可以自收到投诉处理决定书</w:t>
      </w:r>
      <w:r>
        <w:rPr>
          <w:rFonts w:ascii="宋体" w:hAnsi="宋体"/>
          <w:bCs/>
          <w:sz w:val="28"/>
          <w:szCs w:val="28"/>
          <w:highlight w:val="none"/>
        </w:rPr>
        <w:t>15个工作日内，</w:t>
      </w:r>
      <w:r>
        <w:rPr>
          <w:rFonts w:hint="eastAsia" w:ascii="仿宋_GB2312" w:hAnsi="宋体" w:cs="宋体"/>
          <w:bCs/>
          <w:sz w:val="28"/>
          <w:szCs w:val="36"/>
          <w:highlight w:val="none"/>
        </w:rPr>
        <w:t>提出投诉复议申请。</w:t>
      </w:r>
    </w:p>
    <w:p w14:paraId="4CC6B4BB">
      <w:pPr>
        <w:tabs>
          <w:tab w:val="left" w:pos="562"/>
          <w:tab w:val="left" w:pos="1129"/>
        </w:tabs>
        <w:adjustRightInd w:val="0"/>
        <w:snapToGrid w:val="0"/>
        <w:spacing w:line="560" w:lineRule="exact"/>
        <w:ind w:firstLine="560" w:firstLineChars="200"/>
        <w:rPr>
          <w:rFonts w:ascii="仿宋_GB2312" w:hAnsi="宋体" w:cs="宋体"/>
          <w:bCs/>
          <w:sz w:val="28"/>
          <w:szCs w:val="36"/>
          <w:highlight w:val="none"/>
        </w:rPr>
      </w:pPr>
      <w:r>
        <w:rPr>
          <w:rFonts w:ascii="宋体" w:hAnsi="宋体"/>
          <w:bCs/>
          <w:sz w:val="28"/>
          <w:szCs w:val="28"/>
          <w:highlight w:val="none"/>
        </w:rPr>
        <w:t>46.2</w:t>
      </w:r>
      <w:r>
        <w:rPr>
          <w:rFonts w:hint="eastAsia" w:ascii="仿宋_GB2312" w:hAnsi="宋体" w:cs="宋体"/>
          <w:bCs/>
          <w:sz w:val="28"/>
          <w:szCs w:val="36"/>
          <w:highlight w:val="none"/>
        </w:rPr>
        <w:t>投诉复议申请人应当提交投诉复议申请书和必要的证明材料，并按照被申请人和与复议事项有关当事人数量提供申请书副本。投诉复议申请书应当包括下列内容：</w:t>
      </w:r>
    </w:p>
    <w:p w14:paraId="12D94B97">
      <w:pPr>
        <w:pStyle w:val="22"/>
        <w:adjustRightInd w:val="0"/>
        <w:snapToGrid w:val="0"/>
        <w:spacing w:line="560" w:lineRule="exact"/>
        <w:ind w:firstLine="560" w:firstLineChars="200"/>
        <w:rPr>
          <w:rFonts w:ascii="Times New Roman" w:hAnsi="Times New Roman"/>
          <w:bCs/>
          <w:kern w:val="0"/>
          <w:sz w:val="28"/>
          <w:szCs w:val="36"/>
          <w:highlight w:val="none"/>
        </w:rPr>
      </w:pPr>
      <w:r>
        <w:rPr>
          <w:rFonts w:hint="eastAsia" w:hAnsi="宋体"/>
          <w:bCs/>
          <w:sz w:val="28"/>
          <w:szCs w:val="28"/>
          <w:highlight w:val="none"/>
        </w:rPr>
        <w:t>（</w:t>
      </w:r>
      <w:r>
        <w:rPr>
          <w:rFonts w:hAnsi="宋体"/>
          <w:bCs/>
          <w:sz w:val="28"/>
          <w:szCs w:val="28"/>
          <w:highlight w:val="none"/>
        </w:rPr>
        <w:t>1）</w:t>
      </w:r>
      <w:r>
        <w:rPr>
          <w:rFonts w:hint="eastAsia" w:ascii="Times New Roman" w:hAnsi="Times New Roman"/>
          <w:bCs/>
          <w:kern w:val="0"/>
          <w:sz w:val="28"/>
          <w:szCs w:val="36"/>
          <w:highlight w:val="none"/>
        </w:rPr>
        <w:t>申请人和被申请人名称、通讯地址、联系人、联系电话；</w:t>
      </w:r>
    </w:p>
    <w:p w14:paraId="48267BCB">
      <w:pPr>
        <w:pStyle w:val="22"/>
        <w:adjustRightInd w:val="0"/>
        <w:snapToGrid w:val="0"/>
        <w:spacing w:line="560" w:lineRule="exact"/>
        <w:ind w:firstLine="560" w:firstLineChars="200"/>
        <w:rPr>
          <w:rFonts w:ascii="Times New Roman" w:hAnsi="Times New Roman"/>
          <w:bCs/>
          <w:kern w:val="0"/>
          <w:sz w:val="28"/>
          <w:szCs w:val="36"/>
          <w:highlight w:val="none"/>
        </w:rPr>
      </w:pPr>
      <w:r>
        <w:rPr>
          <w:rFonts w:hint="eastAsia" w:hAnsi="宋体"/>
          <w:bCs/>
          <w:sz w:val="28"/>
          <w:szCs w:val="28"/>
          <w:highlight w:val="none"/>
        </w:rPr>
        <w:t>（</w:t>
      </w:r>
      <w:r>
        <w:rPr>
          <w:rFonts w:hAnsi="宋体"/>
          <w:bCs/>
          <w:sz w:val="28"/>
          <w:szCs w:val="28"/>
          <w:highlight w:val="none"/>
        </w:rPr>
        <w:t>2）</w:t>
      </w:r>
      <w:r>
        <w:rPr>
          <w:rFonts w:hint="eastAsia" w:ascii="Times New Roman" w:hAnsi="Times New Roman"/>
          <w:bCs/>
          <w:kern w:val="0"/>
          <w:sz w:val="28"/>
          <w:szCs w:val="36"/>
          <w:highlight w:val="none"/>
        </w:rPr>
        <w:t>投诉和投诉处理决定情况说明及相关证明材料；</w:t>
      </w:r>
    </w:p>
    <w:p w14:paraId="50E233B4">
      <w:pPr>
        <w:pStyle w:val="22"/>
        <w:adjustRightInd w:val="0"/>
        <w:snapToGrid w:val="0"/>
        <w:spacing w:line="560" w:lineRule="exact"/>
        <w:ind w:firstLine="560" w:firstLineChars="200"/>
        <w:rPr>
          <w:rFonts w:ascii="Times New Roman" w:hAnsi="Times New Roman"/>
          <w:bCs/>
          <w:kern w:val="0"/>
          <w:sz w:val="28"/>
          <w:szCs w:val="36"/>
          <w:highlight w:val="none"/>
        </w:rPr>
      </w:pPr>
      <w:r>
        <w:rPr>
          <w:rFonts w:hint="eastAsia" w:hAnsi="宋体"/>
          <w:bCs/>
          <w:sz w:val="28"/>
          <w:szCs w:val="28"/>
          <w:highlight w:val="none"/>
        </w:rPr>
        <w:t>（</w:t>
      </w:r>
      <w:r>
        <w:rPr>
          <w:rFonts w:hAnsi="宋体"/>
          <w:bCs/>
          <w:sz w:val="28"/>
          <w:szCs w:val="28"/>
          <w:highlight w:val="none"/>
        </w:rPr>
        <w:t>3）</w:t>
      </w:r>
      <w:r>
        <w:rPr>
          <w:rFonts w:hint="eastAsia" w:ascii="Times New Roman" w:hAnsi="Times New Roman"/>
          <w:bCs/>
          <w:kern w:val="0"/>
          <w:sz w:val="28"/>
          <w:szCs w:val="36"/>
          <w:highlight w:val="none"/>
        </w:rPr>
        <w:t>具体、明确的复议事项和与复议事项相关的请求；</w:t>
      </w:r>
    </w:p>
    <w:p w14:paraId="1A50D780">
      <w:pPr>
        <w:pStyle w:val="22"/>
        <w:adjustRightInd w:val="0"/>
        <w:snapToGrid w:val="0"/>
        <w:spacing w:line="560" w:lineRule="exact"/>
        <w:ind w:firstLine="560" w:firstLineChars="200"/>
        <w:rPr>
          <w:rFonts w:ascii="Times New Roman" w:hAnsi="Times New Roman"/>
          <w:bCs/>
          <w:kern w:val="0"/>
          <w:sz w:val="28"/>
          <w:szCs w:val="36"/>
          <w:highlight w:val="none"/>
        </w:rPr>
      </w:pPr>
      <w:r>
        <w:rPr>
          <w:rFonts w:hint="eastAsia" w:hAnsi="宋体"/>
          <w:bCs/>
          <w:sz w:val="28"/>
          <w:szCs w:val="28"/>
          <w:highlight w:val="none"/>
        </w:rPr>
        <w:t>（</w:t>
      </w:r>
      <w:r>
        <w:rPr>
          <w:rFonts w:hAnsi="宋体"/>
          <w:bCs/>
          <w:sz w:val="28"/>
          <w:szCs w:val="28"/>
          <w:highlight w:val="none"/>
        </w:rPr>
        <w:t>4）</w:t>
      </w:r>
      <w:r>
        <w:rPr>
          <w:rFonts w:hint="eastAsia" w:ascii="Times New Roman" w:hAnsi="Times New Roman"/>
          <w:bCs/>
          <w:kern w:val="0"/>
          <w:sz w:val="28"/>
          <w:szCs w:val="36"/>
          <w:highlight w:val="none"/>
        </w:rPr>
        <w:t>事实依据；</w:t>
      </w:r>
    </w:p>
    <w:p w14:paraId="272A4CF4">
      <w:pPr>
        <w:pStyle w:val="22"/>
        <w:adjustRightInd w:val="0"/>
        <w:snapToGrid w:val="0"/>
        <w:spacing w:line="560" w:lineRule="exact"/>
        <w:ind w:firstLine="560" w:firstLineChars="200"/>
        <w:rPr>
          <w:rFonts w:ascii="Times New Roman" w:hAnsi="Times New Roman"/>
          <w:bCs/>
          <w:kern w:val="0"/>
          <w:sz w:val="28"/>
          <w:szCs w:val="36"/>
          <w:highlight w:val="none"/>
        </w:rPr>
      </w:pPr>
      <w:r>
        <w:rPr>
          <w:rFonts w:hint="eastAsia" w:ascii="Times New Roman" w:hAnsi="Times New Roman"/>
          <w:bCs/>
          <w:kern w:val="0"/>
          <w:sz w:val="28"/>
          <w:szCs w:val="36"/>
          <w:highlight w:val="none"/>
        </w:rPr>
        <w:t>（</w:t>
      </w:r>
      <w:r>
        <w:rPr>
          <w:rFonts w:asciiTheme="minorEastAsia" w:hAnsiTheme="minorEastAsia" w:eastAsiaTheme="minorEastAsia"/>
          <w:bCs/>
          <w:kern w:val="0"/>
          <w:sz w:val="28"/>
          <w:szCs w:val="36"/>
          <w:highlight w:val="none"/>
        </w:rPr>
        <w:t>5</w:t>
      </w:r>
      <w:r>
        <w:rPr>
          <w:rFonts w:hint="eastAsia" w:ascii="Times New Roman" w:hAnsi="Times New Roman"/>
          <w:bCs/>
          <w:kern w:val="0"/>
          <w:sz w:val="28"/>
          <w:szCs w:val="36"/>
          <w:highlight w:val="none"/>
        </w:rPr>
        <w:t>）法律依据；</w:t>
      </w:r>
    </w:p>
    <w:p w14:paraId="07F3E2F6">
      <w:pPr>
        <w:pStyle w:val="22"/>
        <w:adjustRightInd w:val="0"/>
        <w:snapToGrid w:val="0"/>
        <w:spacing w:line="560" w:lineRule="exact"/>
        <w:ind w:firstLine="560" w:firstLineChars="200"/>
        <w:rPr>
          <w:rFonts w:ascii="Times New Roman" w:hAnsi="Times New Roman"/>
          <w:bCs/>
          <w:kern w:val="0"/>
          <w:sz w:val="28"/>
          <w:szCs w:val="36"/>
          <w:highlight w:val="none"/>
        </w:rPr>
      </w:pPr>
      <w:r>
        <w:rPr>
          <w:rFonts w:hint="eastAsia" w:hAnsi="宋体"/>
          <w:bCs/>
          <w:sz w:val="28"/>
          <w:szCs w:val="28"/>
          <w:highlight w:val="none"/>
        </w:rPr>
        <w:t>（</w:t>
      </w:r>
      <w:r>
        <w:rPr>
          <w:rFonts w:hAnsi="宋体"/>
          <w:bCs/>
          <w:sz w:val="28"/>
          <w:szCs w:val="28"/>
          <w:highlight w:val="none"/>
        </w:rPr>
        <w:t>6）</w:t>
      </w:r>
      <w:r>
        <w:rPr>
          <w:rFonts w:hint="eastAsia" w:ascii="Times New Roman" w:hAnsi="Times New Roman"/>
          <w:bCs/>
          <w:kern w:val="0"/>
          <w:sz w:val="28"/>
          <w:szCs w:val="36"/>
          <w:highlight w:val="none"/>
        </w:rPr>
        <w:t>申请</w:t>
      </w:r>
      <w:r>
        <w:rPr>
          <w:rFonts w:hint="eastAsia" w:ascii="仿宋_GB2312" w:hAnsi="宋体" w:cs="宋体"/>
          <w:bCs/>
          <w:sz w:val="28"/>
          <w:szCs w:val="36"/>
          <w:highlight w:val="none"/>
        </w:rPr>
        <w:t>投诉</w:t>
      </w:r>
      <w:r>
        <w:rPr>
          <w:rFonts w:hint="eastAsia" w:ascii="Times New Roman" w:hAnsi="Times New Roman"/>
          <w:bCs/>
          <w:kern w:val="0"/>
          <w:sz w:val="28"/>
          <w:szCs w:val="36"/>
          <w:highlight w:val="none"/>
        </w:rPr>
        <w:t>复议的日期。</w:t>
      </w:r>
    </w:p>
    <w:p w14:paraId="4451A689">
      <w:pPr>
        <w:tabs>
          <w:tab w:val="left" w:pos="562"/>
          <w:tab w:val="left" w:pos="1129"/>
        </w:tabs>
        <w:adjustRightInd w:val="0"/>
        <w:snapToGrid w:val="0"/>
        <w:spacing w:line="560" w:lineRule="exact"/>
        <w:ind w:firstLine="560" w:firstLineChars="200"/>
        <w:rPr>
          <w:rFonts w:ascii="宋体" w:hAnsi="宋体"/>
          <w:bCs/>
          <w:sz w:val="28"/>
          <w:szCs w:val="28"/>
          <w:highlight w:val="none"/>
        </w:rPr>
      </w:pPr>
      <w:r>
        <w:rPr>
          <w:rFonts w:ascii="宋体" w:hAnsi="宋体"/>
          <w:bCs/>
          <w:sz w:val="28"/>
          <w:szCs w:val="28"/>
          <w:highlight w:val="none"/>
        </w:rPr>
        <w:t>46.3</w:t>
      </w:r>
      <w:r>
        <w:rPr>
          <w:rFonts w:hint="eastAsia" w:ascii="宋体" w:hAnsi="宋体"/>
          <w:bCs/>
          <w:sz w:val="28"/>
          <w:szCs w:val="28"/>
          <w:highlight w:val="none"/>
        </w:rPr>
        <w:t>投诉复议申请书应当由法定代表人或其授权代表签字，并加盖公章。法定代表人授权其他人办理投诉复议事宜，应当在正本中签署授权书；授权书应当载明被授权人的姓名、职务、授权范围和时间期限，并加盖公章。</w:t>
      </w:r>
    </w:p>
    <w:p w14:paraId="51485458">
      <w:pPr>
        <w:tabs>
          <w:tab w:val="left" w:pos="562"/>
          <w:tab w:val="left" w:pos="1129"/>
        </w:tabs>
        <w:adjustRightInd w:val="0"/>
        <w:snapToGrid w:val="0"/>
        <w:spacing w:line="560" w:lineRule="exact"/>
        <w:ind w:firstLine="560" w:firstLineChars="200"/>
        <w:rPr>
          <w:rFonts w:ascii="宋体" w:hAnsi="宋体"/>
          <w:b/>
          <w:sz w:val="28"/>
          <w:szCs w:val="28"/>
          <w:highlight w:val="none"/>
        </w:rPr>
      </w:pPr>
      <w:r>
        <w:rPr>
          <w:rFonts w:ascii="宋体" w:hAnsi="宋体"/>
          <w:bCs/>
          <w:sz w:val="28"/>
          <w:szCs w:val="28"/>
          <w:highlight w:val="none"/>
        </w:rPr>
        <w:t>46.4</w:t>
      </w:r>
      <w:r>
        <w:rPr>
          <w:rFonts w:hint="eastAsia" w:ascii="宋体" w:hAnsi="宋体"/>
          <w:bCs/>
          <w:sz w:val="28"/>
          <w:szCs w:val="28"/>
          <w:highlight w:val="none"/>
        </w:rPr>
        <w:t>受理、处理投诉复议申请部门及联系方式见【报价供应商须知前附表】。</w:t>
      </w:r>
    </w:p>
    <w:p w14:paraId="7C9651BD">
      <w:pPr>
        <w:pStyle w:val="5"/>
        <w:keepNext w:val="0"/>
        <w:keepLines w:val="0"/>
        <w:adjustRightInd w:val="0"/>
        <w:snapToGrid w:val="0"/>
        <w:spacing w:before="120" w:beforeLines="50" w:after="120" w:afterLines="50" w:line="560" w:lineRule="exact"/>
        <w:jc w:val="center"/>
        <w:rPr>
          <w:b w:val="0"/>
          <w:highlight w:val="none"/>
        </w:rPr>
      </w:pPr>
      <w:bookmarkStart w:id="348" w:name="_Toc10473"/>
      <w:bookmarkStart w:id="349" w:name="_Toc152058259"/>
      <w:bookmarkStart w:id="350" w:name="_Toc31511"/>
      <w:bookmarkStart w:id="351" w:name="_Toc20641"/>
      <w:bookmarkStart w:id="352" w:name="_Toc2036"/>
      <w:bookmarkStart w:id="353" w:name="_Toc10706"/>
      <w:bookmarkStart w:id="354" w:name="_Toc5920"/>
      <w:r>
        <w:rPr>
          <w:rFonts w:hint="eastAsia"/>
          <w:b w:val="0"/>
          <w:highlight w:val="none"/>
        </w:rPr>
        <w:t>八、签订合同</w:t>
      </w:r>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p>
    <w:p w14:paraId="3CE7E33D">
      <w:pPr>
        <w:pStyle w:val="6"/>
        <w:keepNext w:val="0"/>
        <w:keepLines w:val="0"/>
        <w:adjustRightInd w:val="0"/>
        <w:snapToGrid w:val="0"/>
        <w:spacing w:before="0" w:after="0" w:line="560" w:lineRule="exact"/>
        <w:ind w:firstLine="560" w:firstLineChars="200"/>
        <w:rPr>
          <w:rFonts w:ascii="黑体" w:hAnsi="黑体"/>
          <w:b w:val="0"/>
          <w:highlight w:val="none"/>
        </w:rPr>
      </w:pPr>
      <w:bookmarkStart w:id="355" w:name="_Toc112768429"/>
      <w:bookmarkStart w:id="356" w:name="_Toc10720"/>
      <w:bookmarkStart w:id="357" w:name="_Toc1893"/>
      <w:bookmarkStart w:id="358" w:name="_Toc17606"/>
      <w:bookmarkStart w:id="359" w:name="_Toc14604"/>
      <w:bookmarkStart w:id="360" w:name="_Toc9269"/>
      <w:r>
        <w:rPr>
          <w:rFonts w:ascii="黑体" w:hAnsi="黑体"/>
          <w:b w:val="0"/>
          <w:highlight w:val="none"/>
        </w:rPr>
        <w:t>47.</w:t>
      </w:r>
      <w:r>
        <w:rPr>
          <w:rFonts w:hint="eastAsia" w:ascii="黑体" w:hAnsi="黑体"/>
          <w:b w:val="0"/>
          <w:highlight w:val="none"/>
        </w:rPr>
        <w:t>签订合同</w:t>
      </w:r>
      <w:bookmarkEnd w:id="355"/>
      <w:bookmarkEnd w:id="356"/>
      <w:bookmarkEnd w:id="357"/>
      <w:bookmarkEnd w:id="358"/>
      <w:bookmarkEnd w:id="359"/>
      <w:bookmarkEnd w:id="360"/>
    </w:p>
    <w:p w14:paraId="27A9646F">
      <w:pPr>
        <w:adjustRightInd w:val="0"/>
        <w:snapToGrid w:val="0"/>
        <w:spacing w:line="560" w:lineRule="exact"/>
        <w:ind w:firstLine="560" w:firstLineChars="200"/>
        <w:rPr>
          <w:rFonts w:ascii="宋体" w:hAnsi="宋体"/>
          <w:bCs/>
          <w:sz w:val="28"/>
          <w:szCs w:val="28"/>
          <w:highlight w:val="none"/>
        </w:rPr>
      </w:pPr>
      <w:r>
        <w:rPr>
          <w:rFonts w:ascii="宋体" w:hAnsi="宋体"/>
          <w:bCs/>
          <w:sz w:val="28"/>
          <w:szCs w:val="28"/>
          <w:highlight w:val="none"/>
        </w:rPr>
        <w:t>47.1成交供应商在采购机构发出《成交通知书》之日起30日内，</w:t>
      </w:r>
      <w:r>
        <w:rPr>
          <w:rFonts w:hint="eastAsia" w:ascii="宋体" w:hAnsi="宋体"/>
          <w:bCs/>
          <w:sz w:val="28"/>
          <w:szCs w:val="28"/>
          <w:highlight w:val="none"/>
        </w:rPr>
        <w:t>依据谈判文件、成交供应商报价文件和澄清承诺，与采购单位签订采购合同</w:t>
      </w:r>
      <w:r>
        <w:rPr>
          <w:rFonts w:ascii="宋体" w:hAnsi="宋体"/>
          <w:bCs/>
          <w:sz w:val="28"/>
          <w:szCs w:val="28"/>
          <w:highlight w:val="none"/>
        </w:rPr>
        <w:t>。</w:t>
      </w:r>
    </w:p>
    <w:p w14:paraId="55BA0A3F">
      <w:pPr>
        <w:adjustRightInd w:val="0"/>
        <w:snapToGrid w:val="0"/>
        <w:spacing w:line="560" w:lineRule="exact"/>
        <w:ind w:firstLine="560" w:firstLineChars="200"/>
        <w:rPr>
          <w:rFonts w:ascii="宋体" w:hAnsi="宋体"/>
          <w:bCs/>
          <w:sz w:val="28"/>
          <w:szCs w:val="28"/>
          <w:highlight w:val="none"/>
        </w:rPr>
      </w:pPr>
      <w:r>
        <w:rPr>
          <w:rFonts w:ascii="宋体" w:hAnsi="宋体"/>
          <w:bCs/>
          <w:sz w:val="28"/>
          <w:szCs w:val="28"/>
          <w:highlight w:val="none"/>
        </w:rPr>
        <w:t>47.2采购合同不得对谈判文件和成交供应商报价文件作实质性修改</w:t>
      </w:r>
      <w:r>
        <w:rPr>
          <w:rFonts w:hint="eastAsia" w:ascii="宋体" w:hAnsi="宋体"/>
          <w:bCs/>
          <w:sz w:val="28"/>
          <w:szCs w:val="28"/>
          <w:highlight w:val="none"/>
        </w:rPr>
        <w:t>，采购单位不得向成交供应商提出任何不合理要求，作为签订合同的条件。</w:t>
      </w:r>
      <w:r>
        <w:rPr>
          <w:rFonts w:ascii="宋体" w:hAnsi="宋体"/>
          <w:bCs/>
          <w:sz w:val="28"/>
          <w:szCs w:val="28"/>
          <w:highlight w:val="none"/>
        </w:rPr>
        <w:t>谈判文件、成交供应商报价文件、补充</w:t>
      </w:r>
      <w:r>
        <w:rPr>
          <w:rFonts w:hint="eastAsia" w:ascii="宋体" w:hAnsi="宋体"/>
          <w:bCs/>
          <w:sz w:val="28"/>
          <w:szCs w:val="28"/>
          <w:highlight w:val="none"/>
        </w:rPr>
        <w:t>文件、</w:t>
      </w:r>
      <w:r>
        <w:rPr>
          <w:rFonts w:ascii="宋体" w:hAnsi="宋体"/>
          <w:bCs/>
          <w:sz w:val="28"/>
          <w:szCs w:val="28"/>
          <w:highlight w:val="none"/>
        </w:rPr>
        <w:t>澄清承诺等，均为签订合同的依据。</w:t>
      </w:r>
    </w:p>
    <w:p w14:paraId="6804BA9B">
      <w:pPr>
        <w:adjustRightInd w:val="0"/>
        <w:snapToGrid w:val="0"/>
        <w:spacing w:line="560" w:lineRule="exact"/>
        <w:ind w:firstLine="560" w:firstLineChars="200"/>
        <w:rPr>
          <w:rFonts w:ascii="宋体" w:hAnsi="宋体"/>
          <w:bCs/>
          <w:sz w:val="28"/>
          <w:szCs w:val="28"/>
          <w:highlight w:val="none"/>
        </w:rPr>
      </w:pPr>
      <w:r>
        <w:rPr>
          <w:rFonts w:ascii="宋体" w:hAnsi="宋体"/>
          <w:bCs/>
          <w:sz w:val="28"/>
          <w:szCs w:val="28"/>
          <w:highlight w:val="none"/>
        </w:rPr>
        <w:t>47.3签订合同后，成交供应商不得将成交项目</w:t>
      </w:r>
      <w:r>
        <w:rPr>
          <w:rFonts w:hint="eastAsia" w:ascii="宋体" w:hAnsi="宋体"/>
          <w:bCs/>
          <w:sz w:val="28"/>
          <w:szCs w:val="28"/>
          <w:highlight w:val="none"/>
        </w:rPr>
        <w:t>整体转包或将项目拆分后分别向他人转包，不得违反谈判文件、报价文件和合同约定，擅自将合同分包，一经查实将按有关规定进行严肃处理</w:t>
      </w:r>
      <w:r>
        <w:rPr>
          <w:rFonts w:ascii="宋体" w:hAnsi="宋体"/>
          <w:bCs/>
          <w:sz w:val="28"/>
          <w:szCs w:val="28"/>
          <w:highlight w:val="none"/>
        </w:rPr>
        <w:t>。</w:t>
      </w:r>
    </w:p>
    <w:p w14:paraId="5A5D72B3">
      <w:pPr>
        <w:adjustRightInd w:val="0"/>
        <w:snapToGrid w:val="0"/>
        <w:spacing w:line="560" w:lineRule="exact"/>
        <w:ind w:firstLine="560" w:firstLineChars="200"/>
        <w:rPr>
          <w:rFonts w:ascii="宋体" w:hAnsi="宋体"/>
          <w:bCs/>
          <w:sz w:val="28"/>
          <w:szCs w:val="28"/>
          <w:highlight w:val="none"/>
        </w:rPr>
      </w:pPr>
      <w:r>
        <w:rPr>
          <w:rFonts w:hint="eastAsia" w:ascii="宋体" w:hAnsi="宋体"/>
          <w:bCs/>
          <w:sz w:val="28"/>
          <w:szCs w:val="28"/>
          <w:highlight w:val="none"/>
        </w:rPr>
        <w:t>4</w:t>
      </w:r>
      <w:r>
        <w:rPr>
          <w:rFonts w:ascii="宋体" w:hAnsi="宋体"/>
          <w:bCs/>
          <w:sz w:val="28"/>
          <w:szCs w:val="28"/>
          <w:highlight w:val="none"/>
        </w:rPr>
        <w:t>7</w:t>
      </w:r>
      <w:r>
        <w:rPr>
          <w:rFonts w:hint="eastAsia" w:ascii="宋体" w:hAnsi="宋体"/>
          <w:bCs/>
          <w:sz w:val="28"/>
          <w:szCs w:val="28"/>
          <w:highlight w:val="none"/>
        </w:rPr>
        <w:t>.4未经甲方允许，乙方不得在合同未生效前履行合同相关义务。</w:t>
      </w:r>
    </w:p>
    <w:p w14:paraId="55192619">
      <w:pPr>
        <w:pStyle w:val="5"/>
        <w:keepNext w:val="0"/>
        <w:keepLines w:val="0"/>
        <w:adjustRightInd w:val="0"/>
        <w:snapToGrid w:val="0"/>
        <w:spacing w:before="120" w:beforeLines="50" w:after="120" w:afterLines="50" w:line="560" w:lineRule="exact"/>
        <w:ind w:firstLine="640" w:firstLineChars="200"/>
        <w:jc w:val="center"/>
        <w:rPr>
          <w:b w:val="0"/>
          <w:highlight w:val="none"/>
        </w:rPr>
      </w:pPr>
      <w:bookmarkStart w:id="361" w:name="_Toc18922"/>
      <w:bookmarkStart w:id="362" w:name="_Toc9568"/>
      <w:bookmarkStart w:id="363" w:name="_Toc152058260"/>
      <w:bookmarkStart w:id="364" w:name="_Toc9361"/>
      <w:bookmarkStart w:id="365" w:name="_Toc28473"/>
      <w:bookmarkStart w:id="366" w:name="_Toc19994"/>
      <w:bookmarkStart w:id="367" w:name="_Toc1141"/>
      <w:bookmarkStart w:id="368" w:name="_Toc23184"/>
      <w:bookmarkStart w:id="369" w:name="_Toc25456"/>
      <w:bookmarkStart w:id="370" w:name="_Toc112768430"/>
      <w:bookmarkStart w:id="371" w:name="_Toc10716"/>
      <w:bookmarkStart w:id="372" w:name="_Toc667"/>
      <w:bookmarkStart w:id="373" w:name="_Toc15781"/>
      <w:bookmarkStart w:id="374" w:name="_Toc112317776"/>
      <w:r>
        <w:rPr>
          <w:rFonts w:hint="eastAsia"/>
          <w:b w:val="0"/>
          <w:highlight w:val="none"/>
        </w:rPr>
        <w:t>九、解释权限</w:t>
      </w:r>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p>
    <w:p w14:paraId="2DC9C315">
      <w:pPr>
        <w:pStyle w:val="6"/>
        <w:keepNext w:val="0"/>
        <w:keepLines w:val="0"/>
        <w:adjustRightInd w:val="0"/>
        <w:snapToGrid w:val="0"/>
        <w:spacing w:before="0" w:after="0" w:line="560" w:lineRule="exact"/>
        <w:ind w:firstLine="560" w:firstLineChars="200"/>
        <w:rPr>
          <w:rFonts w:ascii="黑体" w:hAnsi="黑体"/>
          <w:b w:val="0"/>
          <w:highlight w:val="none"/>
        </w:rPr>
      </w:pPr>
      <w:bookmarkStart w:id="375" w:name="_Toc7554"/>
      <w:bookmarkStart w:id="376" w:name="_Toc112768431"/>
      <w:bookmarkStart w:id="377" w:name="_Toc27241"/>
      <w:bookmarkStart w:id="378" w:name="_Toc11275"/>
      <w:bookmarkStart w:id="379" w:name="_Toc3720"/>
      <w:bookmarkStart w:id="380" w:name="_Toc20741"/>
      <w:r>
        <w:rPr>
          <w:rFonts w:ascii="黑体" w:hAnsi="黑体"/>
          <w:b w:val="0"/>
          <w:highlight w:val="none"/>
        </w:rPr>
        <w:t>48.</w:t>
      </w:r>
      <w:r>
        <w:rPr>
          <w:rFonts w:hint="eastAsia" w:ascii="黑体" w:hAnsi="黑体"/>
          <w:b w:val="0"/>
          <w:highlight w:val="none"/>
        </w:rPr>
        <w:t>解释权限</w:t>
      </w:r>
      <w:bookmarkEnd w:id="375"/>
      <w:bookmarkEnd w:id="376"/>
      <w:bookmarkEnd w:id="377"/>
      <w:bookmarkEnd w:id="378"/>
      <w:bookmarkEnd w:id="379"/>
      <w:bookmarkEnd w:id="380"/>
    </w:p>
    <w:p w14:paraId="57B12798">
      <w:pPr>
        <w:adjustRightInd w:val="0"/>
        <w:snapToGrid w:val="0"/>
        <w:spacing w:line="560" w:lineRule="exact"/>
        <w:ind w:firstLine="560" w:firstLineChars="200"/>
        <w:rPr>
          <w:rFonts w:hAnsi="宋体"/>
          <w:bCs/>
          <w:sz w:val="32"/>
          <w:szCs w:val="32"/>
          <w:highlight w:val="none"/>
        </w:rPr>
      </w:pPr>
      <w:r>
        <w:rPr>
          <w:rFonts w:ascii="宋体" w:hAnsi="宋体"/>
          <w:bCs/>
          <w:sz w:val="28"/>
          <w:szCs w:val="28"/>
          <w:highlight w:val="none"/>
        </w:rPr>
        <w:t>48.1</w:t>
      </w:r>
      <w:r>
        <w:rPr>
          <w:rFonts w:hint="eastAsia"/>
          <w:bCs/>
          <w:sz w:val="28"/>
          <w:szCs w:val="28"/>
          <w:highlight w:val="none"/>
        </w:rPr>
        <w:t>本谈判文件由采购机构负责解释。</w:t>
      </w:r>
    </w:p>
    <w:p w14:paraId="21BEA8C0">
      <w:pPr>
        <w:widowControl/>
        <w:ind w:firstLine="420" w:firstLineChars="200"/>
        <w:jc w:val="left"/>
        <w:rPr>
          <w:bCs/>
          <w:sz w:val="32"/>
          <w:szCs w:val="32"/>
          <w:highlight w:val="none"/>
        </w:rPr>
      </w:pPr>
      <w:r>
        <w:rPr>
          <w:bCs/>
          <w:highlight w:val="none"/>
        </w:rPr>
        <w:br w:type="page"/>
      </w:r>
    </w:p>
    <w:p w14:paraId="2DF07C90">
      <w:pPr>
        <w:pStyle w:val="5"/>
        <w:spacing w:before="120" w:beforeLines="50" w:after="120" w:afterLines="50" w:line="560" w:lineRule="exact"/>
        <w:rPr>
          <w:rFonts w:cs="宋体" w:asciiTheme="minorEastAsia" w:hAnsiTheme="minorEastAsia" w:eastAsiaTheme="minorEastAsia"/>
          <w:sz w:val="28"/>
          <w:szCs w:val="28"/>
          <w:highlight w:val="none"/>
        </w:rPr>
      </w:pPr>
      <w:bookmarkStart w:id="381" w:name="_Toc3131"/>
      <w:bookmarkStart w:id="382" w:name="_Toc11117"/>
      <w:bookmarkStart w:id="383" w:name="_Toc152058261"/>
      <w:bookmarkStart w:id="384" w:name="_Toc8250"/>
      <w:bookmarkStart w:id="385" w:name="_Toc23970"/>
      <w:bookmarkStart w:id="386" w:name="_Toc28844"/>
      <w:bookmarkStart w:id="387" w:name="_Toc5452"/>
      <w:bookmarkStart w:id="388" w:name="_Toc25666"/>
      <w:bookmarkStart w:id="389" w:name="_Toc2614"/>
      <w:r>
        <w:rPr>
          <w:rFonts w:hint="eastAsia" w:ascii="黑体" w:hAnsi="黑体" w:cs="黑体"/>
          <w:b w:val="0"/>
          <w:bCs w:val="0"/>
          <w:sz w:val="28"/>
          <w:szCs w:val="28"/>
          <w:highlight w:val="none"/>
        </w:rPr>
        <w:t>附页1 谈判文件更正确认函</w:t>
      </w:r>
      <w:bookmarkEnd w:id="381"/>
      <w:bookmarkEnd w:id="382"/>
      <w:bookmarkEnd w:id="383"/>
      <w:bookmarkEnd w:id="384"/>
      <w:bookmarkEnd w:id="385"/>
      <w:bookmarkEnd w:id="386"/>
      <w:bookmarkEnd w:id="387"/>
      <w:bookmarkEnd w:id="388"/>
      <w:bookmarkEnd w:id="389"/>
    </w:p>
    <w:p w14:paraId="3BD577C6">
      <w:pPr>
        <w:spacing w:before="120" w:beforeLines="50" w:after="120" w:afterLines="50" w:line="560" w:lineRule="exact"/>
        <w:jc w:val="center"/>
        <w:rPr>
          <w:rFonts w:ascii="宋体" w:hAnsi="宋体" w:cs="宋体"/>
          <w:bCs/>
          <w:sz w:val="28"/>
          <w:szCs w:val="28"/>
          <w:highlight w:val="none"/>
        </w:rPr>
      </w:pPr>
      <w:r>
        <w:rPr>
          <w:rFonts w:hint="eastAsia" w:ascii="黑体" w:hAnsi="黑体" w:eastAsia="黑体" w:cs="黑体"/>
          <w:bCs/>
          <w:sz w:val="36"/>
          <w:szCs w:val="36"/>
          <w:highlight w:val="none"/>
        </w:rPr>
        <w:t>谈判文件更正确认函</w:t>
      </w:r>
    </w:p>
    <w:p w14:paraId="600632C6">
      <w:pPr>
        <w:spacing w:line="560" w:lineRule="exact"/>
        <w:rPr>
          <w:rFonts w:ascii="宋体" w:hAnsi="宋体" w:cs="宋体"/>
          <w:bCs/>
          <w:sz w:val="28"/>
          <w:szCs w:val="28"/>
          <w:highlight w:val="none"/>
        </w:rPr>
      </w:pPr>
      <w:r>
        <w:rPr>
          <w:rFonts w:hint="eastAsia" w:ascii="宋体" w:hAnsi="宋体" w:cs="宋体"/>
          <w:bCs/>
          <w:sz w:val="28"/>
          <w:szCs w:val="28"/>
          <w:highlight w:val="none"/>
          <w:u w:val="single"/>
        </w:rPr>
        <w:t>（采购机构名称）</w:t>
      </w:r>
      <w:r>
        <w:rPr>
          <w:rFonts w:hint="eastAsia" w:ascii="宋体" w:hAnsi="宋体" w:cs="宋体"/>
          <w:bCs/>
          <w:sz w:val="28"/>
          <w:szCs w:val="28"/>
          <w:highlight w:val="none"/>
        </w:rPr>
        <w:t>：</w:t>
      </w:r>
    </w:p>
    <w:p w14:paraId="1ECA5350">
      <w:pPr>
        <w:spacing w:line="560" w:lineRule="exact"/>
        <w:ind w:firstLine="560" w:firstLineChars="200"/>
        <w:rPr>
          <w:rFonts w:ascii="宋体" w:hAnsi="宋体" w:cs="宋体"/>
          <w:bCs/>
          <w:sz w:val="28"/>
          <w:szCs w:val="28"/>
          <w:highlight w:val="none"/>
        </w:rPr>
      </w:pPr>
      <w:r>
        <w:rPr>
          <w:rFonts w:hint="eastAsia" w:ascii="宋体" w:hAnsi="宋体" w:cs="宋体"/>
          <w:bCs/>
          <w:sz w:val="28"/>
          <w:szCs w:val="28"/>
          <w:highlight w:val="none"/>
        </w:rPr>
        <w:t>我单位对</w:t>
      </w:r>
      <w:r>
        <w:rPr>
          <w:rFonts w:hint="eastAsia" w:ascii="宋体" w:hAnsi="宋体" w:cs="宋体"/>
          <w:bCs/>
          <w:sz w:val="28"/>
          <w:szCs w:val="28"/>
          <w:highlight w:val="none"/>
          <w:u w:val="single"/>
        </w:rPr>
        <w:t xml:space="preserve">        </w:t>
      </w:r>
      <w:r>
        <w:rPr>
          <w:rFonts w:hint="eastAsia" w:ascii="宋体" w:hAnsi="宋体" w:cs="宋体"/>
          <w:bCs/>
          <w:sz w:val="28"/>
          <w:szCs w:val="28"/>
          <w:highlight w:val="none"/>
        </w:rPr>
        <w:t>采购项目（项目编号：</w:t>
      </w:r>
      <w:r>
        <w:rPr>
          <w:rFonts w:hint="eastAsia" w:ascii="宋体" w:hAnsi="宋体" w:cs="宋体"/>
          <w:bCs/>
          <w:sz w:val="28"/>
          <w:szCs w:val="28"/>
          <w:highlight w:val="none"/>
          <w:u w:val="single"/>
        </w:rPr>
        <w:t xml:space="preserve">      </w:t>
      </w:r>
      <w:r>
        <w:rPr>
          <w:rFonts w:hint="eastAsia" w:ascii="宋体" w:hAnsi="宋体" w:cs="宋体"/>
          <w:bCs/>
          <w:sz w:val="28"/>
          <w:szCs w:val="28"/>
          <w:highlight w:val="none"/>
        </w:rPr>
        <w:t>）的谈判文件更正信息已收悉。</w:t>
      </w:r>
    </w:p>
    <w:p w14:paraId="0BEF5D0A">
      <w:pPr>
        <w:spacing w:line="560" w:lineRule="exact"/>
        <w:ind w:left="680"/>
        <w:rPr>
          <w:rFonts w:ascii="宋体" w:hAnsi="宋体" w:cs="宋体"/>
          <w:bCs/>
          <w:sz w:val="28"/>
          <w:szCs w:val="28"/>
          <w:highlight w:val="none"/>
        </w:rPr>
      </w:pPr>
    </w:p>
    <w:p w14:paraId="49B46A0E">
      <w:pPr>
        <w:spacing w:line="560" w:lineRule="exact"/>
        <w:ind w:left="680"/>
        <w:rPr>
          <w:rFonts w:ascii="宋体" w:hAnsi="宋体" w:cs="宋体"/>
          <w:bCs/>
          <w:sz w:val="28"/>
          <w:szCs w:val="28"/>
          <w:highlight w:val="none"/>
        </w:rPr>
      </w:pPr>
    </w:p>
    <w:p w14:paraId="2ED02FD8">
      <w:pPr>
        <w:spacing w:line="560" w:lineRule="exact"/>
        <w:ind w:left="680"/>
        <w:rPr>
          <w:rFonts w:ascii="宋体" w:hAnsi="宋体" w:cs="宋体"/>
          <w:bCs/>
          <w:sz w:val="28"/>
          <w:szCs w:val="28"/>
          <w:highlight w:val="none"/>
        </w:rPr>
      </w:pPr>
    </w:p>
    <w:p w14:paraId="45F87AE2">
      <w:pPr>
        <w:spacing w:line="560" w:lineRule="exact"/>
        <w:rPr>
          <w:rFonts w:ascii="宋体" w:hAnsi="宋体" w:cs="宋体"/>
          <w:bCs/>
          <w:sz w:val="28"/>
          <w:szCs w:val="28"/>
          <w:highlight w:val="none"/>
        </w:rPr>
      </w:pPr>
    </w:p>
    <w:p w14:paraId="40619143">
      <w:pPr>
        <w:spacing w:line="560" w:lineRule="exact"/>
        <w:ind w:firstLine="3360" w:firstLineChars="1200"/>
        <w:rPr>
          <w:rFonts w:ascii="宋体" w:hAnsi="宋体" w:cs="宋体"/>
          <w:bCs/>
          <w:sz w:val="28"/>
          <w:szCs w:val="28"/>
          <w:highlight w:val="none"/>
          <w:lang w:val="zh-CN"/>
        </w:rPr>
      </w:pPr>
      <w:r>
        <w:rPr>
          <w:rFonts w:hint="eastAsia" w:ascii="宋体" w:hAnsi="宋体" w:cs="宋体"/>
          <w:bCs/>
          <w:sz w:val="28"/>
          <w:szCs w:val="28"/>
          <w:highlight w:val="none"/>
          <w:lang w:val="zh-CN"/>
        </w:rPr>
        <w:t>报价供应商全称：（盖章）</w:t>
      </w:r>
    </w:p>
    <w:p w14:paraId="2D81E117">
      <w:pPr>
        <w:spacing w:line="560" w:lineRule="exact"/>
        <w:ind w:firstLine="3360" w:firstLineChars="1200"/>
        <w:rPr>
          <w:rFonts w:ascii="宋体" w:hAnsi="宋体" w:cs="宋体"/>
          <w:bCs/>
          <w:sz w:val="28"/>
          <w:szCs w:val="28"/>
          <w:highlight w:val="none"/>
          <w:lang w:val="zh-CN"/>
        </w:rPr>
      </w:pPr>
      <w:r>
        <w:rPr>
          <w:rFonts w:hint="eastAsia" w:ascii="宋体" w:hAnsi="宋体" w:cs="宋体"/>
          <w:bCs/>
          <w:sz w:val="28"/>
          <w:szCs w:val="28"/>
          <w:highlight w:val="none"/>
          <w:lang w:val="zh-CN"/>
        </w:rPr>
        <w:t>法定代表人（或授权代表）：（签字）</w:t>
      </w:r>
    </w:p>
    <w:p w14:paraId="0B22E9A5">
      <w:pPr>
        <w:spacing w:line="560" w:lineRule="exact"/>
        <w:ind w:firstLine="5600" w:firstLineChars="2000"/>
        <w:rPr>
          <w:rFonts w:ascii="宋体" w:hAnsi="宋体" w:cs="宋体"/>
          <w:bCs/>
          <w:sz w:val="28"/>
          <w:szCs w:val="28"/>
          <w:highlight w:val="none"/>
          <w:lang w:val="zh-CN"/>
        </w:rPr>
      </w:pPr>
      <w:r>
        <w:rPr>
          <w:rFonts w:hint="eastAsia" w:ascii="宋体" w:hAnsi="宋体" w:cs="宋体"/>
          <w:bCs/>
          <w:sz w:val="28"/>
          <w:szCs w:val="28"/>
          <w:highlight w:val="none"/>
          <w:u w:val="single"/>
        </w:rPr>
        <w:t xml:space="preserve">   </w:t>
      </w:r>
      <w:r>
        <w:rPr>
          <w:rFonts w:hint="eastAsia" w:ascii="宋体" w:hAnsi="宋体" w:cs="宋体"/>
          <w:bCs/>
          <w:sz w:val="28"/>
          <w:szCs w:val="28"/>
          <w:highlight w:val="none"/>
        </w:rPr>
        <w:t>年</w:t>
      </w:r>
      <w:r>
        <w:rPr>
          <w:rFonts w:hint="eastAsia" w:ascii="宋体" w:hAnsi="宋体" w:cs="宋体"/>
          <w:bCs/>
          <w:sz w:val="28"/>
          <w:szCs w:val="28"/>
          <w:highlight w:val="none"/>
          <w:u w:val="single"/>
        </w:rPr>
        <w:t xml:space="preserve">   </w:t>
      </w:r>
      <w:r>
        <w:rPr>
          <w:rFonts w:hint="eastAsia" w:ascii="宋体" w:hAnsi="宋体" w:cs="宋体"/>
          <w:bCs/>
          <w:sz w:val="28"/>
          <w:szCs w:val="28"/>
          <w:highlight w:val="none"/>
        </w:rPr>
        <w:t>月</w:t>
      </w:r>
      <w:r>
        <w:rPr>
          <w:rFonts w:hint="eastAsia" w:ascii="宋体" w:hAnsi="宋体" w:cs="宋体"/>
          <w:bCs/>
          <w:sz w:val="28"/>
          <w:szCs w:val="28"/>
          <w:highlight w:val="none"/>
          <w:u w:val="single"/>
        </w:rPr>
        <w:t xml:space="preserve">   </w:t>
      </w:r>
      <w:r>
        <w:rPr>
          <w:rFonts w:hint="eastAsia" w:ascii="宋体" w:hAnsi="宋体" w:cs="宋体"/>
          <w:bCs/>
          <w:sz w:val="28"/>
          <w:szCs w:val="28"/>
          <w:highlight w:val="none"/>
        </w:rPr>
        <w:t>日</w:t>
      </w:r>
    </w:p>
    <w:p w14:paraId="5ECB208A">
      <w:pPr>
        <w:spacing w:line="560" w:lineRule="exact"/>
        <w:ind w:firstLine="624"/>
        <w:rPr>
          <w:rFonts w:ascii="宋体" w:hAnsi="宋体" w:cs="宋体"/>
          <w:bCs/>
          <w:sz w:val="28"/>
          <w:szCs w:val="28"/>
          <w:highlight w:val="none"/>
        </w:rPr>
      </w:pPr>
    </w:p>
    <w:p w14:paraId="37B61CEA">
      <w:pPr>
        <w:pStyle w:val="5"/>
        <w:spacing w:before="120" w:beforeLines="50" w:after="120" w:afterLines="50" w:line="560" w:lineRule="exact"/>
        <w:rPr>
          <w:rFonts w:cs="宋体" w:asciiTheme="minorEastAsia" w:hAnsiTheme="minorEastAsia" w:eastAsiaTheme="minorEastAsia"/>
          <w:sz w:val="28"/>
          <w:szCs w:val="28"/>
          <w:highlight w:val="none"/>
        </w:rPr>
      </w:pPr>
      <w:r>
        <w:rPr>
          <w:b w:val="0"/>
          <w:highlight w:val="none"/>
        </w:rPr>
        <w:br w:type="page"/>
      </w:r>
      <w:bookmarkStart w:id="390" w:name="_Toc26729"/>
      <w:bookmarkStart w:id="391" w:name="_Toc22558"/>
      <w:bookmarkStart w:id="392" w:name="_Toc15835"/>
      <w:bookmarkStart w:id="393" w:name="_Toc801"/>
      <w:bookmarkStart w:id="394" w:name="_Toc152058262"/>
      <w:bookmarkStart w:id="395" w:name="_Toc18505"/>
      <w:bookmarkStart w:id="396" w:name="_Toc24012"/>
      <w:bookmarkStart w:id="397" w:name="_Toc9527"/>
      <w:bookmarkStart w:id="398" w:name="_Toc19044"/>
      <w:bookmarkStart w:id="399" w:name="_Toc23299"/>
      <w:bookmarkStart w:id="400" w:name="_Toc9618"/>
      <w:bookmarkStart w:id="401" w:name="_Toc26693"/>
      <w:bookmarkStart w:id="402" w:name="_Toc112768435"/>
      <w:r>
        <w:rPr>
          <w:rFonts w:hint="eastAsia" w:ascii="黑体" w:hAnsi="黑体" w:cs="黑体"/>
          <w:b w:val="0"/>
          <w:bCs w:val="0"/>
          <w:sz w:val="28"/>
          <w:szCs w:val="28"/>
          <w:highlight w:val="none"/>
        </w:rPr>
        <w:t>附页2 质疑函（格式）</w:t>
      </w:r>
      <w:bookmarkEnd w:id="390"/>
      <w:bookmarkEnd w:id="391"/>
      <w:bookmarkEnd w:id="392"/>
      <w:bookmarkEnd w:id="393"/>
      <w:bookmarkEnd w:id="394"/>
      <w:bookmarkEnd w:id="395"/>
      <w:bookmarkEnd w:id="396"/>
      <w:bookmarkEnd w:id="397"/>
      <w:bookmarkEnd w:id="398"/>
    </w:p>
    <w:p w14:paraId="46DFE095">
      <w:pPr>
        <w:spacing w:line="560" w:lineRule="exact"/>
        <w:jc w:val="center"/>
        <w:rPr>
          <w:rFonts w:ascii="黑体" w:hAnsi="黑体" w:eastAsia="黑体" w:cs="黑体"/>
          <w:sz w:val="36"/>
          <w:szCs w:val="36"/>
          <w:highlight w:val="none"/>
        </w:rPr>
      </w:pPr>
      <w:r>
        <w:rPr>
          <w:rFonts w:hint="eastAsia" w:ascii="黑体" w:hAnsi="黑体" w:eastAsia="黑体" w:cs="黑体"/>
          <w:sz w:val="36"/>
          <w:szCs w:val="36"/>
          <w:highlight w:val="none"/>
        </w:rPr>
        <w:t>质  疑  函</w:t>
      </w:r>
    </w:p>
    <w:bookmarkEnd w:id="399"/>
    <w:bookmarkEnd w:id="400"/>
    <w:bookmarkEnd w:id="401"/>
    <w:bookmarkEnd w:id="402"/>
    <w:p w14:paraId="74D3E228">
      <w:pPr>
        <w:spacing w:line="560" w:lineRule="exact"/>
        <w:ind w:firstLine="560" w:firstLineChars="200"/>
        <w:rPr>
          <w:rFonts w:ascii="宋体" w:hAnsi="宋体"/>
          <w:kern w:val="0"/>
          <w:sz w:val="28"/>
          <w:szCs w:val="28"/>
          <w:highlight w:val="none"/>
        </w:rPr>
      </w:pPr>
      <w:r>
        <w:rPr>
          <w:rFonts w:hint="eastAsia" w:ascii="宋体" w:hAnsi="宋体"/>
          <w:kern w:val="0"/>
          <w:sz w:val="28"/>
          <w:szCs w:val="28"/>
          <w:highlight w:val="none"/>
        </w:rPr>
        <w:t>质疑供应商名称：</w:t>
      </w:r>
      <w:r>
        <w:rPr>
          <w:rFonts w:ascii="宋体" w:hAnsi="宋体"/>
          <w:sz w:val="28"/>
          <w:szCs w:val="28"/>
          <w:highlight w:val="none"/>
          <w:u w:val="single"/>
        </w:rPr>
        <w:t xml:space="preserve">                                         </w:t>
      </w:r>
    </w:p>
    <w:p w14:paraId="1B6BCE08">
      <w:pPr>
        <w:spacing w:line="560" w:lineRule="exact"/>
        <w:ind w:firstLine="560" w:firstLineChars="200"/>
        <w:rPr>
          <w:rFonts w:ascii="宋体" w:hAnsi="宋体"/>
          <w:kern w:val="0"/>
          <w:sz w:val="28"/>
          <w:szCs w:val="28"/>
          <w:highlight w:val="none"/>
        </w:rPr>
      </w:pPr>
      <w:r>
        <w:rPr>
          <w:rFonts w:hint="eastAsia" w:ascii="宋体" w:hAnsi="宋体"/>
          <w:kern w:val="0"/>
          <w:sz w:val="28"/>
          <w:szCs w:val="28"/>
          <w:highlight w:val="none"/>
        </w:rPr>
        <w:t>通讯地址：</w:t>
      </w:r>
      <w:r>
        <w:rPr>
          <w:rFonts w:ascii="宋体" w:hAnsi="宋体"/>
          <w:sz w:val="28"/>
          <w:szCs w:val="28"/>
          <w:highlight w:val="none"/>
          <w:u w:val="single"/>
        </w:rPr>
        <w:t xml:space="preserve">                                               </w:t>
      </w:r>
      <w:r>
        <w:rPr>
          <w:rFonts w:ascii="宋体" w:hAnsi="宋体"/>
          <w:kern w:val="0"/>
          <w:sz w:val="28"/>
          <w:szCs w:val="28"/>
          <w:highlight w:val="none"/>
        </w:rPr>
        <w:t xml:space="preserve">     </w:t>
      </w:r>
    </w:p>
    <w:p w14:paraId="562D016A">
      <w:pPr>
        <w:spacing w:line="560" w:lineRule="exact"/>
        <w:ind w:firstLine="560" w:firstLineChars="200"/>
        <w:rPr>
          <w:rFonts w:ascii="宋体" w:hAnsi="宋体"/>
          <w:kern w:val="0"/>
          <w:sz w:val="28"/>
          <w:szCs w:val="28"/>
          <w:highlight w:val="none"/>
        </w:rPr>
      </w:pPr>
      <w:r>
        <w:rPr>
          <w:rFonts w:hint="eastAsia" w:ascii="宋体" w:hAnsi="宋体"/>
          <w:kern w:val="0"/>
          <w:sz w:val="28"/>
          <w:szCs w:val="28"/>
          <w:highlight w:val="none"/>
        </w:rPr>
        <w:t>法定代表人：</w:t>
      </w:r>
      <w:r>
        <w:rPr>
          <w:rFonts w:ascii="宋体" w:hAnsi="宋体"/>
          <w:sz w:val="28"/>
          <w:szCs w:val="28"/>
          <w:highlight w:val="none"/>
          <w:u w:val="single"/>
        </w:rPr>
        <w:t xml:space="preserve">                   </w:t>
      </w:r>
      <w:r>
        <w:rPr>
          <w:rFonts w:hint="eastAsia" w:ascii="宋体" w:hAnsi="宋体"/>
          <w:kern w:val="0"/>
          <w:sz w:val="28"/>
          <w:szCs w:val="28"/>
          <w:highlight w:val="none"/>
        </w:rPr>
        <w:t>联系电话：</w:t>
      </w:r>
      <w:r>
        <w:rPr>
          <w:rFonts w:ascii="宋体" w:hAnsi="宋体"/>
          <w:sz w:val="28"/>
          <w:szCs w:val="28"/>
          <w:highlight w:val="none"/>
          <w:u w:val="single"/>
        </w:rPr>
        <w:t xml:space="preserve">                </w:t>
      </w:r>
    </w:p>
    <w:p w14:paraId="0E5B05CA">
      <w:pPr>
        <w:spacing w:line="560" w:lineRule="exact"/>
        <w:ind w:firstLine="560" w:firstLineChars="200"/>
        <w:rPr>
          <w:rFonts w:ascii="宋体" w:hAnsi="宋体"/>
          <w:kern w:val="0"/>
          <w:sz w:val="28"/>
          <w:szCs w:val="28"/>
          <w:highlight w:val="none"/>
        </w:rPr>
      </w:pPr>
      <w:r>
        <w:rPr>
          <w:rFonts w:hint="eastAsia" w:ascii="宋体" w:hAnsi="宋体"/>
          <w:kern w:val="0"/>
          <w:sz w:val="28"/>
          <w:szCs w:val="28"/>
          <w:highlight w:val="none"/>
        </w:rPr>
        <w:t>授权代表：</w:t>
      </w:r>
      <w:r>
        <w:rPr>
          <w:rFonts w:ascii="宋体" w:hAnsi="宋体"/>
          <w:sz w:val="28"/>
          <w:szCs w:val="28"/>
          <w:highlight w:val="none"/>
          <w:u w:val="single"/>
        </w:rPr>
        <w:t xml:space="preserve">                     </w:t>
      </w:r>
      <w:r>
        <w:rPr>
          <w:rFonts w:hint="eastAsia" w:ascii="宋体" w:hAnsi="宋体"/>
          <w:kern w:val="0"/>
          <w:sz w:val="28"/>
          <w:szCs w:val="28"/>
          <w:highlight w:val="none"/>
        </w:rPr>
        <w:t>联系电话：</w:t>
      </w:r>
      <w:r>
        <w:rPr>
          <w:rFonts w:ascii="宋体" w:hAnsi="宋体"/>
          <w:sz w:val="28"/>
          <w:szCs w:val="28"/>
          <w:highlight w:val="none"/>
          <w:u w:val="single"/>
        </w:rPr>
        <w:t xml:space="preserve">                </w:t>
      </w:r>
    </w:p>
    <w:p w14:paraId="071F6AD6">
      <w:pPr>
        <w:spacing w:before="240" w:beforeLines="100" w:line="560" w:lineRule="exact"/>
        <w:rPr>
          <w:rFonts w:ascii="宋体" w:hAnsi="宋体"/>
          <w:kern w:val="0"/>
          <w:sz w:val="28"/>
          <w:szCs w:val="28"/>
          <w:highlight w:val="none"/>
        </w:rPr>
      </w:pPr>
      <w:r>
        <w:rPr>
          <w:rFonts w:hint="eastAsia" w:ascii="宋体" w:hAnsi="宋体"/>
          <w:kern w:val="0"/>
          <w:sz w:val="28"/>
          <w:szCs w:val="28"/>
          <w:highlight w:val="none"/>
          <w:u w:val="single"/>
        </w:rPr>
        <w:t>（质疑受理单位名称）</w:t>
      </w:r>
      <w:r>
        <w:rPr>
          <w:rFonts w:hint="eastAsia" w:ascii="宋体" w:hAnsi="宋体"/>
          <w:kern w:val="0"/>
          <w:sz w:val="28"/>
          <w:szCs w:val="28"/>
          <w:highlight w:val="none"/>
        </w:rPr>
        <w:t>：</w:t>
      </w:r>
    </w:p>
    <w:p w14:paraId="527FE73D">
      <w:pPr>
        <w:spacing w:line="560" w:lineRule="exact"/>
        <w:ind w:firstLine="560" w:firstLineChars="200"/>
        <w:rPr>
          <w:rFonts w:ascii="宋体" w:hAnsi="宋体"/>
          <w:kern w:val="0"/>
          <w:sz w:val="28"/>
          <w:szCs w:val="28"/>
          <w:highlight w:val="none"/>
        </w:rPr>
      </w:pPr>
      <w:r>
        <w:rPr>
          <w:rFonts w:hint="eastAsia" w:ascii="宋体" w:hAnsi="宋体"/>
          <w:kern w:val="0"/>
          <w:sz w:val="28"/>
          <w:szCs w:val="28"/>
          <w:highlight w:val="none"/>
        </w:rPr>
        <w:t>针对你单位组织的</w:t>
      </w:r>
      <w:r>
        <w:rPr>
          <w:rFonts w:hint="eastAsia" w:ascii="宋体" w:hAnsi="宋体"/>
          <w:sz w:val="28"/>
          <w:szCs w:val="28"/>
          <w:highlight w:val="none"/>
          <w:u w:val="single"/>
        </w:rPr>
        <w:t xml:space="preserve"> </w:t>
      </w:r>
      <w:r>
        <w:rPr>
          <w:rFonts w:ascii="宋体" w:hAnsi="宋体"/>
          <w:sz w:val="28"/>
          <w:szCs w:val="28"/>
          <w:highlight w:val="none"/>
          <w:u w:val="single"/>
        </w:rPr>
        <w:t xml:space="preserve">          </w:t>
      </w:r>
      <w:r>
        <w:rPr>
          <w:rFonts w:hint="eastAsia" w:ascii="宋体" w:hAnsi="宋体"/>
          <w:kern w:val="0"/>
          <w:sz w:val="28"/>
          <w:szCs w:val="28"/>
          <w:highlight w:val="none"/>
        </w:rPr>
        <w:t>采购项目（项目编号：</w:t>
      </w:r>
      <w:r>
        <w:rPr>
          <w:rFonts w:hint="eastAsia" w:ascii="宋体" w:hAnsi="宋体"/>
          <w:sz w:val="28"/>
          <w:szCs w:val="28"/>
          <w:highlight w:val="none"/>
          <w:u w:val="single"/>
        </w:rPr>
        <w:t xml:space="preserve"> </w:t>
      </w:r>
      <w:r>
        <w:rPr>
          <w:rFonts w:ascii="宋体" w:hAnsi="宋体"/>
          <w:sz w:val="28"/>
          <w:szCs w:val="28"/>
          <w:highlight w:val="none"/>
          <w:u w:val="single"/>
        </w:rPr>
        <w:t xml:space="preserve">           </w:t>
      </w:r>
      <w:r>
        <w:rPr>
          <w:rFonts w:hint="eastAsia" w:ascii="宋体" w:hAnsi="宋体"/>
          <w:kern w:val="0"/>
          <w:sz w:val="28"/>
          <w:szCs w:val="28"/>
          <w:highlight w:val="none"/>
        </w:rPr>
        <w:t>），我单位现就以下问题提出质疑：</w:t>
      </w:r>
    </w:p>
    <w:p w14:paraId="6CC35C7B">
      <w:pPr>
        <w:spacing w:line="560" w:lineRule="exact"/>
        <w:ind w:firstLine="560" w:firstLineChars="200"/>
        <w:rPr>
          <w:rFonts w:ascii="宋体" w:hAnsi="宋体"/>
          <w:kern w:val="0"/>
          <w:sz w:val="28"/>
          <w:szCs w:val="28"/>
          <w:highlight w:val="none"/>
        </w:rPr>
      </w:pPr>
      <w:r>
        <w:rPr>
          <w:rFonts w:hint="eastAsia" w:ascii="宋体" w:hAnsi="宋体"/>
          <w:kern w:val="0"/>
          <w:sz w:val="28"/>
          <w:szCs w:val="28"/>
          <w:highlight w:val="none"/>
        </w:rPr>
        <w:t>一、质疑事项和与之相关的请求</w:t>
      </w:r>
    </w:p>
    <w:p w14:paraId="339231DD">
      <w:pPr>
        <w:spacing w:line="560" w:lineRule="exact"/>
        <w:ind w:firstLine="560" w:firstLineChars="200"/>
        <w:rPr>
          <w:rFonts w:ascii="宋体" w:hAnsi="宋体"/>
          <w:kern w:val="0"/>
          <w:sz w:val="28"/>
          <w:szCs w:val="28"/>
          <w:highlight w:val="none"/>
        </w:rPr>
      </w:pPr>
      <w:r>
        <w:rPr>
          <w:rFonts w:hint="eastAsia" w:ascii="宋体" w:hAnsi="宋体"/>
          <w:kern w:val="0"/>
          <w:sz w:val="28"/>
          <w:szCs w:val="28"/>
          <w:highlight w:val="none"/>
        </w:rPr>
        <w:t>二、事实依据</w:t>
      </w:r>
    </w:p>
    <w:p w14:paraId="2C261B67">
      <w:pPr>
        <w:spacing w:line="560" w:lineRule="exact"/>
        <w:ind w:firstLine="560" w:firstLineChars="200"/>
        <w:rPr>
          <w:rFonts w:ascii="宋体" w:hAnsi="宋体"/>
          <w:kern w:val="0"/>
          <w:sz w:val="28"/>
          <w:szCs w:val="28"/>
          <w:highlight w:val="none"/>
        </w:rPr>
      </w:pPr>
      <w:r>
        <w:rPr>
          <w:rFonts w:hint="eastAsia" w:ascii="宋体" w:hAnsi="宋体"/>
          <w:kern w:val="0"/>
          <w:sz w:val="28"/>
          <w:szCs w:val="28"/>
          <w:highlight w:val="none"/>
        </w:rPr>
        <w:t>三、法律依据</w:t>
      </w:r>
    </w:p>
    <w:p w14:paraId="4F840E55">
      <w:pPr>
        <w:spacing w:line="560" w:lineRule="exact"/>
        <w:ind w:firstLine="560" w:firstLineChars="200"/>
        <w:rPr>
          <w:rFonts w:ascii="宋体" w:hAnsi="宋体"/>
          <w:kern w:val="0"/>
          <w:sz w:val="28"/>
          <w:szCs w:val="28"/>
          <w:highlight w:val="none"/>
        </w:rPr>
      </w:pPr>
      <w:r>
        <w:rPr>
          <w:rFonts w:hint="eastAsia" w:ascii="宋体" w:hAnsi="宋体"/>
          <w:kern w:val="0"/>
          <w:sz w:val="28"/>
          <w:szCs w:val="28"/>
          <w:highlight w:val="none"/>
        </w:rPr>
        <w:t>……</w:t>
      </w:r>
    </w:p>
    <w:p w14:paraId="22607FF8">
      <w:pPr>
        <w:spacing w:line="560" w:lineRule="exact"/>
        <w:ind w:firstLine="560" w:firstLineChars="200"/>
        <w:rPr>
          <w:rFonts w:ascii="宋体" w:hAnsi="宋体"/>
          <w:kern w:val="0"/>
          <w:sz w:val="28"/>
          <w:szCs w:val="28"/>
          <w:highlight w:val="none"/>
        </w:rPr>
      </w:pPr>
    </w:p>
    <w:p w14:paraId="5F53EE90">
      <w:pPr>
        <w:spacing w:line="560" w:lineRule="exact"/>
        <w:ind w:firstLine="560" w:firstLineChars="200"/>
        <w:rPr>
          <w:rFonts w:ascii="宋体" w:hAnsi="宋体"/>
          <w:kern w:val="0"/>
          <w:sz w:val="28"/>
          <w:szCs w:val="28"/>
          <w:highlight w:val="none"/>
        </w:rPr>
      </w:pPr>
    </w:p>
    <w:p w14:paraId="22EAFFC2">
      <w:pPr>
        <w:spacing w:line="560" w:lineRule="exact"/>
        <w:ind w:firstLine="560" w:firstLineChars="200"/>
        <w:rPr>
          <w:rFonts w:ascii="宋体" w:hAnsi="宋体"/>
          <w:kern w:val="0"/>
          <w:sz w:val="28"/>
          <w:szCs w:val="28"/>
          <w:highlight w:val="none"/>
        </w:rPr>
      </w:pPr>
    </w:p>
    <w:p w14:paraId="6B6F4ACB">
      <w:pPr>
        <w:spacing w:line="560" w:lineRule="exact"/>
        <w:ind w:firstLine="560" w:firstLineChars="200"/>
        <w:rPr>
          <w:rFonts w:ascii="宋体" w:hAnsi="宋体"/>
          <w:kern w:val="0"/>
          <w:sz w:val="28"/>
          <w:szCs w:val="28"/>
          <w:highlight w:val="none"/>
        </w:rPr>
      </w:pPr>
    </w:p>
    <w:p w14:paraId="5033E2E5">
      <w:pPr>
        <w:spacing w:line="560" w:lineRule="exact"/>
        <w:ind w:firstLine="3080" w:firstLineChars="1100"/>
        <w:rPr>
          <w:rFonts w:ascii="宋体" w:hAnsi="宋体"/>
          <w:kern w:val="0"/>
          <w:sz w:val="28"/>
          <w:szCs w:val="28"/>
          <w:highlight w:val="none"/>
        </w:rPr>
      </w:pPr>
      <w:r>
        <w:rPr>
          <w:rFonts w:hint="eastAsia" w:ascii="宋体" w:hAnsi="宋体"/>
          <w:kern w:val="0"/>
          <w:sz w:val="28"/>
          <w:szCs w:val="28"/>
          <w:highlight w:val="none"/>
        </w:rPr>
        <w:t xml:space="preserve"> </w:t>
      </w:r>
      <w:r>
        <w:rPr>
          <w:rFonts w:ascii="宋体" w:hAnsi="宋体"/>
          <w:kern w:val="0"/>
          <w:sz w:val="28"/>
          <w:szCs w:val="28"/>
          <w:highlight w:val="none"/>
        </w:rPr>
        <w:t xml:space="preserve">          </w:t>
      </w:r>
      <w:r>
        <w:rPr>
          <w:rFonts w:hint="eastAsia" w:ascii="宋体" w:hAnsi="宋体"/>
          <w:kern w:val="0"/>
          <w:sz w:val="28"/>
          <w:szCs w:val="28"/>
          <w:highlight w:val="none"/>
        </w:rPr>
        <w:t>质疑供应商名称：（盖章）</w:t>
      </w:r>
    </w:p>
    <w:p w14:paraId="56487103">
      <w:pPr>
        <w:spacing w:line="560" w:lineRule="exact"/>
        <w:ind w:firstLine="560" w:firstLineChars="200"/>
        <w:jc w:val="center"/>
        <w:rPr>
          <w:rFonts w:ascii="宋体" w:hAnsi="宋体"/>
          <w:kern w:val="0"/>
          <w:sz w:val="28"/>
          <w:szCs w:val="28"/>
          <w:highlight w:val="none"/>
        </w:rPr>
      </w:pPr>
      <w:r>
        <w:rPr>
          <w:rFonts w:hint="eastAsia" w:ascii="宋体" w:hAnsi="宋体"/>
          <w:kern w:val="0"/>
          <w:sz w:val="28"/>
          <w:szCs w:val="28"/>
          <w:highlight w:val="none"/>
        </w:rPr>
        <w:t xml:space="preserve">      </w:t>
      </w:r>
      <w:r>
        <w:rPr>
          <w:rFonts w:ascii="宋体" w:hAnsi="宋体"/>
          <w:kern w:val="0"/>
          <w:sz w:val="28"/>
          <w:szCs w:val="28"/>
          <w:highlight w:val="none"/>
        </w:rPr>
        <w:t xml:space="preserve">                   </w:t>
      </w:r>
      <w:r>
        <w:rPr>
          <w:rFonts w:hint="eastAsia" w:ascii="宋体" w:hAnsi="宋体"/>
          <w:kern w:val="0"/>
          <w:sz w:val="28"/>
          <w:szCs w:val="28"/>
          <w:highlight w:val="none"/>
        </w:rPr>
        <w:t xml:space="preserve">  </w:t>
      </w:r>
      <w:r>
        <w:rPr>
          <w:snapToGrid w:val="0"/>
          <w:sz w:val="28"/>
          <w:szCs w:val="28"/>
          <w:highlight w:val="none"/>
          <w:lang w:val="zh-CN"/>
        </w:rPr>
        <w:t>法定代表人（或授权代表）：（签字）</w:t>
      </w:r>
    </w:p>
    <w:p w14:paraId="4854DBE4">
      <w:pPr>
        <w:spacing w:line="560" w:lineRule="exact"/>
        <w:ind w:firstLine="560" w:firstLineChars="200"/>
        <w:jc w:val="center"/>
        <w:rPr>
          <w:rFonts w:ascii="宋体" w:hAnsi="宋体"/>
          <w:kern w:val="0"/>
          <w:sz w:val="28"/>
          <w:szCs w:val="28"/>
          <w:highlight w:val="none"/>
        </w:rPr>
      </w:pPr>
      <w:r>
        <w:rPr>
          <w:rFonts w:hint="eastAsia" w:ascii="宋体" w:hAnsi="宋体"/>
          <w:sz w:val="28"/>
          <w:szCs w:val="28"/>
          <w:highlight w:val="none"/>
        </w:rPr>
        <w:t xml:space="preserve">     </w:t>
      </w:r>
      <w:r>
        <w:rPr>
          <w:rFonts w:ascii="宋体" w:hAnsi="宋体"/>
          <w:sz w:val="28"/>
          <w:szCs w:val="28"/>
          <w:highlight w:val="none"/>
        </w:rPr>
        <w:t xml:space="preserve">                                 </w:t>
      </w:r>
      <w:r>
        <w:rPr>
          <w:rFonts w:hint="eastAsia" w:ascii="宋体" w:hAnsi="宋体"/>
          <w:sz w:val="28"/>
          <w:szCs w:val="28"/>
          <w:highlight w:val="none"/>
        </w:rPr>
        <w:t xml:space="preserve">  </w:t>
      </w:r>
      <w:r>
        <w:rPr>
          <w:snapToGrid w:val="0"/>
          <w:sz w:val="28"/>
          <w:szCs w:val="28"/>
          <w:highlight w:val="none"/>
          <w:lang w:val="zh-CN"/>
        </w:rPr>
        <w:t xml:space="preserve"> </w:t>
      </w:r>
      <w:r>
        <w:rPr>
          <w:rFonts w:hint="eastAsia"/>
          <w:sz w:val="28"/>
          <w:szCs w:val="28"/>
          <w:highlight w:val="none"/>
          <w:u w:val="single"/>
        </w:rPr>
        <w:t xml:space="preserve">    </w:t>
      </w:r>
      <w:r>
        <w:rPr>
          <w:sz w:val="28"/>
          <w:szCs w:val="28"/>
          <w:highlight w:val="none"/>
        </w:rPr>
        <w:t>年</w:t>
      </w:r>
      <w:r>
        <w:rPr>
          <w:rFonts w:hint="eastAsia"/>
          <w:sz w:val="28"/>
          <w:szCs w:val="28"/>
          <w:highlight w:val="none"/>
          <w:u w:val="single"/>
        </w:rPr>
        <w:t xml:space="preserve"> </w:t>
      </w:r>
      <w:r>
        <w:rPr>
          <w:sz w:val="28"/>
          <w:szCs w:val="28"/>
          <w:highlight w:val="none"/>
          <w:u w:val="single"/>
        </w:rPr>
        <w:t xml:space="preserve">  </w:t>
      </w:r>
      <w:r>
        <w:rPr>
          <w:sz w:val="28"/>
          <w:szCs w:val="28"/>
          <w:highlight w:val="none"/>
        </w:rPr>
        <w:t>月</w:t>
      </w:r>
      <w:r>
        <w:rPr>
          <w:rFonts w:hint="eastAsia"/>
          <w:sz w:val="28"/>
          <w:szCs w:val="28"/>
          <w:highlight w:val="none"/>
          <w:u w:val="single"/>
        </w:rPr>
        <w:t xml:space="preserve"> </w:t>
      </w:r>
      <w:r>
        <w:rPr>
          <w:sz w:val="28"/>
          <w:szCs w:val="28"/>
          <w:highlight w:val="none"/>
          <w:u w:val="single"/>
        </w:rPr>
        <w:t xml:space="preserve"> </w:t>
      </w:r>
      <w:r>
        <w:rPr>
          <w:rFonts w:hint="eastAsia"/>
          <w:sz w:val="28"/>
          <w:szCs w:val="28"/>
          <w:highlight w:val="none"/>
          <w:u w:val="single"/>
        </w:rPr>
        <w:t xml:space="preserve"> </w:t>
      </w:r>
      <w:r>
        <w:rPr>
          <w:sz w:val="28"/>
          <w:szCs w:val="28"/>
          <w:highlight w:val="none"/>
        </w:rPr>
        <w:t>日</w:t>
      </w:r>
    </w:p>
    <w:p w14:paraId="3A4C30F6">
      <w:pPr>
        <w:pStyle w:val="5"/>
        <w:spacing w:before="120" w:beforeLines="50" w:after="120" w:afterLines="50" w:line="560" w:lineRule="exact"/>
        <w:rPr>
          <w:rFonts w:cs="宋体" w:asciiTheme="minorEastAsia" w:hAnsiTheme="minorEastAsia" w:eastAsiaTheme="minorEastAsia"/>
          <w:sz w:val="28"/>
          <w:szCs w:val="28"/>
          <w:highlight w:val="none"/>
        </w:rPr>
      </w:pPr>
      <w:r>
        <w:rPr>
          <w:b w:val="0"/>
          <w:highlight w:val="none"/>
        </w:rPr>
        <w:br w:type="page"/>
      </w:r>
      <w:bookmarkStart w:id="403" w:name="_Toc9615"/>
      <w:bookmarkStart w:id="404" w:name="_Toc6068"/>
      <w:bookmarkStart w:id="405" w:name="_Toc11059"/>
      <w:bookmarkStart w:id="406" w:name="_Toc27162"/>
      <w:bookmarkStart w:id="407" w:name="_Toc28425"/>
      <w:bookmarkStart w:id="408" w:name="_Toc27144"/>
      <w:bookmarkStart w:id="409" w:name="_Toc14995"/>
      <w:bookmarkStart w:id="410" w:name="_Toc18739"/>
      <w:bookmarkStart w:id="411" w:name="_Toc15888"/>
      <w:bookmarkStart w:id="412" w:name="_Toc152058263"/>
      <w:bookmarkStart w:id="413" w:name="_Toc16220"/>
      <w:bookmarkStart w:id="414" w:name="_Toc17167"/>
      <w:bookmarkStart w:id="415" w:name="_Toc19368"/>
      <w:bookmarkStart w:id="416" w:name="_Toc112768436"/>
      <w:bookmarkStart w:id="417" w:name="_Toc10021"/>
      <w:bookmarkStart w:id="418" w:name="_Toc9085"/>
      <w:r>
        <w:rPr>
          <w:rFonts w:hint="eastAsia" w:ascii="黑体" w:hAnsi="黑体" w:cs="黑体"/>
          <w:b w:val="0"/>
          <w:bCs w:val="0"/>
          <w:sz w:val="28"/>
          <w:szCs w:val="28"/>
          <w:highlight w:val="none"/>
        </w:rPr>
        <w:t>附页3 投诉书（格式）</w:t>
      </w:r>
      <w:bookmarkEnd w:id="403"/>
      <w:bookmarkEnd w:id="404"/>
      <w:bookmarkEnd w:id="405"/>
      <w:bookmarkEnd w:id="406"/>
      <w:bookmarkEnd w:id="407"/>
      <w:bookmarkEnd w:id="408"/>
      <w:bookmarkEnd w:id="409"/>
      <w:bookmarkEnd w:id="410"/>
      <w:bookmarkEnd w:id="411"/>
      <w:bookmarkEnd w:id="412"/>
      <w:bookmarkEnd w:id="413"/>
      <w:bookmarkEnd w:id="414"/>
    </w:p>
    <w:p w14:paraId="628FD2D8">
      <w:pPr>
        <w:wordWrap w:val="0"/>
        <w:ind w:left="680" w:firstLine="640" w:firstLineChars="200"/>
        <w:jc w:val="right"/>
        <w:rPr>
          <w:rFonts w:ascii="黑体" w:eastAsia="黑体" w:cs="宋体"/>
          <w:sz w:val="36"/>
          <w:szCs w:val="36"/>
          <w:highlight w:val="none"/>
        </w:rPr>
      </w:pPr>
      <w:r>
        <w:rPr>
          <w:rFonts w:hint="eastAsia" w:ascii="黑体" w:eastAsia="黑体" w:cs="宋体"/>
          <w:sz w:val="32"/>
          <w:szCs w:val="32"/>
          <w:highlight w:val="none"/>
        </w:rPr>
        <w:t>正</w:t>
      </w:r>
      <w:r>
        <w:rPr>
          <w:rFonts w:ascii="黑体" w:eastAsia="黑体" w:cs="宋体"/>
          <w:sz w:val="32"/>
          <w:szCs w:val="32"/>
          <w:highlight w:val="none"/>
        </w:rPr>
        <w:t xml:space="preserve">  </w:t>
      </w:r>
      <w:r>
        <w:rPr>
          <w:rFonts w:hint="eastAsia" w:ascii="黑体" w:eastAsia="黑体" w:cs="宋体"/>
          <w:sz w:val="32"/>
          <w:szCs w:val="32"/>
          <w:highlight w:val="none"/>
        </w:rPr>
        <w:t>本</w:t>
      </w:r>
    </w:p>
    <w:p w14:paraId="54C44F25">
      <w:pPr>
        <w:spacing w:line="560" w:lineRule="exact"/>
        <w:jc w:val="center"/>
        <w:rPr>
          <w:rFonts w:ascii="黑体" w:hAnsi="黑体" w:eastAsia="黑体" w:cs="黑体"/>
          <w:sz w:val="36"/>
          <w:szCs w:val="36"/>
          <w:highlight w:val="none"/>
        </w:rPr>
      </w:pPr>
      <w:r>
        <w:rPr>
          <w:rFonts w:hint="eastAsia" w:ascii="黑体" w:hAnsi="黑体" w:eastAsia="黑体" w:cs="黑体"/>
          <w:sz w:val="36"/>
          <w:szCs w:val="36"/>
          <w:highlight w:val="none"/>
        </w:rPr>
        <w:t>投  诉  书</w:t>
      </w:r>
    </w:p>
    <w:bookmarkEnd w:id="415"/>
    <w:bookmarkEnd w:id="416"/>
    <w:bookmarkEnd w:id="417"/>
    <w:bookmarkEnd w:id="418"/>
    <w:p w14:paraId="7228ADDB">
      <w:pPr>
        <w:spacing w:line="560" w:lineRule="exact"/>
        <w:ind w:firstLine="560" w:firstLineChars="200"/>
        <w:rPr>
          <w:rFonts w:ascii="宋体" w:hAnsi="宋体"/>
          <w:kern w:val="0"/>
          <w:sz w:val="28"/>
          <w:szCs w:val="28"/>
          <w:highlight w:val="none"/>
        </w:rPr>
      </w:pPr>
      <w:r>
        <w:rPr>
          <w:rFonts w:hint="eastAsia" w:ascii="宋体" w:hAnsi="宋体"/>
          <w:kern w:val="0"/>
          <w:sz w:val="28"/>
          <w:szCs w:val="28"/>
          <w:highlight w:val="none"/>
        </w:rPr>
        <w:t>投诉人名称：</w:t>
      </w:r>
      <w:r>
        <w:rPr>
          <w:rFonts w:ascii="宋体" w:hAnsi="宋体"/>
          <w:sz w:val="28"/>
          <w:szCs w:val="28"/>
          <w:highlight w:val="none"/>
          <w:u w:val="single"/>
        </w:rPr>
        <w:t xml:space="preserve">                                      </w:t>
      </w:r>
    </w:p>
    <w:p w14:paraId="184373D3">
      <w:pPr>
        <w:spacing w:line="560" w:lineRule="exact"/>
        <w:ind w:firstLine="560" w:firstLineChars="200"/>
        <w:rPr>
          <w:rFonts w:ascii="宋体" w:hAnsi="宋体"/>
          <w:kern w:val="0"/>
          <w:sz w:val="28"/>
          <w:szCs w:val="28"/>
          <w:highlight w:val="none"/>
        </w:rPr>
      </w:pPr>
      <w:r>
        <w:rPr>
          <w:rFonts w:hint="eastAsia" w:ascii="宋体" w:hAnsi="宋体"/>
          <w:kern w:val="0"/>
          <w:sz w:val="28"/>
          <w:szCs w:val="28"/>
          <w:highlight w:val="none"/>
        </w:rPr>
        <w:t>通讯地址：</w:t>
      </w:r>
      <w:r>
        <w:rPr>
          <w:rFonts w:ascii="宋体" w:hAnsi="宋体"/>
          <w:sz w:val="28"/>
          <w:szCs w:val="28"/>
          <w:highlight w:val="none"/>
          <w:u w:val="single"/>
        </w:rPr>
        <w:t xml:space="preserve">                                        </w:t>
      </w:r>
    </w:p>
    <w:p w14:paraId="57AA2897">
      <w:pPr>
        <w:spacing w:line="560" w:lineRule="exact"/>
        <w:ind w:firstLine="560" w:firstLineChars="200"/>
        <w:rPr>
          <w:rFonts w:ascii="宋体" w:hAnsi="宋体"/>
          <w:kern w:val="0"/>
          <w:sz w:val="28"/>
          <w:szCs w:val="28"/>
          <w:highlight w:val="none"/>
        </w:rPr>
      </w:pPr>
      <w:r>
        <w:rPr>
          <w:rFonts w:hint="eastAsia" w:ascii="宋体" w:hAnsi="宋体"/>
          <w:kern w:val="0"/>
          <w:sz w:val="28"/>
          <w:szCs w:val="28"/>
          <w:highlight w:val="none"/>
        </w:rPr>
        <w:t>法定代表人：</w:t>
      </w:r>
      <w:r>
        <w:rPr>
          <w:rFonts w:ascii="宋体" w:hAnsi="宋体"/>
          <w:sz w:val="28"/>
          <w:szCs w:val="28"/>
          <w:highlight w:val="none"/>
          <w:u w:val="single"/>
        </w:rPr>
        <w:t xml:space="preserve">                   </w:t>
      </w:r>
      <w:r>
        <w:rPr>
          <w:rFonts w:hint="eastAsia" w:ascii="宋体" w:hAnsi="宋体"/>
          <w:kern w:val="0"/>
          <w:sz w:val="28"/>
          <w:szCs w:val="28"/>
          <w:highlight w:val="none"/>
        </w:rPr>
        <w:t>联系电话：</w:t>
      </w:r>
      <w:r>
        <w:rPr>
          <w:rFonts w:ascii="宋体" w:hAnsi="宋体"/>
          <w:sz w:val="28"/>
          <w:szCs w:val="28"/>
          <w:highlight w:val="none"/>
          <w:u w:val="single"/>
        </w:rPr>
        <w:t xml:space="preserve">         </w:t>
      </w:r>
    </w:p>
    <w:p w14:paraId="4A887D32">
      <w:pPr>
        <w:spacing w:line="560" w:lineRule="exact"/>
        <w:ind w:firstLine="560" w:firstLineChars="200"/>
        <w:rPr>
          <w:rFonts w:ascii="宋体" w:hAnsi="宋体"/>
          <w:kern w:val="0"/>
          <w:sz w:val="28"/>
          <w:szCs w:val="28"/>
          <w:highlight w:val="none"/>
        </w:rPr>
      </w:pPr>
      <w:r>
        <w:rPr>
          <w:rFonts w:hint="eastAsia" w:ascii="宋体" w:hAnsi="宋体"/>
          <w:kern w:val="0"/>
          <w:sz w:val="28"/>
          <w:szCs w:val="28"/>
          <w:highlight w:val="none"/>
        </w:rPr>
        <w:t>授权代表：</w:t>
      </w:r>
      <w:r>
        <w:rPr>
          <w:rFonts w:ascii="宋体" w:hAnsi="宋体"/>
          <w:sz w:val="28"/>
          <w:szCs w:val="28"/>
          <w:highlight w:val="none"/>
          <w:u w:val="single"/>
        </w:rPr>
        <w:t xml:space="preserve">                     </w:t>
      </w:r>
      <w:r>
        <w:rPr>
          <w:rFonts w:hint="eastAsia" w:ascii="宋体" w:hAnsi="宋体"/>
          <w:kern w:val="0"/>
          <w:sz w:val="28"/>
          <w:szCs w:val="28"/>
          <w:highlight w:val="none"/>
        </w:rPr>
        <w:t>联系电话：</w:t>
      </w:r>
      <w:r>
        <w:rPr>
          <w:rFonts w:ascii="宋体" w:hAnsi="宋体"/>
          <w:sz w:val="28"/>
          <w:szCs w:val="28"/>
          <w:highlight w:val="none"/>
          <w:u w:val="single"/>
        </w:rPr>
        <w:t xml:space="preserve">         </w:t>
      </w:r>
    </w:p>
    <w:p w14:paraId="35CC681A">
      <w:pPr>
        <w:spacing w:line="560" w:lineRule="exact"/>
        <w:ind w:firstLine="560" w:firstLineChars="200"/>
        <w:rPr>
          <w:rFonts w:ascii="宋体" w:hAnsi="宋体"/>
          <w:kern w:val="0"/>
          <w:sz w:val="28"/>
          <w:szCs w:val="28"/>
          <w:highlight w:val="none"/>
        </w:rPr>
      </w:pPr>
      <w:r>
        <w:rPr>
          <w:rFonts w:hint="eastAsia" w:ascii="宋体" w:hAnsi="宋体"/>
          <w:kern w:val="0"/>
          <w:sz w:val="28"/>
          <w:szCs w:val="28"/>
          <w:highlight w:val="none"/>
        </w:rPr>
        <w:t>被投诉人名称：</w:t>
      </w:r>
      <w:r>
        <w:rPr>
          <w:rFonts w:ascii="宋体" w:hAnsi="宋体"/>
          <w:sz w:val="28"/>
          <w:szCs w:val="28"/>
          <w:highlight w:val="none"/>
          <w:u w:val="single"/>
        </w:rPr>
        <w:t xml:space="preserve">                                    </w:t>
      </w:r>
    </w:p>
    <w:p w14:paraId="220BB591">
      <w:pPr>
        <w:spacing w:line="560" w:lineRule="exact"/>
        <w:ind w:firstLine="560" w:firstLineChars="200"/>
        <w:rPr>
          <w:rFonts w:ascii="宋体" w:hAnsi="宋体"/>
          <w:kern w:val="0"/>
          <w:sz w:val="28"/>
          <w:szCs w:val="28"/>
          <w:highlight w:val="none"/>
        </w:rPr>
      </w:pPr>
      <w:r>
        <w:rPr>
          <w:rFonts w:hint="eastAsia" w:ascii="宋体" w:hAnsi="宋体"/>
          <w:kern w:val="0"/>
          <w:sz w:val="28"/>
          <w:szCs w:val="28"/>
          <w:highlight w:val="none"/>
        </w:rPr>
        <w:t>通讯地址：</w:t>
      </w:r>
      <w:r>
        <w:rPr>
          <w:rFonts w:ascii="宋体" w:hAnsi="宋体"/>
          <w:sz w:val="28"/>
          <w:szCs w:val="28"/>
          <w:highlight w:val="none"/>
          <w:u w:val="single"/>
        </w:rPr>
        <w:t xml:space="preserve">                                        </w:t>
      </w:r>
    </w:p>
    <w:p w14:paraId="50A29B9A">
      <w:pPr>
        <w:spacing w:line="560" w:lineRule="exact"/>
        <w:ind w:firstLine="560" w:firstLineChars="200"/>
        <w:rPr>
          <w:rFonts w:ascii="宋体" w:hAnsi="宋体"/>
          <w:kern w:val="0"/>
          <w:sz w:val="28"/>
          <w:szCs w:val="28"/>
          <w:highlight w:val="none"/>
        </w:rPr>
      </w:pPr>
      <w:r>
        <w:rPr>
          <w:rFonts w:hint="eastAsia" w:ascii="宋体" w:hAnsi="宋体"/>
          <w:kern w:val="0"/>
          <w:sz w:val="28"/>
          <w:szCs w:val="28"/>
          <w:highlight w:val="none"/>
        </w:rPr>
        <w:t>联系人：</w:t>
      </w:r>
      <w:r>
        <w:rPr>
          <w:rFonts w:ascii="宋体" w:hAnsi="宋体"/>
          <w:sz w:val="28"/>
          <w:szCs w:val="28"/>
          <w:highlight w:val="none"/>
          <w:u w:val="single"/>
        </w:rPr>
        <w:t xml:space="preserve">                       </w:t>
      </w:r>
      <w:r>
        <w:rPr>
          <w:rFonts w:hint="eastAsia" w:ascii="宋体" w:hAnsi="宋体"/>
          <w:kern w:val="0"/>
          <w:sz w:val="28"/>
          <w:szCs w:val="28"/>
          <w:highlight w:val="none"/>
        </w:rPr>
        <w:t>联系电话：</w:t>
      </w:r>
      <w:r>
        <w:rPr>
          <w:rFonts w:ascii="宋体" w:hAnsi="宋体"/>
          <w:sz w:val="28"/>
          <w:szCs w:val="28"/>
          <w:highlight w:val="none"/>
          <w:u w:val="single"/>
        </w:rPr>
        <w:t xml:space="preserve">         </w:t>
      </w:r>
    </w:p>
    <w:p w14:paraId="1ED4B0E5">
      <w:pPr>
        <w:spacing w:before="240" w:beforeLines="100" w:line="560" w:lineRule="exact"/>
        <w:rPr>
          <w:rFonts w:ascii="宋体" w:hAnsi="宋体"/>
          <w:kern w:val="0"/>
          <w:sz w:val="28"/>
          <w:szCs w:val="28"/>
          <w:highlight w:val="none"/>
        </w:rPr>
      </w:pPr>
      <w:r>
        <w:rPr>
          <w:rFonts w:hint="eastAsia" w:ascii="宋体" w:hAnsi="宋体"/>
          <w:kern w:val="0"/>
          <w:sz w:val="28"/>
          <w:szCs w:val="28"/>
          <w:highlight w:val="none"/>
          <w:u w:val="single"/>
        </w:rPr>
        <w:t>（投诉受理部门名称）</w:t>
      </w:r>
      <w:r>
        <w:rPr>
          <w:rFonts w:hint="eastAsia" w:ascii="宋体" w:hAnsi="宋体"/>
          <w:kern w:val="0"/>
          <w:sz w:val="28"/>
          <w:szCs w:val="28"/>
          <w:highlight w:val="none"/>
        </w:rPr>
        <w:t>：</w:t>
      </w:r>
    </w:p>
    <w:p w14:paraId="78B09AB6">
      <w:pPr>
        <w:spacing w:line="560" w:lineRule="exact"/>
        <w:ind w:firstLine="560" w:firstLineChars="200"/>
        <w:rPr>
          <w:rFonts w:ascii="宋体" w:hAnsi="宋体"/>
          <w:kern w:val="0"/>
          <w:sz w:val="28"/>
          <w:szCs w:val="28"/>
          <w:highlight w:val="none"/>
        </w:rPr>
      </w:pPr>
      <w:r>
        <w:rPr>
          <w:rFonts w:hint="eastAsia" w:ascii="宋体" w:hAnsi="宋体"/>
          <w:kern w:val="0"/>
          <w:sz w:val="28"/>
          <w:szCs w:val="28"/>
          <w:highlight w:val="none"/>
        </w:rPr>
        <w:t>针对</w:t>
      </w:r>
      <w:r>
        <w:rPr>
          <w:rFonts w:hint="eastAsia" w:ascii="宋体" w:hAnsi="宋体"/>
          <w:kern w:val="0"/>
          <w:sz w:val="28"/>
          <w:szCs w:val="28"/>
          <w:highlight w:val="none"/>
          <w:u w:val="single"/>
        </w:rPr>
        <w:t>（质疑受理单位</w:t>
      </w:r>
      <w:r>
        <w:rPr>
          <w:rFonts w:hint="eastAsia" w:ascii="宋体" w:hAnsi="宋体"/>
          <w:sz w:val="28"/>
          <w:szCs w:val="28"/>
          <w:highlight w:val="none"/>
          <w:u w:val="single"/>
        </w:rPr>
        <w:t>名称）</w:t>
      </w:r>
      <w:r>
        <w:rPr>
          <w:rFonts w:hint="eastAsia" w:ascii="宋体" w:hAnsi="宋体"/>
          <w:kern w:val="0"/>
          <w:sz w:val="28"/>
          <w:szCs w:val="28"/>
          <w:highlight w:val="none"/>
        </w:rPr>
        <w:t>组织的</w:t>
      </w:r>
      <w:r>
        <w:rPr>
          <w:rFonts w:hint="eastAsia" w:ascii="宋体" w:hAnsi="宋体"/>
          <w:sz w:val="28"/>
          <w:szCs w:val="28"/>
          <w:highlight w:val="none"/>
          <w:u w:val="single"/>
        </w:rPr>
        <w:t xml:space="preserve"> </w:t>
      </w:r>
      <w:r>
        <w:rPr>
          <w:rFonts w:ascii="宋体" w:hAnsi="宋体"/>
          <w:sz w:val="28"/>
          <w:szCs w:val="28"/>
          <w:highlight w:val="none"/>
          <w:u w:val="single"/>
        </w:rPr>
        <w:t xml:space="preserve">          </w:t>
      </w:r>
      <w:r>
        <w:rPr>
          <w:rFonts w:hint="eastAsia" w:ascii="宋体" w:hAnsi="宋体"/>
          <w:kern w:val="0"/>
          <w:sz w:val="28"/>
          <w:szCs w:val="28"/>
          <w:highlight w:val="none"/>
        </w:rPr>
        <w:t>采购项目（项目编号：</w:t>
      </w:r>
      <w:r>
        <w:rPr>
          <w:rFonts w:hint="eastAsia" w:ascii="宋体" w:hAnsi="宋体"/>
          <w:sz w:val="28"/>
          <w:szCs w:val="28"/>
          <w:highlight w:val="none"/>
          <w:u w:val="single"/>
        </w:rPr>
        <w:t xml:space="preserve"> </w:t>
      </w:r>
      <w:r>
        <w:rPr>
          <w:rFonts w:ascii="宋体" w:hAnsi="宋体"/>
          <w:sz w:val="28"/>
          <w:szCs w:val="28"/>
          <w:highlight w:val="none"/>
          <w:u w:val="single"/>
        </w:rPr>
        <w:t xml:space="preserve">           </w:t>
      </w:r>
      <w:r>
        <w:rPr>
          <w:rFonts w:hint="eastAsia" w:ascii="宋体" w:hAnsi="宋体"/>
          <w:kern w:val="0"/>
          <w:sz w:val="28"/>
          <w:szCs w:val="28"/>
          <w:highlight w:val="none"/>
        </w:rPr>
        <w:t>），我单位现就以下问题提起投诉：</w:t>
      </w:r>
    </w:p>
    <w:p w14:paraId="0E568CAC">
      <w:pPr>
        <w:spacing w:line="560" w:lineRule="exact"/>
        <w:ind w:firstLine="560" w:firstLineChars="200"/>
        <w:rPr>
          <w:rFonts w:ascii="宋体" w:hAnsi="宋体"/>
          <w:kern w:val="0"/>
          <w:sz w:val="28"/>
          <w:szCs w:val="28"/>
          <w:highlight w:val="none"/>
        </w:rPr>
      </w:pPr>
      <w:r>
        <w:rPr>
          <w:rFonts w:hint="eastAsia" w:ascii="宋体" w:hAnsi="宋体"/>
          <w:kern w:val="0"/>
          <w:sz w:val="28"/>
          <w:szCs w:val="28"/>
          <w:highlight w:val="none"/>
        </w:rPr>
        <w:t>一、投诉事项和与投诉事项相关的请求</w:t>
      </w:r>
    </w:p>
    <w:p w14:paraId="210F20D7">
      <w:pPr>
        <w:spacing w:line="560" w:lineRule="exact"/>
        <w:ind w:firstLine="560" w:firstLineChars="200"/>
        <w:rPr>
          <w:rFonts w:ascii="宋体" w:hAnsi="宋体"/>
          <w:kern w:val="0"/>
          <w:sz w:val="28"/>
          <w:szCs w:val="28"/>
          <w:highlight w:val="none"/>
        </w:rPr>
      </w:pPr>
      <w:r>
        <w:rPr>
          <w:rFonts w:hint="eastAsia" w:ascii="宋体" w:hAnsi="宋体"/>
          <w:kern w:val="0"/>
          <w:sz w:val="28"/>
          <w:szCs w:val="28"/>
          <w:highlight w:val="none"/>
        </w:rPr>
        <w:t>二、事实依据</w:t>
      </w:r>
    </w:p>
    <w:p w14:paraId="5E7231B1">
      <w:pPr>
        <w:spacing w:line="560" w:lineRule="exact"/>
        <w:ind w:firstLine="560" w:firstLineChars="200"/>
        <w:rPr>
          <w:rFonts w:ascii="宋体" w:hAnsi="宋体"/>
          <w:kern w:val="0"/>
          <w:sz w:val="28"/>
          <w:szCs w:val="28"/>
          <w:highlight w:val="none"/>
        </w:rPr>
      </w:pPr>
      <w:r>
        <w:rPr>
          <w:rFonts w:hint="eastAsia" w:ascii="宋体" w:hAnsi="宋体"/>
          <w:kern w:val="0"/>
          <w:sz w:val="28"/>
          <w:szCs w:val="28"/>
          <w:highlight w:val="none"/>
        </w:rPr>
        <w:t>三、法律依据</w:t>
      </w:r>
    </w:p>
    <w:p w14:paraId="226C9AE2">
      <w:pPr>
        <w:spacing w:line="560" w:lineRule="exact"/>
        <w:ind w:firstLine="560" w:firstLineChars="200"/>
        <w:rPr>
          <w:rFonts w:ascii="宋体" w:hAnsi="宋体"/>
          <w:kern w:val="0"/>
          <w:sz w:val="28"/>
          <w:szCs w:val="28"/>
          <w:highlight w:val="none"/>
        </w:rPr>
      </w:pPr>
      <w:r>
        <w:rPr>
          <w:rFonts w:hint="eastAsia" w:ascii="宋体" w:hAnsi="宋体"/>
          <w:kern w:val="0"/>
          <w:sz w:val="28"/>
          <w:szCs w:val="28"/>
          <w:highlight w:val="none"/>
        </w:rPr>
        <w:t>四、质疑和质疑答复情况及相关证明材料</w:t>
      </w:r>
    </w:p>
    <w:p w14:paraId="4B079C1D">
      <w:pPr>
        <w:spacing w:line="560" w:lineRule="exact"/>
        <w:ind w:firstLine="560" w:firstLineChars="200"/>
        <w:rPr>
          <w:rFonts w:ascii="宋体" w:hAnsi="宋体"/>
          <w:kern w:val="0"/>
          <w:sz w:val="28"/>
          <w:szCs w:val="28"/>
          <w:highlight w:val="none"/>
        </w:rPr>
      </w:pPr>
      <w:r>
        <w:rPr>
          <w:rFonts w:ascii="宋体" w:hAnsi="宋体"/>
          <w:kern w:val="0"/>
          <w:sz w:val="28"/>
          <w:szCs w:val="28"/>
          <w:highlight w:val="none"/>
        </w:rPr>
        <w:t>……</w:t>
      </w:r>
    </w:p>
    <w:p w14:paraId="6C970FF7">
      <w:pPr>
        <w:spacing w:line="560" w:lineRule="exact"/>
        <w:ind w:right="1120" w:firstLine="4116" w:firstLineChars="1470"/>
        <w:rPr>
          <w:rFonts w:ascii="宋体" w:hAnsi="宋体"/>
          <w:kern w:val="0"/>
          <w:sz w:val="28"/>
          <w:szCs w:val="28"/>
          <w:highlight w:val="none"/>
        </w:rPr>
      </w:pPr>
      <w:r>
        <w:rPr>
          <w:rFonts w:hint="eastAsia" w:ascii="宋体" w:hAnsi="宋体"/>
          <w:kern w:val="0"/>
          <w:sz w:val="28"/>
          <w:szCs w:val="28"/>
          <w:highlight w:val="none"/>
        </w:rPr>
        <w:t>投诉人名称：（盖章）</w:t>
      </w:r>
    </w:p>
    <w:p w14:paraId="765A43F8">
      <w:pPr>
        <w:spacing w:line="560" w:lineRule="exact"/>
        <w:ind w:firstLine="560" w:firstLineChars="200"/>
        <w:jc w:val="center"/>
        <w:rPr>
          <w:rFonts w:ascii="宋体" w:hAnsi="宋体"/>
          <w:kern w:val="0"/>
          <w:sz w:val="28"/>
          <w:szCs w:val="28"/>
          <w:highlight w:val="none"/>
        </w:rPr>
      </w:pPr>
      <w:r>
        <w:rPr>
          <w:rFonts w:hint="eastAsia" w:ascii="宋体" w:hAnsi="宋体"/>
          <w:kern w:val="0"/>
          <w:sz w:val="28"/>
          <w:szCs w:val="28"/>
          <w:highlight w:val="none"/>
        </w:rPr>
        <w:t xml:space="preserve">        </w:t>
      </w:r>
      <w:r>
        <w:rPr>
          <w:rFonts w:ascii="宋体" w:hAnsi="宋体"/>
          <w:kern w:val="0"/>
          <w:sz w:val="28"/>
          <w:szCs w:val="28"/>
          <w:highlight w:val="none"/>
        </w:rPr>
        <w:t xml:space="preserve">            </w:t>
      </w:r>
      <w:r>
        <w:rPr>
          <w:snapToGrid w:val="0"/>
          <w:sz w:val="28"/>
          <w:szCs w:val="28"/>
          <w:highlight w:val="none"/>
          <w:lang w:val="zh-CN"/>
        </w:rPr>
        <w:t>法定代表人（或授权代表）：（签字）</w:t>
      </w:r>
    </w:p>
    <w:p w14:paraId="5FACA7BC">
      <w:pPr>
        <w:spacing w:line="560" w:lineRule="exact"/>
        <w:ind w:firstLine="1540" w:firstLineChars="550"/>
        <w:rPr>
          <w:rFonts w:ascii="仿宋_GB2312" w:cs="宋体"/>
          <w:bCs/>
          <w:sz w:val="28"/>
          <w:szCs w:val="28"/>
          <w:highlight w:val="none"/>
        </w:rPr>
      </w:pPr>
      <w:r>
        <w:rPr>
          <w:rFonts w:hint="eastAsia" w:ascii="宋体" w:hAnsi="宋体"/>
          <w:sz w:val="28"/>
          <w:szCs w:val="28"/>
          <w:highlight w:val="none"/>
        </w:rPr>
        <w:t xml:space="preserve">     </w:t>
      </w:r>
      <w:r>
        <w:rPr>
          <w:rFonts w:ascii="宋体" w:hAnsi="宋体"/>
          <w:sz w:val="28"/>
          <w:szCs w:val="28"/>
          <w:highlight w:val="none"/>
        </w:rPr>
        <w:t xml:space="preserve">              </w:t>
      </w:r>
      <w:r>
        <w:rPr>
          <w:rFonts w:hint="eastAsia" w:ascii="宋体" w:hAnsi="宋体"/>
          <w:sz w:val="28"/>
          <w:szCs w:val="28"/>
          <w:highlight w:val="none"/>
        </w:rPr>
        <w:t xml:space="preserve"> </w:t>
      </w:r>
      <w:r>
        <w:rPr>
          <w:rFonts w:ascii="宋体" w:hAnsi="宋体"/>
          <w:sz w:val="28"/>
          <w:szCs w:val="28"/>
          <w:highlight w:val="none"/>
        </w:rPr>
        <w:t xml:space="preserve">          </w:t>
      </w:r>
      <w:r>
        <w:rPr>
          <w:rFonts w:hint="eastAsia" w:ascii="宋体" w:hAnsi="宋体"/>
          <w:sz w:val="28"/>
          <w:szCs w:val="28"/>
          <w:highlight w:val="none"/>
        </w:rPr>
        <w:t xml:space="preserve"> </w:t>
      </w:r>
      <w:r>
        <w:rPr>
          <w:snapToGrid w:val="0"/>
          <w:sz w:val="28"/>
          <w:szCs w:val="28"/>
          <w:highlight w:val="none"/>
          <w:lang w:val="zh-CN"/>
        </w:rPr>
        <w:t xml:space="preserve"> </w:t>
      </w:r>
      <w:r>
        <w:rPr>
          <w:rFonts w:hint="eastAsia"/>
          <w:sz w:val="28"/>
          <w:szCs w:val="28"/>
          <w:highlight w:val="none"/>
          <w:u w:val="single"/>
        </w:rPr>
        <w:t xml:space="preserve">    </w:t>
      </w:r>
      <w:r>
        <w:rPr>
          <w:sz w:val="28"/>
          <w:szCs w:val="28"/>
          <w:highlight w:val="none"/>
        </w:rPr>
        <w:t>年</w:t>
      </w:r>
      <w:r>
        <w:rPr>
          <w:rFonts w:hint="eastAsia"/>
          <w:sz w:val="28"/>
          <w:szCs w:val="28"/>
          <w:highlight w:val="none"/>
          <w:u w:val="single"/>
        </w:rPr>
        <w:t xml:space="preserve"> </w:t>
      </w:r>
      <w:r>
        <w:rPr>
          <w:sz w:val="28"/>
          <w:szCs w:val="28"/>
          <w:highlight w:val="none"/>
          <w:u w:val="single"/>
        </w:rPr>
        <w:t xml:space="preserve">  </w:t>
      </w:r>
      <w:r>
        <w:rPr>
          <w:sz w:val="28"/>
          <w:szCs w:val="28"/>
          <w:highlight w:val="none"/>
        </w:rPr>
        <w:t>月</w:t>
      </w:r>
      <w:r>
        <w:rPr>
          <w:rFonts w:hint="eastAsia"/>
          <w:sz w:val="28"/>
          <w:szCs w:val="28"/>
          <w:highlight w:val="none"/>
          <w:u w:val="single"/>
        </w:rPr>
        <w:t xml:space="preserve"> </w:t>
      </w:r>
      <w:r>
        <w:rPr>
          <w:sz w:val="28"/>
          <w:szCs w:val="28"/>
          <w:highlight w:val="none"/>
          <w:u w:val="single"/>
        </w:rPr>
        <w:t xml:space="preserve"> </w:t>
      </w:r>
      <w:r>
        <w:rPr>
          <w:rFonts w:hint="eastAsia"/>
          <w:sz w:val="28"/>
          <w:szCs w:val="28"/>
          <w:highlight w:val="none"/>
          <w:u w:val="single"/>
        </w:rPr>
        <w:t xml:space="preserve"> </w:t>
      </w:r>
      <w:r>
        <w:rPr>
          <w:sz w:val="28"/>
          <w:szCs w:val="28"/>
          <w:highlight w:val="none"/>
        </w:rPr>
        <w:t>日</w:t>
      </w:r>
    </w:p>
    <w:p w14:paraId="5F9B0588">
      <w:pPr>
        <w:pStyle w:val="22"/>
        <w:adjustRightInd w:val="0"/>
        <w:snapToGrid w:val="0"/>
        <w:spacing w:line="240" w:lineRule="atLeast"/>
        <w:jc w:val="center"/>
        <w:rPr>
          <w:rFonts w:hAnsi="宋体"/>
          <w:bCs/>
          <w:sz w:val="32"/>
          <w:szCs w:val="32"/>
          <w:highlight w:val="none"/>
        </w:rPr>
        <w:sectPr>
          <w:headerReference r:id="rId9" w:type="first"/>
          <w:headerReference r:id="rId7" w:type="default"/>
          <w:footerReference r:id="rId10" w:type="default"/>
          <w:headerReference r:id="rId8" w:type="even"/>
          <w:pgSz w:w="11906" w:h="16838"/>
          <w:pgMar w:top="1418" w:right="1134" w:bottom="1418" w:left="1418" w:header="851" w:footer="851" w:gutter="0"/>
          <w:pgNumType w:fmt="decimal" w:start="1"/>
          <w:cols w:space="720" w:num="1"/>
        </w:sectPr>
      </w:pPr>
    </w:p>
    <w:p w14:paraId="602FB3E5">
      <w:pPr>
        <w:pStyle w:val="4"/>
        <w:keepNext w:val="0"/>
        <w:keepLines w:val="0"/>
        <w:adjustRightInd w:val="0"/>
        <w:snapToGrid w:val="0"/>
        <w:spacing w:line="560" w:lineRule="exact"/>
        <w:jc w:val="center"/>
        <w:rPr>
          <w:b w:val="0"/>
          <w:szCs w:val="44"/>
          <w:highlight w:val="none"/>
          <w:lang w:val="zh-CN"/>
        </w:rPr>
      </w:pPr>
      <w:bookmarkStart w:id="419" w:name="_Toc112768437"/>
      <w:bookmarkStart w:id="420" w:name="_Toc24070"/>
      <w:bookmarkStart w:id="421" w:name="_Toc26916"/>
      <w:bookmarkStart w:id="422" w:name="_Toc32744"/>
      <w:bookmarkStart w:id="423" w:name="_Toc112317783"/>
      <w:bookmarkStart w:id="424" w:name="_Toc14967"/>
      <w:bookmarkStart w:id="425" w:name="_Toc23671"/>
      <w:bookmarkStart w:id="426" w:name="_Toc10974"/>
      <w:bookmarkStart w:id="427" w:name="_Toc24343"/>
      <w:bookmarkStart w:id="428" w:name="_Toc24607"/>
      <w:bookmarkStart w:id="429" w:name="_Toc13669"/>
      <w:bookmarkStart w:id="430" w:name="_Toc29458"/>
      <w:bookmarkStart w:id="431" w:name="_Toc4418"/>
      <w:bookmarkStart w:id="432" w:name="_Toc152058264"/>
      <w:r>
        <w:rPr>
          <w:rFonts w:hint="eastAsia"/>
          <w:b w:val="0"/>
          <w:szCs w:val="44"/>
          <w:highlight w:val="none"/>
          <w:lang w:val="zh-CN"/>
        </w:rPr>
        <w:t xml:space="preserve">第二章 </w:t>
      </w:r>
      <w:bookmarkEnd w:id="419"/>
      <w:bookmarkEnd w:id="420"/>
      <w:bookmarkEnd w:id="421"/>
      <w:bookmarkEnd w:id="422"/>
      <w:bookmarkEnd w:id="423"/>
      <w:bookmarkEnd w:id="424"/>
      <w:bookmarkEnd w:id="425"/>
      <w:r>
        <w:rPr>
          <w:rFonts w:hint="eastAsia"/>
          <w:b w:val="0"/>
          <w:szCs w:val="44"/>
          <w:highlight w:val="none"/>
          <w:lang w:val="zh-CN"/>
        </w:rPr>
        <w:t>合同通用条款</w:t>
      </w:r>
      <w:bookmarkEnd w:id="426"/>
      <w:bookmarkEnd w:id="427"/>
      <w:bookmarkEnd w:id="428"/>
      <w:bookmarkEnd w:id="429"/>
      <w:bookmarkEnd w:id="430"/>
      <w:bookmarkEnd w:id="431"/>
      <w:bookmarkEnd w:id="432"/>
    </w:p>
    <w:p w14:paraId="3AC6D28C">
      <w:pPr>
        <w:pStyle w:val="5"/>
        <w:spacing w:before="0" w:after="0" w:line="560" w:lineRule="exact"/>
        <w:ind w:firstLine="560" w:firstLineChars="200"/>
        <w:rPr>
          <w:rFonts w:ascii="黑体" w:hAnsi="黑体" w:cs="黑体"/>
          <w:b w:val="0"/>
          <w:sz w:val="28"/>
          <w:szCs w:val="28"/>
          <w:highlight w:val="none"/>
        </w:rPr>
      </w:pPr>
      <w:bookmarkStart w:id="433" w:name="_Toc152058265"/>
      <w:bookmarkStart w:id="434" w:name="_Toc13014"/>
      <w:bookmarkStart w:id="435" w:name="_Toc560"/>
      <w:bookmarkStart w:id="436" w:name="_Toc8429"/>
      <w:bookmarkStart w:id="437" w:name="_Toc16811"/>
      <w:bookmarkStart w:id="438" w:name="_Toc18285"/>
      <w:bookmarkStart w:id="439" w:name="_Toc32192"/>
      <w:bookmarkStart w:id="440" w:name="_Toc17048"/>
      <w:bookmarkStart w:id="441" w:name="_Toc19098"/>
      <w:bookmarkStart w:id="442" w:name="_Toc31294"/>
      <w:bookmarkStart w:id="443" w:name="_Hlk150329971"/>
      <w:bookmarkStart w:id="444" w:name="_Toc112768439"/>
      <w:bookmarkStart w:id="445" w:name="_Toc1271"/>
      <w:bookmarkStart w:id="446" w:name="_Toc27742"/>
      <w:r>
        <w:rPr>
          <w:rFonts w:hint="eastAsia" w:ascii="黑体" w:hAnsi="黑体" w:cs="黑体"/>
          <w:b w:val="0"/>
          <w:sz w:val="28"/>
          <w:szCs w:val="28"/>
          <w:highlight w:val="none"/>
        </w:rPr>
        <w:t>一、定义</w:t>
      </w:r>
      <w:bookmarkEnd w:id="433"/>
      <w:bookmarkEnd w:id="434"/>
      <w:bookmarkEnd w:id="435"/>
      <w:bookmarkEnd w:id="436"/>
      <w:bookmarkEnd w:id="437"/>
      <w:bookmarkEnd w:id="438"/>
      <w:bookmarkEnd w:id="439"/>
    </w:p>
    <w:p w14:paraId="00FB252C">
      <w:pPr>
        <w:adjustRightInd w:val="0"/>
        <w:snapToGrid w:val="0"/>
        <w:spacing w:line="560" w:lineRule="exact"/>
        <w:ind w:firstLine="560" w:firstLineChars="200"/>
        <w:rPr>
          <w:rFonts w:asciiTheme="minorEastAsia" w:hAnsiTheme="minorEastAsia" w:eastAsiaTheme="minorEastAsia"/>
          <w:bCs/>
          <w:sz w:val="28"/>
          <w:szCs w:val="28"/>
          <w:highlight w:val="none"/>
        </w:rPr>
      </w:pPr>
      <w:r>
        <w:rPr>
          <w:rFonts w:hint="eastAsia" w:asciiTheme="minorEastAsia" w:hAnsiTheme="minorEastAsia" w:eastAsiaTheme="minorEastAsia"/>
          <w:bCs/>
          <w:sz w:val="28"/>
          <w:szCs w:val="28"/>
          <w:highlight w:val="none"/>
        </w:rPr>
        <w:t>（一）“合同”是指甲方和乙方（以下简称双方）已达成的协议。</w:t>
      </w:r>
    </w:p>
    <w:p w14:paraId="61D9BE6B">
      <w:pPr>
        <w:adjustRightInd w:val="0"/>
        <w:snapToGrid w:val="0"/>
        <w:spacing w:line="560" w:lineRule="exact"/>
        <w:ind w:firstLine="560" w:firstLineChars="200"/>
        <w:rPr>
          <w:rFonts w:asciiTheme="minorEastAsia" w:hAnsiTheme="minorEastAsia" w:eastAsiaTheme="minorEastAsia"/>
          <w:highlight w:val="none"/>
        </w:rPr>
      </w:pPr>
      <w:r>
        <w:rPr>
          <w:rFonts w:hint="eastAsia" w:asciiTheme="minorEastAsia" w:hAnsiTheme="minorEastAsia" w:eastAsiaTheme="minorEastAsia"/>
          <w:bCs/>
          <w:sz w:val="28"/>
          <w:szCs w:val="28"/>
          <w:highlight w:val="none"/>
        </w:rPr>
        <w:t>（二）“甲方”是指采购物资和相关服务的采购单位，或者受采购单位委托的采购机构。</w:t>
      </w:r>
    </w:p>
    <w:p w14:paraId="676C8130">
      <w:pPr>
        <w:adjustRightInd w:val="0"/>
        <w:snapToGrid w:val="0"/>
        <w:spacing w:line="560" w:lineRule="exact"/>
        <w:ind w:firstLine="560" w:firstLineChars="200"/>
        <w:rPr>
          <w:rFonts w:asciiTheme="minorEastAsia" w:hAnsiTheme="minorEastAsia" w:eastAsiaTheme="minorEastAsia"/>
          <w:bCs/>
          <w:sz w:val="28"/>
          <w:szCs w:val="28"/>
          <w:highlight w:val="none"/>
        </w:rPr>
      </w:pPr>
      <w:r>
        <w:rPr>
          <w:rFonts w:hint="eastAsia" w:asciiTheme="minorEastAsia" w:hAnsiTheme="minorEastAsia" w:eastAsiaTheme="minorEastAsia"/>
          <w:bCs/>
          <w:sz w:val="28"/>
          <w:szCs w:val="28"/>
          <w:highlight w:val="none"/>
        </w:rPr>
        <w:t>（三）“乙方”是指成交后提供物资和相关服务的供应商。</w:t>
      </w:r>
    </w:p>
    <w:p w14:paraId="40653721">
      <w:pPr>
        <w:adjustRightInd w:val="0"/>
        <w:snapToGrid w:val="0"/>
        <w:spacing w:line="560" w:lineRule="exact"/>
        <w:ind w:firstLine="560" w:firstLineChars="200"/>
        <w:rPr>
          <w:rFonts w:asciiTheme="minorEastAsia" w:hAnsiTheme="minorEastAsia" w:eastAsiaTheme="minorEastAsia"/>
          <w:highlight w:val="none"/>
        </w:rPr>
      </w:pPr>
      <w:r>
        <w:rPr>
          <w:rFonts w:hint="eastAsia" w:asciiTheme="minorEastAsia" w:hAnsiTheme="minorEastAsia" w:eastAsiaTheme="minorEastAsia"/>
          <w:bCs/>
          <w:sz w:val="28"/>
          <w:szCs w:val="28"/>
          <w:highlight w:val="none"/>
        </w:rPr>
        <w:t>（四）“合同价格”是指根据合同规定，在乙方全面正确地履行合同义务时支付给乙方的款项。</w:t>
      </w:r>
    </w:p>
    <w:p w14:paraId="6658DC73">
      <w:pPr>
        <w:pStyle w:val="5"/>
        <w:spacing w:before="0" w:after="0" w:line="560" w:lineRule="exact"/>
        <w:ind w:firstLine="560" w:firstLineChars="200"/>
        <w:rPr>
          <w:rFonts w:ascii="黑体" w:hAnsi="黑体" w:cs="黑体"/>
          <w:b w:val="0"/>
          <w:sz w:val="28"/>
          <w:szCs w:val="28"/>
          <w:highlight w:val="none"/>
        </w:rPr>
      </w:pPr>
      <w:bookmarkStart w:id="447" w:name="_Toc152058266"/>
      <w:bookmarkStart w:id="448" w:name="_Toc904"/>
      <w:bookmarkStart w:id="449" w:name="_Toc20950"/>
      <w:bookmarkStart w:id="450" w:name="_Toc14496"/>
      <w:bookmarkStart w:id="451" w:name="_Toc20227"/>
      <w:bookmarkStart w:id="452" w:name="_Toc15125"/>
      <w:bookmarkStart w:id="453" w:name="_Toc26239"/>
      <w:r>
        <w:rPr>
          <w:rFonts w:hint="eastAsia" w:ascii="黑体" w:hAnsi="黑体" w:cs="黑体"/>
          <w:b w:val="0"/>
          <w:sz w:val="28"/>
          <w:szCs w:val="28"/>
          <w:highlight w:val="none"/>
        </w:rPr>
        <w:t>二、质量标准和保证</w:t>
      </w:r>
      <w:bookmarkEnd w:id="447"/>
      <w:bookmarkEnd w:id="448"/>
      <w:bookmarkEnd w:id="449"/>
      <w:bookmarkEnd w:id="450"/>
      <w:bookmarkEnd w:id="451"/>
      <w:bookmarkEnd w:id="452"/>
      <w:bookmarkEnd w:id="453"/>
    </w:p>
    <w:p w14:paraId="6F83FF35">
      <w:pPr>
        <w:adjustRightInd w:val="0"/>
        <w:snapToGrid w:val="0"/>
        <w:spacing w:line="560" w:lineRule="exact"/>
        <w:ind w:firstLine="560" w:firstLineChars="200"/>
        <w:rPr>
          <w:rFonts w:asciiTheme="minorEastAsia" w:hAnsiTheme="minorEastAsia" w:eastAsiaTheme="minorEastAsia"/>
          <w:sz w:val="28"/>
          <w:szCs w:val="28"/>
          <w:highlight w:val="none"/>
        </w:rPr>
      </w:pPr>
      <w:r>
        <w:rPr>
          <w:rFonts w:hint="eastAsia" w:asciiTheme="minorEastAsia" w:hAnsiTheme="minorEastAsia" w:eastAsiaTheme="minorEastAsia"/>
          <w:sz w:val="28"/>
          <w:szCs w:val="28"/>
          <w:highlight w:val="none"/>
        </w:rPr>
        <w:t>（一）质量标准</w:t>
      </w:r>
    </w:p>
    <w:p w14:paraId="49E5CEB3">
      <w:pPr>
        <w:adjustRightInd w:val="0"/>
        <w:snapToGrid w:val="0"/>
        <w:spacing w:line="560" w:lineRule="exact"/>
        <w:ind w:firstLine="560" w:firstLineChars="200"/>
        <w:rPr>
          <w:rFonts w:asciiTheme="minorEastAsia" w:hAnsiTheme="minorEastAsia" w:eastAsiaTheme="minorEastAsia"/>
          <w:sz w:val="28"/>
          <w:szCs w:val="28"/>
          <w:highlight w:val="none"/>
        </w:rPr>
      </w:pPr>
      <w:r>
        <w:rPr>
          <w:rFonts w:asciiTheme="minorEastAsia" w:hAnsiTheme="minorEastAsia" w:eastAsiaTheme="minorEastAsia"/>
          <w:sz w:val="28"/>
          <w:szCs w:val="28"/>
          <w:highlight w:val="none"/>
        </w:rPr>
        <w:t>1.本合同下</w:t>
      </w:r>
      <w:bookmarkStart w:id="454" w:name="_Hlk129298658"/>
      <w:r>
        <w:rPr>
          <w:rFonts w:hint="eastAsia" w:asciiTheme="minorEastAsia" w:hAnsiTheme="minorEastAsia" w:eastAsiaTheme="minorEastAsia"/>
          <w:sz w:val="28"/>
          <w:szCs w:val="28"/>
          <w:highlight w:val="none"/>
        </w:rPr>
        <w:t>交付</w:t>
      </w:r>
      <w:bookmarkEnd w:id="454"/>
      <w:r>
        <w:rPr>
          <w:rFonts w:hint="eastAsia" w:asciiTheme="minorEastAsia" w:hAnsiTheme="minorEastAsia" w:eastAsiaTheme="minorEastAsia"/>
          <w:sz w:val="28"/>
          <w:szCs w:val="28"/>
          <w:highlight w:val="none"/>
        </w:rPr>
        <w:t>的</w:t>
      </w:r>
      <w:bookmarkStart w:id="455" w:name="_Hlk129298245"/>
      <w:r>
        <w:rPr>
          <w:rFonts w:hint="eastAsia" w:asciiTheme="minorEastAsia" w:hAnsiTheme="minorEastAsia" w:eastAsiaTheme="minorEastAsia"/>
          <w:sz w:val="28"/>
          <w:szCs w:val="28"/>
          <w:highlight w:val="none"/>
        </w:rPr>
        <w:t>物资</w:t>
      </w:r>
      <w:bookmarkEnd w:id="455"/>
      <w:r>
        <w:rPr>
          <w:rFonts w:hint="eastAsia" w:asciiTheme="minorEastAsia" w:hAnsiTheme="minorEastAsia" w:eastAsiaTheme="minorEastAsia"/>
          <w:sz w:val="28"/>
          <w:szCs w:val="28"/>
          <w:highlight w:val="none"/>
        </w:rPr>
        <w:t>应符合谈判文件所述的标准。如果没有提及适用标准，则应符合中华人民共和国有关机构发布的最新版本的标准。</w:t>
      </w:r>
    </w:p>
    <w:p w14:paraId="6EC952EC">
      <w:pPr>
        <w:adjustRightInd w:val="0"/>
        <w:snapToGrid w:val="0"/>
        <w:spacing w:line="560" w:lineRule="exact"/>
        <w:ind w:firstLine="560" w:firstLineChars="200"/>
        <w:rPr>
          <w:rFonts w:asciiTheme="minorEastAsia" w:hAnsiTheme="minorEastAsia" w:eastAsiaTheme="minorEastAsia"/>
          <w:sz w:val="28"/>
          <w:szCs w:val="28"/>
          <w:highlight w:val="none"/>
        </w:rPr>
      </w:pPr>
      <w:r>
        <w:rPr>
          <w:rFonts w:asciiTheme="minorEastAsia" w:hAnsiTheme="minorEastAsia" w:eastAsiaTheme="minorEastAsia"/>
          <w:sz w:val="28"/>
          <w:szCs w:val="28"/>
          <w:highlight w:val="none"/>
        </w:rPr>
        <w:t>2.采用中华人民共和国法定计量单位。</w:t>
      </w:r>
    </w:p>
    <w:p w14:paraId="76A3252F">
      <w:pPr>
        <w:adjustRightInd w:val="0"/>
        <w:snapToGrid w:val="0"/>
        <w:spacing w:line="560" w:lineRule="exact"/>
        <w:ind w:firstLine="560" w:firstLineChars="200"/>
        <w:rPr>
          <w:rFonts w:asciiTheme="minorEastAsia" w:hAnsiTheme="minorEastAsia" w:eastAsiaTheme="minorEastAsia"/>
          <w:sz w:val="28"/>
          <w:szCs w:val="28"/>
          <w:highlight w:val="none"/>
        </w:rPr>
      </w:pPr>
      <w:r>
        <w:rPr>
          <w:rFonts w:asciiTheme="minorEastAsia" w:hAnsiTheme="minorEastAsia" w:eastAsiaTheme="minorEastAsia"/>
          <w:sz w:val="28"/>
          <w:szCs w:val="28"/>
          <w:highlight w:val="none"/>
        </w:rPr>
        <w:t>3.乙方</w:t>
      </w:r>
      <w:bookmarkStart w:id="456" w:name="_Hlk129298842"/>
      <w:r>
        <w:rPr>
          <w:rFonts w:hint="eastAsia" w:asciiTheme="minorEastAsia" w:hAnsiTheme="minorEastAsia" w:eastAsiaTheme="minorEastAsia"/>
          <w:sz w:val="28"/>
          <w:szCs w:val="28"/>
          <w:highlight w:val="none"/>
        </w:rPr>
        <w:t>交付</w:t>
      </w:r>
      <w:bookmarkEnd w:id="456"/>
      <w:r>
        <w:rPr>
          <w:rFonts w:hint="eastAsia" w:asciiTheme="minorEastAsia" w:hAnsiTheme="minorEastAsia" w:eastAsiaTheme="minorEastAsia"/>
          <w:sz w:val="28"/>
          <w:szCs w:val="28"/>
          <w:highlight w:val="none"/>
        </w:rPr>
        <w:t>的</w:t>
      </w:r>
      <w:bookmarkStart w:id="457" w:name="_Hlk129298745"/>
      <w:r>
        <w:rPr>
          <w:rFonts w:hint="eastAsia" w:asciiTheme="minorEastAsia" w:hAnsiTheme="minorEastAsia" w:eastAsiaTheme="minorEastAsia"/>
          <w:sz w:val="28"/>
          <w:szCs w:val="28"/>
          <w:highlight w:val="none"/>
        </w:rPr>
        <w:t>物资</w:t>
      </w:r>
      <w:bookmarkEnd w:id="457"/>
      <w:r>
        <w:rPr>
          <w:rFonts w:hint="eastAsia" w:asciiTheme="minorEastAsia" w:hAnsiTheme="minorEastAsia" w:eastAsiaTheme="minorEastAsia"/>
          <w:sz w:val="28"/>
          <w:szCs w:val="28"/>
          <w:highlight w:val="none"/>
        </w:rPr>
        <w:t>还应符合国家有关安全、环保、卫生等规定。</w:t>
      </w:r>
    </w:p>
    <w:p w14:paraId="6174FB33">
      <w:pPr>
        <w:adjustRightInd w:val="0"/>
        <w:snapToGrid w:val="0"/>
        <w:spacing w:line="560" w:lineRule="exact"/>
        <w:ind w:firstLine="560" w:firstLineChars="200"/>
        <w:rPr>
          <w:rFonts w:asciiTheme="minorEastAsia" w:hAnsiTheme="minorEastAsia" w:eastAsiaTheme="minorEastAsia"/>
          <w:sz w:val="28"/>
          <w:szCs w:val="28"/>
          <w:highlight w:val="none"/>
        </w:rPr>
      </w:pPr>
      <w:r>
        <w:rPr>
          <w:rFonts w:hint="eastAsia" w:asciiTheme="minorEastAsia" w:hAnsiTheme="minorEastAsia" w:eastAsiaTheme="minorEastAsia"/>
          <w:sz w:val="28"/>
          <w:szCs w:val="28"/>
          <w:highlight w:val="none"/>
        </w:rPr>
        <w:t>（二）保证</w:t>
      </w:r>
    </w:p>
    <w:p w14:paraId="21AE1BAF">
      <w:pPr>
        <w:adjustRightInd w:val="0"/>
        <w:snapToGrid w:val="0"/>
        <w:spacing w:line="560" w:lineRule="exact"/>
        <w:ind w:firstLine="560" w:firstLineChars="200"/>
        <w:rPr>
          <w:rFonts w:asciiTheme="minorEastAsia" w:hAnsiTheme="minorEastAsia" w:eastAsiaTheme="minorEastAsia"/>
          <w:sz w:val="28"/>
          <w:szCs w:val="28"/>
          <w:highlight w:val="none"/>
        </w:rPr>
      </w:pPr>
      <w:r>
        <w:rPr>
          <w:rFonts w:asciiTheme="minorEastAsia" w:hAnsiTheme="minorEastAsia" w:eastAsiaTheme="minorEastAsia"/>
          <w:sz w:val="28"/>
          <w:szCs w:val="28"/>
          <w:highlight w:val="none"/>
        </w:rPr>
        <w:t>1.乙方应保证交付物资是全新的、未使用过的，并完全符合合同规定的质量、规格和性能的要求。乙方应保证其物资在正确安装、正常使用和保养条件下，在其使用寿命期内应具有满意的性能，或者没有因乙方的行为或疏忽而产生的缺陷。在物资验收后的质量保证期内，</w:t>
      </w:r>
      <w:r>
        <w:rPr>
          <w:rFonts w:hint="eastAsia" w:asciiTheme="minorEastAsia" w:hAnsiTheme="minorEastAsia" w:eastAsiaTheme="minorEastAsia"/>
          <w:sz w:val="28"/>
          <w:szCs w:val="28"/>
          <w:highlight w:val="none"/>
        </w:rPr>
        <w:t>本保证保持有效。</w:t>
      </w:r>
    </w:p>
    <w:p w14:paraId="34975B6D">
      <w:pPr>
        <w:adjustRightInd w:val="0"/>
        <w:snapToGrid w:val="0"/>
        <w:spacing w:line="560" w:lineRule="exact"/>
        <w:ind w:firstLine="560" w:firstLineChars="200"/>
        <w:rPr>
          <w:rFonts w:asciiTheme="minorEastAsia" w:hAnsiTheme="minorEastAsia" w:eastAsiaTheme="minorEastAsia"/>
          <w:sz w:val="28"/>
          <w:szCs w:val="28"/>
          <w:highlight w:val="none"/>
        </w:rPr>
      </w:pPr>
      <w:r>
        <w:rPr>
          <w:rFonts w:asciiTheme="minorEastAsia" w:hAnsiTheme="minorEastAsia" w:eastAsiaTheme="minorEastAsia"/>
          <w:sz w:val="28"/>
          <w:szCs w:val="28"/>
          <w:highlight w:val="none"/>
        </w:rPr>
        <w:t>2.在质量保证期内所发现的缺陷，甲方应以书面形式通知乙方。乙方收到通知后应按约定的响应时间内免费维修或更换有缺陷的物资或部件。</w:t>
      </w:r>
    </w:p>
    <w:p w14:paraId="5EE08057">
      <w:pPr>
        <w:adjustRightInd w:val="0"/>
        <w:snapToGrid w:val="0"/>
        <w:spacing w:line="560" w:lineRule="exact"/>
        <w:ind w:firstLine="560" w:firstLineChars="200"/>
        <w:rPr>
          <w:rFonts w:asciiTheme="minorEastAsia" w:hAnsiTheme="minorEastAsia" w:eastAsiaTheme="minorEastAsia"/>
          <w:sz w:val="28"/>
          <w:szCs w:val="28"/>
          <w:highlight w:val="none"/>
        </w:rPr>
      </w:pPr>
      <w:r>
        <w:rPr>
          <w:rFonts w:asciiTheme="minorEastAsia" w:hAnsiTheme="minorEastAsia" w:eastAsiaTheme="minorEastAsia"/>
          <w:sz w:val="28"/>
          <w:szCs w:val="28"/>
          <w:highlight w:val="none"/>
        </w:rPr>
        <w:t>3.乙方在约定的时间内未能弥补缺陷，甲方可采取必要的补救措施，但其风险和费用将由乙方承担，甲方根据合同规定对乙方行使的其他权利不受影响。</w:t>
      </w:r>
    </w:p>
    <w:p w14:paraId="4E819E14">
      <w:pPr>
        <w:pStyle w:val="5"/>
        <w:spacing w:before="0" w:after="0" w:line="560" w:lineRule="exact"/>
        <w:ind w:firstLine="560" w:firstLineChars="200"/>
        <w:rPr>
          <w:rFonts w:ascii="黑体" w:hAnsi="黑体" w:cs="黑体"/>
          <w:b w:val="0"/>
          <w:sz w:val="28"/>
          <w:szCs w:val="28"/>
          <w:highlight w:val="none"/>
        </w:rPr>
      </w:pPr>
      <w:bookmarkStart w:id="458" w:name="_Toc15701"/>
      <w:bookmarkStart w:id="459" w:name="_Toc3082"/>
      <w:bookmarkStart w:id="460" w:name="_Toc752"/>
      <w:bookmarkStart w:id="461" w:name="_Toc10182"/>
      <w:bookmarkStart w:id="462" w:name="_Toc23135"/>
      <w:bookmarkStart w:id="463" w:name="_Toc5137"/>
      <w:bookmarkStart w:id="464" w:name="_Toc152058267"/>
      <w:r>
        <w:rPr>
          <w:rFonts w:hint="eastAsia" w:ascii="黑体" w:hAnsi="黑体" w:cs="黑体"/>
          <w:b w:val="0"/>
          <w:sz w:val="28"/>
          <w:szCs w:val="28"/>
          <w:highlight w:val="none"/>
        </w:rPr>
        <w:t>三、</w:t>
      </w:r>
      <w:bookmarkStart w:id="465" w:name="_Hlk129326502"/>
      <w:r>
        <w:rPr>
          <w:rFonts w:hint="eastAsia" w:ascii="黑体" w:hAnsi="黑体" w:cs="黑体"/>
          <w:b w:val="0"/>
          <w:sz w:val="28"/>
          <w:szCs w:val="28"/>
          <w:highlight w:val="none"/>
        </w:rPr>
        <w:t>物资编目编码、打码贴签要求</w:t>
      </w:r>
      <w:bookmarkEnd w:id="458"/>
      <w:bookmarkEnd w:id="459"/>
      <w:bookmarkEnd w:id="460"/>
      <w:bookmarkEnd w:id="461"/>
      <w:bookmarkEnd w:id="462"/>
      <w:bookmarkEnd w:id="463"/>
      <w:bookmarkEnd w:id="464"/>
      <w:bookmarkEnd w:id="465"/>
    </w:p>
    <w:p w14:paraId="1AEAD1A4">
      <w:pPr>
        <w:spacing w:line="560" w:lineRule="exact"/>
        <w:ind w:firstLine="560" w:firstLineChars="200"/>
        <w:rPr>
          <w:rFonts w:asciiTheme="minorEastAsia" w:hAnsiTheme="minorEastAsia" w:eastAsiaTheme="minorEastAsia"/>
          <w:bCs/>
          <w:sz w:val="28"/>
          <w:szCs w:val="28"/>
          <w:highlight w:val="none"/>
        </w:rPr>
      </w:pPr>
      <w:r>
        <w:rPr>
          <w:rFonts w:hint="eastAsia" w:asciiTheme="minorEastAsia" w:hAnsiTheme="minorEastAsia" w:eastAsiaTheme="minorEastAsia"/>
          <w:bCs/>
          <w:sz w:val="28"/>
          <w:szCs w:val="28"/>
          <w:highlight w:val="none"/>
        </w:rPr>
        <w:t>（一）乙方应当配合甲方完成合同内采购物资的编目编码工作，按照统一要求，提供物资相关数据信息，配合甲方做好编目数据采集工作。涉密信息应按照国家、军队安全保密有关规定进行处理，确保不发生失泄密问题。</w:t>
      </w:r>
    </w:p>
    <w:p w14:paraId="30775D7D">
      <w:pPr>
        <w:spacing w:line="560" w:lineRule="exact"/>
        <w:ind w:firstLine="560" w:firstLineChars="200"/>
        <w:rPr>
          <w:rFonts w:asciiTheme="minorEastAsia" w:hAnsiTheme="minorEastAsia" w:eastAsiaTheme="minorEastAsia"/>
          <w:bCs/>
          <w:sz w:val="28"/>
          <w:szCs w:val="28"/>
          <w:highlight w:val="none"/>
        </w:rPr>
      </w:pPr>
      <w:r>
        <w:rPr>
          <w:rFonts w:cs="宋体" w:asciiTheme="minorEastAsia" w:hAnsiTheme="minorEastAsia" w:eastAsiaTheme="minorEastAsia"/>
          <w:bCs/>
          <w:sz w:val="28"/>
          <w:szCs w:val="28"/>
          <w:highlight w:val="none"/>
        </w:rPr>
        <w:t>1.</w:t>
      </w:r>
      <w:r>
        <w:rPr>
          <w:rFonts w:hint="eastAsia" w:asciiTheme="minorEastAsia" w:hAnsiTheme="minorEastAsia" w:eastAsiaTheme="minorEastAsia"/>
          <w:bCs/>
          <w:sz w:val="28"/>
          <w:szCs w:val="28"/>
          <w:highlight w:val="none"/>
        </w:rPr>
        <w:t>乙方可通过军队采购网互联网网站（</w:t>
      </w:r>
      <w:r>
        <w:rPr>
          <w:rFonts w:asciiTheme="minorEastAsia" w:hAnsiTheme="minorEastAsia" w:eastAsiaTheme="minorEastAsia"/>
          <w:bCs/>
          <w:sz w:val="28"/>
          <w:szCs w:val="28"/>
          <w:highlight w:val="none"/>
        </w:rPr>
        <w:t>www.plap.mil.cn），下载安装编目用户终端软件。按要求录入采购物资数据，导入技术规范、产品说明书、图片等便于物资识别的</w:t>
      </w:r>
      <w:r>
        <w:rPr>
          <w:rFonts w:hint="eastAsia" w:asciiTheme="minorEastAsia" w:hAnsiTheme="minorEastAsia" w:eastAsiaTheme="minorEastAsia"/>
          <w:bCs/>
          <w:sz w:val="28"/>
          <w:szCs w:val="28"/>
          <w:highlight w:val="none"/>
        </w:rPr>
        <w:t>电子文件资料，生成编目申请数据包，提交甲方或承担军队资产编目编码职能的单位。</w:t>
      </w:r>
    </w:p>
    <w:p w14:paraId="42656E5F">
      <w:pPr>
        <w:spacing w:line="560" w:lineRule="exact"/>
        <w:ind w:firstLine="560" w:firstLineChars="200"/>
        <w:rPr>
          <w:rFonts w:asciiTheme="minorEastAsia" w:hAnsiTheme="minorEastAsia" w:eastAsiaTheme="minorEastAsia"/>
          <w:bCs/>
          <w:sz w:val="28"/>
          <w:szCs w:val="28"/>
          <w:highlight w:val="none"/>
        </w:rPr>
      </w:pPr>
      <w:r>
        <w:rPr>
          <w:rFonts w:cs="宋体" w:asciiTheme="minorEastAsia" w:hAnsiTheme="minorEastAsia" w:eastAsiaTheme="minorEastAsia"/>
          <w:bCs/>
          <w:sz w:val="28"/>
          <w:szCs w:val="28"/>
          <w:highlight w:val="none"/>
        </w:rPr>
        <w:t>2.</w:t>
      </w:r>
      <w:r>
        <w:rPr>
          <w:rFonts w:hint="eastAsia" w:asciiTheme="minorEastAsia" w:hAnsiTheme="minorEastAsia" w:eastAsiaTheme="minorEastAsia"/>
          <w:bCs/>
          <w:sz w:val="28"/>
          <w:szCs w:val="28"/>
          <w:highlight w:val="none"/>
        </w:rPr>
        <w:t>乙方应当配合甲方</w:t>
      </w:r>
      <w:r>
        <w:rPr>
          <w:rFonts w:asciiTheme="minorEastAsia" w:hAnsiTheme="minorEastAsia" w:eastAsiaTheme="minorEastAsia"/>
          <w:bCs/>
          <w:sz w:val="28"/>
          <w:szCs w:val="28"/>
          <w:highlight w:val="none"/>
        </w:rPr>
        <w:t>或</w:t>
      </w:r>
      <w:r>
        <w:rPr>
          <w:rFonts w:hint="eastAsia" w:asciiTheme="minorEastAsia" w:hAnsiTheme="minorEastAsia" w:eastAsiaTheme="minorEastAsia"/>
          <w:bCs/>
          <w:sz w:val="28"/>
          <w:szCs w:val="28"/>
          <w:highlight w:val="none"/>
        </w:rPr>
        <w:t>承担军队资产编目编码职能的单位，补充完善编目数据。</w:t>
      </w:r>
    </w:p>
    <w:p w14:paraId="66754E9B">
      <w:pPr>
        <w:spacing w:line="560" w:lineRule="exact"/>
        <w:ind w:firstLine="560" w:firstLineChars="200"/>
        <w:rPr>
          <w:rFonts w:cs="宋体" w:asciiTheme="minorEastAsia" w:hAnsiTheme="minorEastAsia" w:eastAsiaTheme="minorEastAsia"/>
          <w:bCs/>
          <w:sz w:val="28"/>
          <w:szCs w:val="28"/>
          <w:highlight w:val="none"/>
        </w:rPr>
      </w:pPr>
      <w:r>
        <w:rPr>
          <w:rFonts w:cs="宋体" w:asciiTheme="minorEastAsia" w:hAnsiTheme="minorEastAsia" w:eastAsiaTheme="minorEastAsia"/>
          <w:bCs/>
          <w:sz w:val="28"/>
          <w:szCs w:val="28"/>
          <w:highlight w:val="none"/>
        </w:rPr>
        <w:t>3.</w:t>
      </w:r>
      <w:r>
        <w:rPr>
          <w:rFonts w:hint="eastAsia" w:cs="宋体" w:asciiTheme="minorEastAsia" w:hAnsiTheme="minorEastAsia" w:eastAsiaTheme="minorEastAsia"/>
          <w:bCs/>
          <w:sz w:val="28"/>
          <w:szCs w:val="28"/>
          <w:highlight w:val="none"/>
        </w:rPr>
        <w:t>乙方通过甲方接收赋码后的编目数据包，导入编目用户终端软件，获取品种码，正确填入合同文本，用于打码贴签、验收结算等。</w:t>
      </w:r>
    </w:p>
    <w:p w14:paraId="56A8BBC7">
      <w:pPr>
        <w:spacing w:line="560" w:lineRule="exact"/>
        <w:ind w:firstLine="560" w:firstLineChars="200"/>
        <w:rPr>
          <w:rFonts w:cs="宋体" w:asciiTheme="minorEastAsia" w:hAnsiTheme="minorEastAsia" w:eastAsiaTheme="minorEastAsia"/>
          <w:bCs/>
          <w:sz w:val="28"/>
          <w:szCs w:val="28"/>
          <w:highlight w:val="none"/>
        </w:rPr>
      </w:pPr>
      <w:r>
        <w:rPr>
          <w:rFonts w:cs="宋体" w:asciiTheme="minorEastAsia" w:hAnsiTheme="minorEastAsia" w:eastAsiaTheme="minorEastAsia"/>
          <w:bCs/>
          <w:sz w:val="28"/>
          <w:szCs w:val="28"/>
          <w:highlight w:val="none"/>
        </w:rPr>
        <w:t>4.</w:t>
      </w:r>
      <w:r>
        <w:rPr>
          <w:rFonts w:hint="eastAsia" w:cs="宋体" w:asciiTheme="minorEastAsia" w:hAnsiTheme="minorEastAsia" w:eastAsiaTheme="minorEastAsia"/>
          <w:bCs/>
          <w:sz w:val="28"/>
          <w:szCs w:val="28"/>
          <w:highlight w:val="none"/>
        </w:rPr>
        <w:t>甲方有单件管理需要的，乙方应依据规则或示例程序自行生成单件码。</w:t>
      </w:r>
    </w:p>
    <w:p w14:paraId="78788273">
      <w:pPr>
        <w:spacing w:line="560" w:lineRule="exact"/>
        <w:ind w:firstLine="560" w:firstLineChars="200"/>
        <w:rPr>
          <w:rFonts w:asciiTheme="minorEastAsia" w:hAnsiTheme="minorEastAsia" w:eastAsiaTheme="minorEastAsia"/>
          <w:bCs/>
          <w:sz w:val="28"/>
          <w:szCs w:val="28"/>
          <w:highlight w:val="none"/>
        </w:rPr>
      </w:pPr>
      <w:r>
        <w:rPr>
          <w:rFonts w:hint="eastAsia" w:asciiTheme="minorEastAsia" w:hAnsiTheme="minorEastAsia" w:eastAsiaTheme="minorEastAsia"/>
          <w:bCs/>
          <w:sz w:val="28"/>
          <w:szCs w:val="28"/>
          <w:highlight w:val="none"/>
        </w:rPr>
        <w:t>（二）乙方应当按照统一要求在物资交付前完成打码贴签工作。</w:t>
      </w:r>
    </w:p>
    <w:p w14:paraId="136DC93D">
      <w:pPr>
        <w:spacing w:line="560" w:lineRule="exact"/>
        <w:ind w:firstLine="560" w:firstLineChars="200"/>
        <w:rPr>
          <w:rFonts w:asciiTheme="minorEastAsia" w:hAnsiTheme="minorEastAsia" w:eastAsiaTheme="minorEastAsia"/>
          <w:bCs/>
          <w:sz w:val="28"/>
          <w:szCs w:val="28"/>
          <w:highlight w:val="none"/>
        </w:rPr>
      </w:pPr>
      <w:r>
        <w:rPr>
          <w:rFonts w:cs="宋体" w:asciiTheme="minorEastAsia" w:hAnsiTheme="minorEastAsia" w:eastAsiaTheme="minorEastAsia"/>
          <w:bCs/>
          <w:sz w:val="28"/>
          <w:szCs w:val="28"/>
          <w:highlight w:val="none"/>
        </w:rPr>
        <w:t>1.</w:t>
      </w:r>
      <w:r>
        <w:rPr>
          <w:rFonts w:hint="eastAsia" w:asciiTheme="minorEastAsia" w:hAnsiTheme="minorEastAsia" w:eastAsiaTheme="minorEastAsia"/>
          <w:bCs/>
          <w:sz w:val="28"/>
          <w:szCs w:val="28"/>
          <w:highlight w:val="none"/>
        </w:rPr>
        <w:t>物资标识标签格式、张挂位置、材质、码制等内容，应当符合军队有关要求。</w:t>
      </w:r>
    </w:p>
    <w:p w14:paraId="20CBA529">
      <w:pPr>
        <w:spacing w:line="560" w:lineRule="exact"/>
        <w:ind w:firstLine="560" w:firstLineChars="200"/>
        <w:rPr>
          <w:rFonts w:asciiTheme="minorEastAsia" w:hAnsiTheme="minorEastAsia" w:eastAsiaTheme="minorEastAsia"/>
          <w:bCs/>
          <w:sz w:val="28"/>
          <w:szCs w:val="28"/>
          <w:highlight w:val="none"/>
        </w:rPr>
      </w:pPr>
      <w:r>
        <w:rPr>
          <w:rFonts w:cs="宋体" w:asciiTheme="minorEastAsia" w:hAnsiTheme="minorEastAsia" w:eastAsiaTheme="minorEastAsia"/>
          <w:bCs/>
          <w:sz w:val="28"/>
          <w:szCs w:val="28"/>
          <w:highlight w:val="none"/>
        </w:rPr>
        <w:t>2.</w:t>
      </w:r>
      <w:r>
        <w:rPr>
          <w:rFonts w:hint="eastAsia" w:asciiTheme="minorEastAsia" w:hAnsiTheme="minorEastAsia" w:eastAsiaTheme="minorEastAsia"/>
          <w:bCs/>
          <w:sz w:val="28"/>
          <w:szCs w:val="28"/>
          <w:highlight w:val="none"/>
        </w:rPr>
        <w:t>物资标识标签上的品种码应当与合同物资明细表中的品种码完全一致。</w:t>
      </w:r>
    </w:p>
    <w:p w14:paraId="7C3BD77A">
      <w:pPr>
        <w:spacing w:line="560" w:lineRule="exact"/>
        <w:ind w:firstLine="560" w:firstLineChars="200"/>
        <w:rPr>
          <w:rFonts w:asciiTheme="minorEastAsia" w:hAnsiTheme="minorEastAsia" w:eastAsiaTheme="minorEastAsia"/>
          <w:bCs/>
          <w:sz w:val="28"/>
          <w:szCs w:val="28"/>
          <w:highlight w:val="none"/>
        </w:rPr>
      </w:pPr>
      <w:r>
        <w:rPr>
          <w:rFonts w:hint="eastAsia" w:asciiTheme="minorEastAsia" w:hAnsiTheme="minorEastAsia" w:eastAsiaTheme="minorEastAsia"/>
          <w:bCs/>
          <w:sz w:val="28"/>
          <w:szCs w:val="28"/>
          <w:highlight w:val="none"/>
        </w:rPr>
        <w:t>（三）物资编目数据填报和打码贴签情况，列入出厂验收、到货验收项目；编目数据、标识标签不符合规范要求的，验收不予通过，不得进入物资储存单位。乙方应当在</w:t>
      </w:r>
      <w:r>
        <w:rPr>
          <w:rFonts w:asciiTheme="minorEastAsia" w:hAnsiTheme="minorEastAsia" w:eastAsiaTheme="minorEastAsia"/>
          <w:bCs/>
          <w:sz w:val="28"/>
          <w:szCs w:val="28"/>
          <w:highlight w:val="none"/>
        </w:rPr>
        <w:t>7</w:t>
      </w:r>
      <w:r>
        <w:rPr>
          <w:rFonts w:hint="eastAsia" w:asciiTheme="minorEastAsia" w:hAnsiTheme="minorEastAsia" w:eastAsiaTheme="minorEastAsia"/>
          <w:bCs/>
          <w:sz w:val="28"/>
          <w:szCs w:val="28"/>
          <w:highlight w:val="none"/>
        </w:rPr>
        <w:t>日内完成整改，重新协调甲方组织验收。</w:t>
      </w:r>
    </w:p>
    <w:p w14:paraId="17E46C29">
      <w:pPr>
        <w:pStyle w:val="5"/>
        <w:spacing w:before="0" w:after="0" w:line="560" w:lineRule="exact"/>
        <w:ind w:firstLine="560" w:firstLineChars="200"/>
        <w:rPr>
          <w:rFonts w:ascii="黑体" w:hAnsi="黑体" w:cs="黑体"/>
          <w:b w:val="0"/>
          <w:sz w:val="28"/>
          <w:szCs w:val="28"/>
          <w:highlight w:val="none"/>
        </w:rPr>
      </w:pPr>
      <w:bookmarkStart w:id="466" w:name="_Toc15756"/>
      <w:bookmarkStart w:id="467" w:name="_Toc152058268"/>
      <w:bookmarkStart w:id="468" w:name="_Toc25929"/>
      <w:bookmarkStart w:id="469" w:name="_Toc21601"/>
      <w:bookmarkStart w:id="470" w:name="_Toc1545"/>
      <w:bookmarkStart w:id="471" w:name="_Toc20203"/>
      <w:bookmarkStart w:id="472" w:name="_Toc32718"/>
      <w:r>
        <w:rPr>
          <w:rFonts w:hint="eastAsia" w:ascii="黑体" w:hAnsi="黑体" w:cs="黑体"/>
          <w:b w:val="0"/>
          <w:sz w:val="28"/>
          <w:szCs w:val="28"/>
          <w:highlight w:val="none"/>
        </w:rPr>
        <w:t>四、包装及技术材料</w:t>
      </w:r>
      <w:bookmarkEnd w:id="466"/>
      <w:bookmarkEnd w:id="467"/>
      <w:bookmarkEnd w:id="468"/>
      <w:bookmarkEnd w:id="469"/>
      <w:bookmarkEnd w:id="470"/>
      <w:bookmarkEnd w:id="471"/>
      <w:bookmarkEnd w:id="472"/>
    </w:p>
    <w:p w14:paraId="58CCD4E1">
      <w:pPr>
        <w:spacing w:line="560" w:lineRule="exact"/>
        <w:ind w:firstLine="560" w:firstLineChars="200"/>
        <w:rPr>
          <w:rFonts w:asciiTheme="minorEastAsia" w:hAnsiTheme="minorEastAsia" w:eastAsiaTheme="minorEastAsia"/>
          <w:bCs/>
          <w:sz w:val="28"/>
          <w:szCs w:val="28"/>
          <w:highlight w:val="none"/>
        </w:rPr>
      </w:pPr>
      <w:r>
        <w:rPr>
          <w:rFonts w:hint="eastAsia" w:asciiTheme="minorEastAsia" w:hAnsiTheme="minorEastAsia" w:eastAsiaTheme="minorEastAsia"/>
          <w:bCs/>
          <w:sz w:val="28"/>
          <w:szCs w:val="28"/>
          <w:highlight w:val="none"/>
        </w:rPr>
        <w:t>（一）乙方提供的物资采用国家或行业规定的标准进行包装，包装物由乙方免费提供。</w:t>
      </w:r>
    </w:p>
    <w:p w14:paraId="51D2CA91">
      <w:pPr>
        <w:spacing w:line="560" w:lineRule="exact"/>
        <w:ind w:firstLine="560" w:firstLineChars="200"/>
        <w:rPr>
          <w:rFonts w:asciiTheme="minorEastAsia" w:hAnsiTheme="minorEastAsia" w:eastAsiaTheme="minorEastAsia"/>
          <w:bCs/>
          <w:sz w:val="28"/>
          <w:szCs w:val="28"/>
          <w:highlight w:val="none"/>
        </w:rPr>
      </w:pPr>
      <w:bookmarkStart w:id="473" w:name="_Hlk129330044"/>
      <w:r>
        <w:rPr>
          <w:rFonts w:hint="eastAsia" w:asciiTheme="minorEastAsia" w:hAnsiTheme="minorEastAsia" w:eastAsiaTheme="minorEastAsia"/>
          <w:bCs/>
          <w:sz w:val="28"/>
          <w:szCs w:val="28"/>
          <w:highlight w:val="none"/>
        </w:rPr>
        <w:t>（二）</w:t>
      </w:r>
      <w:bookmarkEnd w:id="473"/>
      <w:r>
        <w:rPr>
          <w:rFonts w:hint="eastAsia" w:asciiTheme="minorEastAsia" w:hAnsiTheme="minorEastAsia" w:eastAsiaTheme="minorEastAsia"/>
          <w:bCs/>
          <w:sz w:val="28"/>
          <w:szCs w:val="28"/>
          <w:highlight w:val="none"/>
        </w:rPr>
        <w:t>乙方提供的物资、技术材料，应当有详细的说明，包括物资的规格、技术指标及外观质量情况等，并附检验合格证和保修保养证书。</w:t>
      </w:r>
    </w:p>
    <w:p w14:paraId="28D77389">
      <w:pPr>
        <w:spacing w:line="560" w:lineRule="exact"/>
        <w:ind w:firstLine="560" w:firstLineChars="200"/>
        <w:rPr>
          <w:rFonts w:asciiTheme="minorEastAsia" w:hAnsiTheme="minorEastAsia" w:eastAsiaTheme="minorEastAsia"/>
          <w:bCs/>
          <w:sz w:val="28"/>
          <w:szCs w:val="28"/>
          <w:highlight w:val="none"/>
        </w:rPr>
      </w:pPr>
      <w:r>
        <w:rPr>
          <w:rFonts w:asciiTheme="minorEastAsia" w:hAnsiTheme="minorEastAsia" w:eastAsiaTheme="minorEastAsia"/>
          <w:bCs/>
          <w:sz w:val="28"/>
          <w:szCs w:val="28"/>
          <w:highlight w:val="none"/>
        </w:rPr>
        <w:t>1.</w:t>
      </w:r>
      <w:r>
        <w:rPr>
          <w:rFonts w:hint="eastAsia" w:asciiTheme="minorEastAsia" w:hAnsiTheme="minorEastAsia" w:eastAsiaTheme="minorEastAsia"/>
          <w:bCs/>
          <w:sz w:val="28"/>
          <w:szCs w:val="28"/>
          <w:highlight w:val="none"/>
        </w:rPr>
        <w:t>乙方所出售的全部物资均应按标准保护措施进行包装，包装应适应于远距离运输、防潮、防震、防锈和防野蛮装卸等要求，以确保物资安全无损地运抵指定现场。由于包装防护措施不妥而引起的损坏、丢失由乙方负责。</w:t>
      </w:r>
    </w:p>
    <w:p w14:paraId="4B0343E5">
      <w:pPr>
        <w:spacing w:line="560" w:lineRule="exact"/>
        <w:ind w:firstLine="560" w:firstLineChars="200"/>
        <w:rPr>
          <w:highlight w:val="none"/>
        </w:rPr>
      </w:pPr>
      <w:r>
        <w:rPr>
          <w:rFonts w:asciiTheme="minorEastAsia" w:hAnsiTheme="minorEastAsia" w:eastAsiaTheme="minorEastAsia"/>
          <w:bCs/>
          <w:sz w:val="28"/>
          <w:szCs w:val="28"/>
          <w:highlight w:val="none"/>
        </w:rPr>
        <w:t>2.</w:t>
      </w:r>
      <w:r>
        <w:rPr>
          <w:rFonts w:hint="eastAsia" w:asciiTheme="minorEastAsia" w:hAnsiTheme="minorEastAsia" w:eastAsiaTheme="minorEastAsia"/>
          <w:bCs/>
          <w:sz w:val="28"/>
          <w:szCs w:val="28"/>
          <w:highlight w:val="none"/>
        </w:rPr>
        <w:t>每一个包装箱内应附一份详细装箱单。</w:t>
      </w:r>
      <w:bookmarkStart w:id="474" w:name="_Hlk129300062"/>
    </w:p>
    <w:bookmarkEnd w:id="474"/>
    <w:p w14:paraId="6DF3F554">
      <w:pPr>
        <w:pStyle w:val="5"/>
        <w:spacing w:before="0" w:after="0" w:line="560" w:lineRule="exact"/>
        <w:ind w:firstLine="560" w:firstLineChars="200"/>
        <w:rPr>
          <w:rFonts w:ascii="黑体" w:hAnsi="黑体" w:cs="黑体"/>
          <w:b w:val="0"/>
          <w:sz w:val="28"/>
          <w:szCs w:val="28"/>
          <w:highlight w:val="none"/>
        </w:rPr>
      </w:pPr>
      <w:bookmarkStart w:id="475" w:name="_Toc6556"/>
      <w:bookmarkStart w:id="476" w:name="_Toc30333"/>
      <w:bookmarkStart w:id="477" w:name="_Toc11691"/>
      <w:bookmarkStart w:id="478" w:name="_Toc29186"/>
      <w:bookmarkStart w:id="479" w:name="_Toc13544"/>
      <w:bookmarkStart w:id="480" w:name="_Toc152058269"/>
      <w:bookmarkStart w:id="481" w:name="_Toc6081"/>
      <w:r>
        <w:rPr>
          <w:rFonts w:hint="eastAsia" w:ascii="黑体" w:hAnsi="黑体" w:cs="黑体"/>
          <w:b w:val="0"/>
          <w:sz w:val="28"/>
          <w:szCs w:val="28"/>
          <w:highlight w:val="none"/>
        </w:rPr>
        <w:t>五、知识产权</w:t>
      </w:r>
      <w:bookmarkEnd w:id="475"/>
      <w:bookmarkEnd w:id="476"/>
      <w:bookmarkEnd w:id="477"/>
      <w:bookmarkEnd w:id="478"/>
      <w:bookmarkEnd w:id="479"/>
      <w:bookmarkEnd w:id="480"/>
      <w:bookmarkEnd w:id="481"/>
    </w:p>
    <w:p w14:paraId="4BB4D02E">
      <w:pPr>
        <w:spacing w:line="560" w:lineRule="exact"/>
        <w:ind w:firstLine="560" w:firstLineChars="200"/>
        <w:rPr>
          <w:rFonts w:asciiTheme="minorEastAsia" w:hAnsiTheme="minorEastAsia" w:eastAsiaTheme="minorEastAsia"/>
          <w:bCs/>
          <w:sz w:val="28"/>
          <w:szCs w:val="28"/>
          <w:highlight w:val="none"/>
        </w:rPr>
      </w:pPr>
      <w:r>
        <w:rPr>
          <w:rFonts w:hint="eastAsia" w:asciiTheme="minorEastAsia" w:hAnsiTheme="minorEastAsia" w:eastAsiaTheme="minorEastAsia"/>
          <w:bCs/>
          <w:sz w:val="28"/>
          <w:szCs w:val="28"/>
          <w:highlight w:val="none"/>
        </w:rPr>
        <w:t>（一）乙方应当保证甲方在使用物资和服务时不受第三方提出侵犯其知识产权的指控，对此甲方不承担任何连带责任或赔偿责任。</w:t>
      </w:r>
    </w:p>
    <w:p w14:paraId="364C247E">
      <w:pPr>
        <w:spacing w:line="560" w:lineRule="exact"/>
        <w:ind w:firstLine="562" w:firstLineChars="200"/>
        <w:rPr>
          <w:rFonts w:asciiTheme="minorEastAsia" w:hAnsiTheme="minorEastAsia" w:eastAsiaTheme="minorEastAsia"/>
          <w:b/>
          <w:highlight w:val="none"/>
        </w:rPr>
      </w:pPr>
      <w:r>
        <w:rPr>
          <w:rFonts w:hint="eastAsia" w:asciiTheme="minorEastAsia" w:hAnsiTheme="minorEastAsia" w:eastAsiaTheme="minorEastAsia"/>
          <w:b/>
          <w:sz w:val="28"/>
          <w:szCs w:val="28"/>
          <w:highlight w:val="none"/>
        </w:rPr>
        <w:t>（二）基于项目合同履行形成的知识产权和其他权益，其权属归甲方所有，法律另有规定的除外。</w:t>
      </w:r>
    </w:p>
    <w:p w14:paraId="73D29A51">
      <w:pPr>
        <w:pStyle w:val="5"/>
        <w:spacing w:before="0" w:after="0" w:line="560" w:lineRule="exact"/>
        <w:ind w:firstLine="560" w:firstLineChars="200"/>
        <w:rPr>
          <w:rFonts w:ascii="黑体" w:hAnsi="黑体" w:cs="黑体"/>
          <w:b w:val="0"/>
          <w:sz w:val="28"/>
          <w:szCs w:val="28"/>
          <w:highlight w:val="none"/>
        </w:rPr>
      </w:pPr>
      <w:bookmarkStart w:id="482" w:name="_Toc8465"/>
      <w:bookmarkStart w:id="483" w:name="_Toc13098"/>
      <w:bookmarkStart w:id="484" w:name="_Toc22390"/>
      <w:bookmarkStart w:id="485" w:name="_Toc881"/>
      <w:bookmarkStart w:id="486" w:name="_Toc152058270"/>
      <w:bookmarkStart w:id="487" w:name="_Toc13150"/>
      <w:bookmarkStart w:id="488" w:name="_Toc15397"/>
      <w:r>
        <w:rPr>
          <w:rFonts w:hint="eastAsia" w:ascii="黑体" w:hAnsi="黑体" w:cs="黑体"/>
          <w:b w:val="0"/>
          <w:sz w:val="28"/>
          <w:szCs w:val="28"/>
          <w:highlight w:val="none"/>
        </w:rPr>
        <w:t>六、合同的变更和解除</w:t>
      </w:r>
      <w:bookmarkEnd w:id="482"/>
      <w:bookmarkEnd w:id="483"/>
      <w:bookmarkEnd w:id="484"/>
      <w:bookmarkEnd w:id="485"/>
      <w:bookmarkEnd w:id="486"/>
      <w:bookmarkEnd w:id="487"/>
      <w:bookmarkEnd w:id="488"/>
    </w:p>
    <w:p w14:paraId="08DD5024">
      <w:pPr>
        <w:spacing w:line="560" w:lineRule="exact"/>
        <w:ind w:firstLine="560" w:firstLineChars="200"/>
        <w:jc w:val="left"/>
        <w:rPr>
          <w:rFonts w:asciiTheme="minorEastAsia" w:hAnsiTheme="minorEastAsia" w:eastAsiaTheme="minorEastAsia"/>
          <w:bCs/>
          <w:sz w:val="28"/>
          <w:szCs w:val="28"/>
          <w:highlight w:val="none"/>
        </w:rPr>
      </w:pPr>
      <w:r>
        <w:rPr>
          <w:rFonts w:hint="eastAsia" w:asciiTheme="minorEastAsia" w:hAnsiTheme="minorEastAsia" w:eastAsiaTheme="minorEastAsia"/>
          <w:bCs/>
          <w:sz w:val="28"/>
          <w:szCs w:val="28"/>
          <w:highlight w:val="none"/>
        </w:rPr>
        <w:t>（一）因合同变更、解除造成损失的，过错方应当按照合同约定或者国家法律法规承担赔偿责任，双方都有过错的，应当按照合同约定或者国家法律法规各自承担相应的责任。</w:t>
      </w:r>
    </w:p>
    <w:p w14:paraId="4D7DD129">
      <w:pPr>
        <w:spacing w:line="560" w:lineRule="exact"/>
        <w:ind w:firstLine="560" w:firstLineChars="200"/>
        <w:jc w:val="left"/>
        <w:rPr>
          <w:rFonts w:asciiTheme="minorEastAsia" w:hAnsiTheme="minorEastAsia" w:eastAsiaTheme="minorEastAsia"/>
          <w:bCs/>
          <w:sz w:val="28"/>
          <w:szCs w:val="28"/>
          <w:highlight w:val="none"/>
        </w:rPr>
      </w:pPr>
      <w:r>
        <w:rPr>
          <w:rFonts w:hint="eastAsia" w:asciiTheme="minorEastAsia" w:hAnsiTheme="minorEastAsia" w:eastAsiaTheme="minorEastAsia"/>
          <w:bCs/>
          <w:sz w:val="28"/>
          <w:szCs w:val="28"/>
          <w:highlight w:val="none"/>
        </w:rPr>
        <w:t>（二）合同履行中，存在以下情形之一的，经甲乙双方协商一致，并由甲方按照军队有关规定办理审批后，可以变更合同：</w:t>
      </w:r>
    </w:p>
    <w:p w14:paraId="2E70295F">
      <w:pPr>
        <w:spacing w:line="560" w:lineRule="exact"/>
        <w:ind w:firstLine="560" w:firstLineChars="200"/>
        <w:jc w:val="left"/>
        <w:rPr>
          <w:rFonts w:asciiTheme="minorEastAsia" w:hAnsiTheme="minorEastAsia" w:eastAsiaTheme="minorEastAsia"/>
          <w:bCs/>
          <w:sz w:val="28"/>
          <w:szCs w:val="28"/>
          <w:highlight w:val="none"/>
        </w:rPr>
      </w:pPr>
      <w:r>
        <w:rPr>
          <w:rFonts w:asciiTheme="minorEastAsia" w:hAnsiTheme="minorEastAsia" w:eastAsiaTheme="minorEastAsia"/>
          <w:bCs/>
          <w:sz w:val="28"/>
          <w:szCs w:val="28"/>
          <w:highlight w:val="none"/>
        </w:rPr>
        <w:t>1.</w:t>
      </w:r>
      <w:r>
        <w:rPr>
          <w:rFonts w:hint="eastAsia" w:asciiTheme="minorEastAsia" w:hAnsiTheme="minorEastAsia" w:eastAsiaTheme="minorEastAsia"/>
          <w:bCs/>
          <w:sz w:val="28"/>
          <w:szCs w:val="28"/>
          <w:highlight w:val="none"/>
        </w:rPr>
        <w:t>采购单位需要追加或者减少与合同标的相同的物资、工程或者服务的，在不改变合同其他条款的前提下，可以与成交供应商协商，进行协议追加或者减少；物资、服务采购合同补充协议追加采购金额不得超过原合同采购金额的</w:t>
      </w:r>
      <w:r>
        <w:rPr>
          <w:rFonts w:asciiTheme="minorEastAsia" w:hAnsiTheme="minorEastAsia" w:eastAsiaTheme="minorEastAsia"/>
          <w:bCs/>
          <w:sz w:val="28"/>
          <w:szCs w:val="28"/>
          <w:highlight w:val="none"/>
        </w:rPr>
        <w:t>10%；工程采购合同变更适用情形按照行业领域有关规定执行；按照预先采购结果、共享共用采购结果等订立的采购合同，其变更适用情形另有规定的，按照有关规定执行；</w:t>
      </w:r>
    </w:p>
    <w:p w14:paraId="181236BD">
      <w:pPr>
        <w:spacing w:line="560" w:lineRule="exact"/>
        <w:ind w:firstLine="560" w:firstLineChars="200"/>
        <w:jc w:val="left"/>
        <w:rPr>
          <w:rFonts w:asciiTheme="minorEastAsia" w:hAnsiTheme="minorEastAsia" w:eastAsiaTheme="minorEastAsia"/>
          <w:bCs/>
          <w:sz w:val="28"/>
          <w:szCs w:val="28"/>
          <w:highlight w:val="none"/>
        </w:rPr>
      </w:pPr>
      <w:r>
        <w:rPr>
          <w:rFonts w:asciiTheme="minorEastAsia" w:hAnsiTheme="minorEastAsia" w:eastAsiaTheme="minorEastAsia"/>
          <w:bCs/>
          <w:sz w:val="28"/>
          <w:szCs w:val="28"/>
          <w:highlight w:val="none"/>
        </w:rPr>
        <w:t>2.</w:t>
      </w:r>
      <w:r>
        <w:rPr>
          <w:rFonts w:hint="eastAsia" w:asciiTheme="minorEastAsia" w:hAnsiTheme="minorEastAsia" w:eastAsiaTheme="minorEastAsia"/>
          <w:bCs/>
          <w:sz w:val="28"/>
          <w:szCs w:val="28"/>
          <w:highlight w:val="none"/>
        </w:rPr>
        <w:t>因产品停产、技术升级等不可预知的客观原因导致合同难以履行，需要更换同品牌升级产品或者同品质升级服务，采购单位可以视情组织专家论证，签订合同变更协议，但合同标的单价不得提高；</w:t>
      </w:r>
    </w:p>
    <w:p w14:paraId="29C54D9E">
      <w:pPr>
        <w:spacing w:line="560" w:lineRule="exact"/>
        <w:ind w:firstLine="560" w:firstLineChars="200"/>
        <w:jc w:val="left"/>
        <w:rPr>
          <w:rFonts w:asciiTheme="minorEastAsia" w:hAnsiTheme="minorEastAsia" w:eastAsiaTheme="minorEastAsia"/>
          <w:bCs/>
          <w:sz w:val="28"/>
          <w:szCs w:val="28"/>
          <w:highlight w:val="none"/>
        </w:rPr>
      </w:pPr>
      <w:r>
        <w:rPr>
          <w:rFonts w:asciiTheme="minorEastAsia" w:hAnsiTheme="minorEastAsia" w:eastAsiaTheme="minorEastAsia"/>
          <w:bCs/>
          <w:sz w:val="28"/>
          <w:szCs w:val="28"/>
          <w:highlight w:val="none"/>
        </w:rPr>
        <w:t>3.</w:t>
      </w:r>
      <w:r>
        <w:rPr>
          <w:rFonts w:hint="eastAsia" w:asciiTheme="minorEastAsia" w:hAnsiTheme="minorEastAsia" w:eastAsiaTheme="minorEastAsia"/>
          <w:bCs/>
          <w:sz w:val="28"/>
          <w:szCs w:val="28"/>
          <w:highlight w:val="none"/>
        </w:rPr>
        <w:t>采购单位因职能任务调整，需要由其他军队单位承接合同权利义务的，或者成交供应商名称、住所等信息依法登记变更的，可以对合同相应信息进行变更；</w:t>
      </w:r>
    </w:p>
    <w:p w14:paraId="15C3D7B4">
      <w:pPr>
        <w:spacing w:line="560" w:lineRule="exact"/>
        <w:ind w:firstLine="560" w:firstLineChars="200"/>
        <w:jc w:val="left"/>
        <w:rPr>
          <w:rFonts w:asciiTheme="minorEastAsia" w:hAnsiTheme="minorEastAsia" w:eastAsiaTheme="minorEastAsia"/>
          <w:bCs/>
          <w:sz w:val="28"/>
          <w:szCs w:val="28"/>
          <w:highlight w:val="none"/>
        </w:rPr>
      </w:pPr>
      <w:r>
        <w:rPr>
          <w:rFonts w:asciiTheme="minorEastAsia" w:hAnsiTheme="minorEastAsia" w:eastAsiaTheme="minorEastAsia"/>
          <w:bCs/>
          <w:sz w:val="28"/>
          <w:szCs w:val="28"/>
          <w:highlight w:val="none"/>
        </w:rPr>
        <w:t>4.</w:t>
      </w:r>
      <w:r>
        <w:rPr>
          <w:rFonts w:hint="eastAsia" w:asciiTheme="minorEastAsia" w:hAnsiTheme="minorEastAsia" w:eastAsiaTheme="minorEastAsia"/>
          <w:bCs/>
          <w:sz w:val="28"/>
          <w:szCs w:val="28"/>
          <w:highlight w:val="none"/>
        </w:rPr>
        <w:t>继续履行合同将损害国家或者军队利益，通过合同变更能够消除相应损害的，可以变更合同；</w:t>
      </w:r>
    </w:p>
    <w:p w14:paraId="68194D48">
      <w:pPr>
        <w:spacing w:line="560" w:lineRule="exact"/>
        <w:ind w:firstLine="560" w:firstLineChars="200"/>
        <w:jc w:val="left"/>
        <w:rPr>
          <w:rFonts w:asciiTheme="minorEastAsia" w:hAnsiTheme="minorEastAsia" w:eastAsiaTheme="minorEastAsia"/>
          <w:bCs/>
          <w:sz w:val="28"/>
          <w:szCs w:val="28"/>
          <w:highlight w:val="none"/>
        </w:rPr>
      </w:pPr>
      <w:r>
        <w:rPr>
          <w:rFonts w:asciiTheme="minorEastAsia" w:hAnsiTheme="minorEastAsia" w:eastAsiaTheme="minorEastAsia"/>
          <w:bCs/>
          <w:sz w:val="28"/>
          <w:szCs w:val="28"/>
          <w:highlight w:val="none"/>
        </w:rPr>
        <w:t>5.</w:t>
      </w:r>
      <w:r>
        <w:rPr>
          <w:rFonts w:hint="eastAsia" w:asciiTheme="minorEastAsia" w:hAnsiTheme="minorEastAsia" w:eastAsiaTheme="minorEastAsia"/>
          <w:bCs/>
          <w:sz w:val="28"/>
          <w:szCs w:val="28"/>
          <w:highlight w:val="none"/>
        </w:rPr>
        <w:t>国家法律法规规定或者合同约定的其他合同变更的情形。</w:t>
      </w:r>
    </w:p>
    <w:p w14:paraId="529E25A7">
      <w:pPr>
        <w:spacing w:line="560" w:lineRule="exact"/>
        <w:ind w:firstLine="560" w:firstLineChars="200"/>
        <w:jc w:val="left"/>
        <w:rPr>
          <w:rFonts w:asciiTheme="minorEastAsia" w:hAnsiTheme="minorEastAsia" w:eastAsiaTheme="minorEastAsia"/>
          <w:bCs/>
          <w:sz w:val="28"/>
          <w:szCs w:val="28"/>
          <w:highlight w:val="none"/>
        </w:rPr>
      </w:pPr>
      <w:r>
        <w:rPr>
          <w:rFonts w:hint="eastAsia" w:asciiTheme="minorEastAsia" w:hAnsiTheme="minorEastAsia" w:eastAsiaTheme="minorEastAsia"/>
          <w:bCs/>
          <w:sz w:val="28"/>
          <w:szCs w:val="28"/>
          <w:highlight w:val="none"/>
        </w:rPr>
        <w:t>（三）合同履行中，存在以下情形之一的，甲方有权解除合同：</w:t>
      </w:r>
    </w:p>
    <w:p w14:paraId="60F5AE24">
      <w:pPr>
        <w:spacing w:line="560" w:lineRule="exact"/>
        <w:ind w:firstLine="560" w:firstLineChars="200"/>
        <w:jc w:val="left"/>
        <w:rPr>
          <w:rFonts w:asciiTheme="minorEastAsia" w:hAnsiTheme="minorEastAsia" w:eastAsiaTheme="minorEastAsia"/>
          <w:bCs/>
          <w:sz w:val="28"/>
          <w:szCs w:val="28"/>
          <w:highlight w:val="none"/>
        </w:rPr>
      </w:pPr>
      <w:r>
        <w:rPr>
          <w:rFonts w:asciiTheme="minorEastAsia" w:hAnsiTheme="minorEastAsia" w:eastAsiaTheme="minorEastAsia"/>
          <w:bCs/>
          <w:sz w:val="28"/>
          <w:szCs w:val="28"/>
          <w:highlight w:val="none"/>
        </w:rPr>
        <w:t>1.因不可抗力无法履行合同，不能实现合同目的；</w:t>
      </w:r>
    </w:p>
    <w:p w14:paraId="4E38BA9E">
      <w:pPr>
        <w:spacing w:line="560" w:lineRule="exact"/>
        <w:ind w:firstLine="560" w:firstLineChars="200"/>
        <w:jc w:val="left"/>
        <w:rPr>
          <w:rFonts w:asciiTheme="minorEastAsia" w:hAnsiTheme="minorEastAsia" w:eastAsiaTheme="minorEastAsia"/>
          <w:bCs/>
          <w:sz w:val="28"/>
          <w:szCs w:val="28"/>
          <w:highlight w:val="none"/>
        </w:rPr>
      </w:pPr>
      <w:r>
        <w:rPr>
          <w:rFonts w:asciiTheme="minorEastAsia" w:hAnsiTheme="minorEastAsia" w:eastAsiaTheme="minorEastAsia"/>
          <w:bCs/>
          <w:sz w:val="28"/>
          <w:szCs w:val="28"/>
          <w:highlight w:val="none"/>
        </w:rPr>
        <w:t>2.继续履行合同将损害国家或者军队利益，且无法通过合同变更或者中止方式解决；</w:t>
      </w:r>
    </w:p>
    <w:p w14:paraId="32AF7C61">
      <w:pPr>
        <w:spacing w:line="560" w:lineRule="exact"/>
        <w:ind w:firstLine="560" w:firstLineChars="200"/>
        <w:jc w:val="left"/>
        <w:rPr>
          <w:rFonts w:asciiTheme="minorEastAsia" w:hAnsiTheme="minorEastAsia" w:eastAsiaTheme="minorEastAsia"/>
          <w:bCs/>
          <w:sz w:val="28"/>
          <w:szCs w:val="28"/>
          <w:highlight w:val="none"/>
        </w:rPr>
      </w:pPr>
      <w:r>
        <w:rPr>
          <w:rFonts w:asciiTheme="minorEastAsia" w:hAnsiTheme="minorEastAsia" w:eastAsiaTheme="minorEastAsia"/>
          <w:bCs/>
          <w:sz w:val="28"/>
          <w:szCs w:val="28"/>
          <w:highlight w:val="none"/>
        </w:rPr>
        <w:t>3.采购任务调整或者取消，不能通过合同变更方式达成新协议；</w:t>
      </w:r>
    </w:p>
    <w:p w14:paraId="3AA71B46">
      <w:pPr>
        <w:spacing w:line="560" w:lineRule="exact"/>
        <w:ind w:firstLine="560" w:firstLineChars="200"/>
        <w:jc w:val="left"/>
        <w:rPr>
          <w:rFonts w:asciiTheme="minorEastAsia" w:hAnsiTheme="minorEastAsia" w:eastAsiaTheme="minorEastAsia"/>
          <w:bCs/>
          <w:sz w:val="28"/>
          <w:szCs w:val="28"/>
          <w:highlight w:val="none"/>
        </w:rPr>
      </w:pPr>
      <w:r>
        <w:rPr>
          <w:rFonts w:asciiTheme="minorEastAsia" w:hAnsiTheme="minorEastAsia" w:eastAsiaTheme="minorEastAsia"/>
          <w:bCs/>
          <w:sz w:val="28"/>
          <w:szCs w:val="28"/>
          <w:highlight w:val="none"/>
        </w:rPr>
        <w:t>4.乙方明确表示或者以自己的行为表明不履行合同主要义务；</w:t>
      </w:r>
    </w:p>
    <w:p w14:paraId="5585F4C2">
      <w:pPr>
        <w:spacing w:line="560" w:lineRule="exact"/>
        <w:ind w:firstLine="560" w:firstLineChars="200"/>
        <w:jc w:val="left"/>
        <w:rPr>
          <w:rFonts w:asciiTheme="minorEastAsia" w:hAnsiTheme="minorEastAsia" w:eastAsiaTheme="minorEastAsia"/>
          <w:bCs/>
          <w:sz w:val="28"/>
          <w:szCs w:val="28"/>
          <w:highlight w:val="none"/>
        </w:rPr>
      </w:pPr>
      <w:r>
        <w:rPr>
          <w:rFonts w:asciiTheme="minorEastAsia" w:hAnsiTheme="minorEastAsia" w:eastAsiaTheme="minorEastAsia"/>
          <w:bCs/>
          <w:sz w:val="28"/>
          <w:szCs w:val="28"/>
          <w:highlight w:val="none"/>
        </w:rPr>
        <w:t>5.乙方迟延履行合同主要义务，经催告后在限定合理整改期限内仍不履行；</w:t>
      </w:r>
    </w:p>
    <w:p w14:paraId="75490955">
      <w:pPr>
        <w:spacing w:line="560" w:lineRule="exact"/>
        <w:ind w:firstLine="560" w:firstLineChars="200"/>
        <w:jc w:val="left"/>
        <w:rPr>
          <w:rFonts w:asciiTheme="minorEastAsia" w:hAnsiTheme="minorEastAsia" w:eastAsiaTheme="minorEastAsia"/>
          <w:bCs/>
          <w:sz w:val="28"/>
          <w:szCs w:val="28"/>
          <w:highlight w:val="none"/>
        </w:rPr>
      </w:pPr>
      <w:r>
        <w:rPr>
          <w:rFonts w:asciiTheme="minorEastAsia" w:hAnsiTheme="minorEastAsia" w:eastAsiaTheme="minorEastAsia"/>
          <w:bCs/>
          <w:sz w:val="28"/>
          <w:szCs w:val="28"/>
          <w:highlight w:val="none"/>
        </w:rPr>
        <w:t>6.乙方存在违规违约行为致使不能实现合同目的；</w:t>
      </w:r>
    </w:p>
    <w:p w14:paraId="2FF7F333">
      <w:pPr>
        <w:spacing w:line="560" w:lineRule="exact"/>
        <w:ind w:firstLine="560" w:firstLineChars="200"/>
        <w:jc w:val="left"/>
        <w:rPr>
          <w:rFonts w:asciiTheme="minorEastAsia" w:hAnsiTheme="minorEastAsia" w:eastAsiaTheme="minorEastAsia"/>
          <w:bCs/>
          <w:sz w:val="28"/>
          <w:szCs w:val="28"/>
          <w:highlight w:val="none"/>
          <w:lang w:val="zh-CN"/>
        </w:rPr>
      </w:pPr>
      <w:r>
        <w:rPr>
          <w:rFonts w:asciiTheme="minorEastAsia" w:hAnsiTheme="minorEastAsia" w:eastAsiaTheme="minorEastAsia"/>
          <w:bCs/>
          <w:sz w:val="28"/>
          <w:szCs w:val="28"/>
          <w:highlight w:val="none"/>
        </w:rPr>
        <w:t>7.乙方</w:t>
      </w:r>
      <w:r>
        <w:rPr>
          <w:rFonts w:hint="eastAsia" w:asciiTheme="minorEastAsia" w:hAnsiTheme="minorEastAsia" w:eastAsiaTheme="minorEastAsia"/>
          <w:bCs/>
          <w:sz w:val="28"/>
          <w:szCs w:val="28"/>
          <w:highlight w:val="none"/>
          <w:lang w:val="zh-CN"/>
        </w:rPr>
        <w:t>发生控股关系、经营范围等重大实质性变化，不符合合同约定的；</w:t>
      </w:r>
    </w:p>
    <w:p w14:paraId="6936535A">
      <w:pPr>
        <w:spacing w:line="560" w:lineRule="exact"/>
        <w:ind w:firstLine="560" w:firstLineChars="200"/>
        <w:jc w:val="left"/>
        <w:rPr>
          <w:rFonts w:asciiTheme="minorEastAsia" w:hAnsiTheme="minorEastAsia" w:eastAsiaTheme="minorEastAsia"/>
          <w:bCs/>
          <w:sz w:val="28"/>
          <w:szCs w:val="28"/>
          <w:highlight w:val="none"/>
        </w:rPr>
      </w:pPr>
      <w:r>
        <w:rPr>
          <w:rFonts w:asciiTheme="minorEastAsia" w:hAnsiTheme="minorEastAsia" w:eastAsiaTheme="minorEastAsia"/>
          <w:bCs/>
          <w:sz w:val="28"/>
          <w:szCs w:val="28"/>
          <w:highlight w:val="none"/>
        </w:rPr>
        <w:t>8.国家法律法规规定或者合同约定的其他情形。</w:t>
      </w:r>
    </w:p>
    <w:p w14:paraId="2F75E3AE">
      <w:pPr>
        <w:spacing w:line="560" w:lineRule="exact"/>
        <w:ind w:firstLine="560" w:firstLineChars="200"/>
        <w:jc w:val="left"/>
        <w:rPr>
          <w:rFonts w:asciiTheme="minorEastAsia" w:hAnsiTheme="minorEastAsia" w:eastAsiaTheme="minorEastAsia"/>
          <w:bCs/>
          <w:sz w:val="28"/>
          <w:szCs w:val="28"/>
          <w:highlight w:val="none"/>
        </w:rPr>
      </w:pPr>
      <w:r>
        <w:rPr>
          <w:rFonts w:hint="eastAsia" w:asciiTheme="minorEastAsia" w:hAnsiTheme="minorEastAsia" w:eastAsiaTheme="minorEastAsia"/>
          <w:bCs/>
          <w:sz w:val="28"/>
          <w:szCs w:val="28"/>
          <w:highlight w:val="none"/>
        </w:rPr>
        <w:t>（四）解除合同时，合同尚未履行的部分终止履行；对于乙方已履行的部分，甲乙双方区分情形，按照以下约定办理：</w:t>
      </w:r>
    </w:p>
    <w:p w14:paraId="638AE2EF">
      <w:pPr>
        <w:spacing w:line="560" w:lineRule="exact"/>
        <w:ind w:firstLine="560" w:firstLineChars="200"/>
        <w:jc w:val="left"/>
        <w:rPr>
          <w:rFonts w:asciiTheme="minorEastAsia" w:hAnsiTheme="minorEastAsia" w:eastAsiaTheme="minorEastAsia"/>
          <w:bCs/>
          <w:sz w:val="28"/>
          <w:szCs w:val="28"/>
          <w:highlight w:val="none"/>
        </w:rPr>
      </w:pPr>
      <w:r>
        <w:rPr>
          <w:rFonts w:asciiTheme="minorEastAsia" w:hAnsiTheme="minorEastAsia" w:eastAsiaTheme="minorEastAsia"/>
          <w:bCs/>
          <w:sz w:val="28"/>
          <w:szCs w:val="28"/>
          <w:highlight w:val="none"/>
        </w:rPr>
        <w:t>1.</w:t>
      </w:r>
      <w:r>
        <w:rPr>
          <w:rFonts w:hint="eastAsia" w:asciiTheme="minorEastAsia" w:hAnsiTheme="minorEastAsia" w:eastAsiaTheme="minorEastAsia"/>
          <w:bCs/>
          <w:sz w:val="28"/>
          <w:szCs w:val="28"/>
          <w:highlight w:val="none"/>
        </w:rPr>
        <w:t>合同已履行并验收合格的部分，乙方没有违规违约行为的，甲方应当按照合同办理支付结算；乙方存在违规违约行为的，甲方应当按照本合同约定扣除违规违约赔偿费用后，办理支付结算；</w:t>
      </w:r>
    </w:p>
    <w:p w14:paraId="6308B9F7">
      <w:pPr>
        <w:spacing w:line="560" w:lineRule="exact"/>
        <w:ind w:firstLine="560" w:firstLineChars="200"/>
        <w:jc w:val="left"/>
        <w:rPr>
          <w:rFonts w:asciiTheme="minorEastAsia" w:hAnsiTheme="minorEastAsia" w:eastAsiaTheme="minorEastAsia"/>
          <w:bCs/>
          <w:sz w:val="28"/>
          <w:szCs w:val="28"/>
          <w:highlight w:val="none"/>
        </w:rPr>
      </w:pPr>
      <w:r>
        <w:rPr>
          <w:rFonts w:asciiTheme="minorEastAsia" w:hAnsiTheme="minorEastAsia" w:eastAsiaTheme="minorEastAsia"/>
          <w:bCs/>
          <w:sz w:val="28"/>
          <w:szCs w:val="28"/>
          <w:highlight w:val="none"/>
        </w:rPr>
        <w:t>2.</w:t>
      </w:r>
      <w:r>
        <w:rPr>
          <w:rFonts w:hint="eastAsia" w:asciiTheme="minorEastAsia" w:hAnsiTheme="minorEastAsia" w:eastAsiaTheme="minorEastAsia"/>
          <w:bCs/>
          <w:sz w:val="28"/>
          <w:szCs w:val="28"/>
          <w:highlight w:val="none"/>
        </w:rPr>
        <w:t>合同已履行部分存在质量瑕疵的，甲方有权要求乙方采取修理、重作、更换、双方协商减价等补救措施，验收合格后，按照本项第</w:t>
      </w:r>
      <w:r>
        <w:rPr>
          <w:rFonts w:asciiTheme="minorEastAsia" w:hAnsiTheme="minorEastAsia" w:eastAsiaTheme="minorEastAsia"/>
          <w:bCs/>
          <w:sz w:val="28"/>
          <w:szCs w:val="28"/>
          <w:highlight w:val="none"/>
        </w:rPr>
        <w:t>1条办理支付结算；</w:t>
      </w:r>
    </w:p>
    <w:p w14:paraId="608AEA57">
      <w:pPr>
        <w:spacing w:line="560" w:lineRule="exact"/>
        <w:ind w:firstLine="560" w:firstLineChars="200"/>
        <w:jc w:val="left"/>
        <w:rPr>
          <w:rFonts w:asciiTheme="minorEastAsia" w:hAnsiTheme="minorEastAsia" w:eastAsiaTheme="minorEastAsia"/>
          <w:bCs/>
          <w:sz w:val="28"/>
          <w:szCs w:val="28"/>
          <w:highlight w:val="none"/>
        </w:rPr>
      </w:pPr>
      <w:r>
        <w:rPr>
          <w:rFonts w:asciiTheme="minorEastAsia" w:hAnsiTheme="minorEastAsia" w:eastAsiaTheme="minorEastAsia"/>
          <w:bCs/>
          <w:sz w:val="28"/>
          <w:szCs w:val="28"/>
          <w:highlight w:val="none"/>
        </w:rPr>
        <w:t>3.</w:t>
      </w:r>
      <w:r>
        <w:rPr>
          <w:rFonts w:hint="eastAsia" w:asciiTheme="minorEastAsia" w:hAnsiTheme="minorEastAsia" w:eastAsiaTheme="minorEastAsia"/>
          <w:bCs/>
          <w:sz w:val="28"/>
          <w:szCs w:val="28"/>
          <w:highlight w:val="none"/>
        </w:rPr>
        <w:t>合同已履行部分根据甲方要求经乙方补救后仍未达到合同约定要求的，甲方有权拒绝支付相应的费用；</w:t>
      </w:r>
    </w:p>
    <w:p w14:paraId="157F93DA">
      <w:pPr>
        <w:spacing w:line="560" w:lineRule="exact"/>
        <w:ind w:firstLine="560" w:firstLineChars="200"/>
        <w:jc w:val="left"/>
        <w:rPr>
          <w:rFonts w:asciiTheme="minorEastAsia" w:hAnsiTheme="minorEastAsia" w:eastAsiaTheme="minorEastAsia"/>
          <w:bCs/>
          <w:sz w:val="28"/>
          <w:szCs w:val="28"/>
          <w:highlight w:val="none"/>
        </w:rPr>
      </w:pPr>
      <w:r>
        <w:rPr>
          <w:rFonts w:asciiTheme="minorEastAsia" w:hAnsiTheme="minorEastAsia" w:eastAsiaTheme="minorEastAsia"/>
          <w:bCs/>
          <w:sz w:val="28"/>
          <w:szCs w:val="28"/>
          <w:highlight w:val="none"/>
        </w:rPr>
        <w:t>4.</w:t>
      </w:r>
      <w:r>
        <w:rPr>
          <w:rFonts w:hint="eastAsia" w:asciiTheme="minorEastAsia" w:hAnsiTheme="minorEastAsia" w:eastAsiaTheme="minorEastAsia"/>
          <w:bCs/>
          <w:sz w:val="28"/>
          <w:szCs w:val="28"/>
          <w:highlight w:val="none"/>
        </w:rPr>
        <w:t>乙方对合同解除负有主要过错责任的，甲方有权拒绝接收合同已履行部分物资；</w:t>
      </w:r>
    </w:p>
    <w:p w14:paraId="5AC51B44">
      <w:pPr>
        <w:spacing w:line="560" w:lineRule="exact"/>
        <w:ind w:firstLine="560" w:firstLineChars="200"/>
        <w:jc w:val="left"/>
        <w:rPr>
          <w:rFonts w:asciiTheme="minorEastAsia" w:hAnsiTheme="minorEastAsia" w:eastAsiaTheme="minorEastAsia"/>
          <w:bCs/>
          <w:sz w:val="28"/>
          <w:szCs w:val="28"/>
          <w:highlight w:val="none"/>
        </w:rPr>
      </w:pPr>
      <w:r>
        <w:rPr>
          <w:rFonts w:asciiTheme="minorEastAsia" w:hAnsiTheme="minorEastAsia" w:eastAsiaTheme="minorEastAsia"/>
          <w:bCs/>
          <w:sz w:val="28"/>
          <w:szCs w:val="28"/>
          <w:highlight w:val="none"/>
        </w:rPr>
        <w:t>5.</w:t>
      </w:r>
      <w:r>
        <w:rPr>
          <w:rFonts w:hint="eastAsia" w:asciiTheme="minorEastAsia" w:hAnsiTheme="minorEastAsia" w:eastAsiaTheme="minorEastAsia"/>
          <w:bCs/>
          <w:sz w:val="28"/>
          <w:szCs w:val="28"/>
          <w:highlight w:val="none"/>
        </w:rPr>
        <w:t>合同已履行部分，甲方按照本合同约定拒绝接收的，乙方应当按照法律要求恢复原状。</w:t>
      </w:r>
    </w:p>
    <w:p w14:paraId="2A337D59">
      <w:pPr>
        <w:pStyle w:val="5"/>
        <w:spacing w:before="0" w:after="0" w:line="560" w:lineRule="exact"/>
        <w:ind w:firstLine="560" w:firstLineChars="200"/>
        <w:rPr>
          <w:rFonts w:ascii="黑体" w:hAnsi="黑体" w:cs="黑体"/>
          <w:b w:val="0"/>
          <w:sz w:val="28"/>
          <w:szCs w:val="28"/>
          <w:highlight w:val="none"/>
        </w:rPr>
      </w:pPr>
      <w:bookmarkStart w:id="489" w:name="_Toc8841"/>
      <w:bookmarkStart w:id="490" w:name="_Toc152058271"/>
      <w:bookmarkStart w:id="491" w:name="_Toc8132"/>
      <w:bookmarkStart w:id="492" w:name="_Toc17388"/>
      <w:bookmarkStart w:id="493" w:name="_Toc27225"/>
      <w:bookmarkStart w:id="494" w:name="_Toc18470"/>
      <w:bookmarkStart w:id="495" w:name="_Toc30165"/>
      <w:r>
        <w:rPr>
          <w:rFonts w:hint="eastAsia" w:ascii="黑体" w:hAnsi="黑体" w:cs="黑体"/>
          <w:b w:val="0"/>
          <w:sz w:val="28"/>
          <w:szCs w:val="28"/>
          <w:highlight w:val="none"/>
        </w:rPr>
        <w:t>七、履约监督</w:t>
      </w:r>
      <w:bookmarkEnd w:id="489"/>
      <w:bookmarkEnd w:id="490"/>
      <w:bookmarkEnd w:id="491"/>
      <w:bookmarkEnd w:id="492"/>
      <w:bookmarkEnd w:id="493"/>
      <w:bookmarkEnd w:id="494"/>
      <w:bookmarkEnd w:id="495"/>
    </w:p>
    <w:p w14:paraId="569A2618">
      <w:pPr>
        <w:spacing w:line="560" w:lineRule="exact"/>
        <w:ind w:firstLine="560" w:firstLineChars="200"/>
        <w:jc w:val="left"/>
        <w:rPr>
          <w:rFonts w:asciiTheme="minorEastAsia" w:hAnsiTheme="minorEastAsia" w:eastAsiaTheme="minorEastAsia"/>
          <w:bCs/>
          <w:sz w:val="28"/>
          <w:szCs w:val="28"/>
          <w:highlight w:val="none"/>
        </w:rPr>
      </w:pPr>
      <w:r>
        <w:rPr>
          <w:rFonts w:hint="eastAsia" w:asciiTheme="minorEastAsia" w:hAnsiTheme="minorEastAsia" w:eastAsiaTheme="minorEastAsia"/>
          <w:bCs/>
          <w:sz w:val="28"/>
          <w:szCs w:val="28"/>
          <w:highlight w:val="none"/>
        </w:rPr>
        <w:t>（一）乙方承诺接受甲方对其资质和履约能力进行监管，并保证在其资质和履约能力发生变化时向甲方通报，乙方存在法律规定的丧失或者可能丧失合同履行能力有关情形时，甲方有权中止合同：</w:t>
      </w:r>
    </w:p>
    <w:p w14:paraId="7B71FB1E">
      <w:pPr>
        <w:spacing w:line="560" w:lineRule="exact"/>
        <w:ind w:firstLine="560" w:firstLineChars="200"/>
        <w:jc w:val="left"/>
        <w:rPr>
          <w:rFonts w:asciiTheme="minorEastAsia" w:hAnsiTheme="minorEastAsia" w:eastAsiaTheme="minorEastAsia"/>
          <w:bCs/>
          <w:sz w:val="28"/>
          <w:szCs w:val="28"/>
          <w:highlight w:val="none"/>
        </w:rPr>
      </w:pPr>
      <w:r>
        <w:rPr>
          <w:rFonts w:asciiTheme="minorEastAsia" w:hAnsiTheme="minorEastAsia" w:eastAsiaTheme="minorEastAsia"/>
          <w:bCs/>
          <w:sz w:val="28"/>
          <w:szCs w:val="28"/>
          <w:highlight w:val="none"/>
        </w:rPr>
        <w:t>1.经营状况严重恶化的；</w:t>
      </w:r>
    </w:p>
    <w:p w14:paraId="6B0CD323">
      <w:pPr>
        <w:spacing w:line="560" w:lineRule="exact"/>
        <w:ind w:firstLine="560" w:firstLineChars="200"/>
        <w:jc w:val="left"/>
        <w:rPr>
          <w:rFonts w:asciiTheme="minorEastAsia" w:hAnsiTheme="minorEastAsia" w:eastAsiaTheme="minorEastAsia"/>
          <w:bCs/>
          <w:sz w:val="28"/>
          <w:szCs w:val="28"/>
          <w:highlight w:val="none"/>
        </w:rPr>
      </w:pPr>
      <w:r>
        <w:rPr>
          <w:rFonts w:asciiTheme="minorEastAsia" w:hAnsiTheme="minorEastAsia" w:eastAsiaTheme="minorEastAsia"/>
          <w:bCs/>
          <w:sz w:val="28"/>
          <w:szCs w:val="28"/>
          <w:highlight w:val="none"/>
        </w:rPr>
        <w:t>2.转移财产、抽逃资金，以逃避债务的；</w:t>
      </w:r>
    </w:p>
    <w:p w14:paraId="287B98A1">
      <w:pPr>
        <w:spacing w:line="560" w:lineRule="exact"/>
        <w:ind w:firstLine="560" w:firstLineChars="200"/>
        <w:jc w:val="left"/>
        <w:rPr>
          <w:rFonts w:asciiTheme="minorEastAsia" w:hAnsiTheme="minorEastAsia" w:eastAsiaTheme="minorEastAsia"/>
          <w:bCs/>
          <w:sz w:val="28"/>
          <w:szCs w:val="28"/>
          <w:highlight w:val="none"/>
        </w:rPr>
      </w:pPr>
      <w:r>
        <w:rPr>
          <w:rFonts w:asciiTheme="minorEastAsia" w:hAnsiTheme="minorEastAsia" w:eastAsiaTheme="minorEastAsia"/>
          <w:bCs/>
          <w:sz w:val="28"/>
          <w:szCs w:val="28"/>
          <w:highlight w:val="none"/>
        </w:rPr>
        <w:t>3.丧失商业信誉的；</w:t>
      </w:r>
    </w:p>
    <w:p w14:paraId="6417B509">
      <w:pPr>
        <w:spacing w:line="560" w:lineRule="exact"/>
        <w:ind w:firstLine="560" w:firstLineChars="200"/>
        <w:jc w:val="left"/>
        <w:rPr>
          <w:rFonts w:asciiTheme="minorEastAsia" w:hAnsiTheme="minorEastAsia" w:eastAsiaTheme="minorEastAsia"/>
          <w:bCs/>
          <w:sz w:val="28"/>
          <w:szCs w:val="28"/>
          <w:highlight w:val="none"/>
        </w:rPr>
      </w:pPr>
      <w:r>
        <w:rPr>
          <w:rFonts w:asciiTheme="minorEastAsia" w:hAnsiTheme="minorEastAsia" w:eastAsiaTheme="minorEastAsia"/>
          <w:bCs/>
          <w:sz w:val="28"/>
          <w:szCs w:val="28"/>
          <w:highlight w:val="none"/>
        </w:rPr>
        <w:t>4.有丧失或者可能丧失履行合同能力的其他情形。</w:t>
      </w:r>
    </w:p>
    <w:p w14:paraId="03CCDB42">
      <w:pPr>
        <w:spacing w:line="560" w:lineRule="exact"/>
        <w:ind w:firstLine="560" w:firstLineChars="200"/>
        <w:jc w:val="left"/>
        <w:rPr>
          <w:rFonts w:asciiTheme="minorEastAsia" w:hAnsiTheme="minorEastAsia" w:eastAsiaTheme="minorEastAsia"/>
          <w:highlight w:val="none"/>
        </w:rPr>
      </w:pPr>
      <w:r>
        <w:rPr>
          <w:rFonts w:hint="eastAsia" w:asciiTheme="minorEastAsia" w:hAnsiTheme="minorEastAsia" w:eastAsiaTheme="minorEastAsia"/>
          <w:bCs/>
          <w:sz w:val="28"/>
          <w:szCs w:val="28"/>
          <w:highlight w:val="none"/>
        </w:rPr>
        <w:t>甲方中止合同的，应当及时通知乙方。乙方提供适当担保的，甲方应当恢复履行。如果乙方在合理期限内未恢复履行能力且未提供适当担保的，甲方有权解除合同，并要求乙方承担违约责任。</w:t>
      </w:r>
    </w:p>
    <w:p w14:paraId="19E3AF9F">
      <w:pPr>
        <w:spacing w:line="560" w:lineRule="exact"/>
        <w:ind w:firstLine="560" w:firstLineChars="200"/>
        <w:jc w:val="left"/>
        <w:rPr>
          <w:rFonts w:asciiTheme="minorEastAsia" w:hAnsiTheme="minorEastAsia" w:eastAsiaTheme="minorEastAsia"/>
          <w:bCs/>
          <w:sz w:val="28"/>
          <w:szCs w:val="28"/>
          <w:highlight w:val="none"/>
        </w:rPr>
      </w:pPr>
      <w:r>
        <w:rPr>
          <w:rFonts w:hint="eastAsia" w:asciiTheme="minorEastAsia" w:hAnsiTheme="minorEastAsia" w:eastAsiaTheme="minorEastAsia"/>
          <w:bCs/>
          <w:sz w:val="28"/>
          <w:szCs w:val="28"/>
          <w:highlight w:val="none"/>
        </w:rPr>
        <w:t>（二）在不妨碍乙方正常生产、作业的情况下，甲方有权不定期对物资生产进度和过程质量管控情况进行监督检查，乙方承诺予以配合，如实反映情况，提供相关材料。</w:t>
      </w:r>
    </w:p>
    <w:p w14:paraId="48C4AB25">
      <w:pPr>
        <w:spacing w:line="560" w:lineRule="exact"/>
        <w:ind w:firstLine="560" w:firstLineChars="200"/>
        <w:jc w:val="left"/>
        <w:rPr>
          <w:rFonts w:asciiTheme="minorEastAsia" w:hAnsiTheme="minorEastAsia" w:eastAsiaTheme="minorEastAsia"/>
          <w:bCs/>
          <w:sz w:val="28"/>
          <w:szCs w:val="28"/>
          <w:highlight w:val="none"/>
        </w:rPr>
      </w:pPr>
      <w:r>
        <w:rPr>
          <w:rFonts w:hint="eastAsia" w:asciiTheme="minorEastAsia" w:hAnsiTheme="minorEastAsia" w:eastAsiaTheme="minorEastAsia"/>
          <w:bCs/>
          <w:sz w:val="28"/>
          <w:szCs w:val="28"/>
          <w:highlight w:val="none"/>
        </w:rPr>
        <w:t>（三）乙方对于军队采购管理部门、纪检监察部门、审计部门等职能部门开展的调查，承诺予以配合，如实反映情况，提供相关材料。</w:t>
      </w:r>
    </w:p>
    <w:p w14:paraId="088D1F8C">
      <w:pPr>
        <w:spacing w:line="560" w:lineRule="exact"/>
        <w:ind w:firstLine="560" w:firstLineChars="200"/>
        <w:rPr>
          <w:rFonts w:asciiTheme="minorEastAsia" w:hAnsiTheme="minorEastAsia" w:eastAsiaTheme="minorEastAsia"/>
          <w:highlight w:val="none"/>
        </w:rPr>
      </w:pPr>
      <w:r>
        <w:rPr>
          <w:rFonts w:hint="eastAsia" w:asciiTheme="minorEastAsia" w:hAnsiTheme="minorEastAsia" w:eastAsiaTheme="minorEastAsia"/>
          <w:bCs/>
          <w:sz w:val="28"/>
          <w:szCs w:val="28"/>
          <w:highlight w:val="none"/>
        </w:rPr>
        <w:t>（四）</w:t>
      </w:r>
      <w:bookmarkStart w:id="496" w:name="_Hlk129296543"/>
      <w:r>
        <w:rPr>
          <w:rFonts w:hint="eastAsia" w:asciiTheme="minorEastAsia" w:hAnsiTheme="minorEastAsia" w:eastAsiaTheme="minorEastAsia"/>
          <w:bCs/>
          <w:sz w:val="28"/>
          <w:szCs w:val="28"/>
          <w:highlight w:val="none"/>
        </w:rPr>
        <w:t>乙方</w:t>
      </w:r>
      <w:bookmarkEnd w:id="496"/>
      <w:r>
        <w:rPr>
          <w:rFonts w:hint="eastAsia" w:asciiTheme="minorEastAsia" w:hAnsiTheme="minorEastAsia" w:eastAsiaTheme="minorEastAsia"/>
          <w:bCs/>
          <w:sz w:val="28"/>
          <w:szCs w:val="28"/>
          <w:highlight w:val="none"/>
        </w:rPr>
        <w:t>在合同订立、履行过程中，存在违法、违规、违约行为经查实的，承诺愿意无条件接受军队采购管理部门根据军队采购有关规定给予的书面警告、限制参加军队采购活动等处罚。</w:t>
      </w:r>
    </w:p>
    <w:p w14:paraId="619E26F8">
      <w:pPr>
        <w:pStyle w:val="5"/>
        <w:spacing w:before="0" w:after="0" w:line="560" w:lineRule="exact"/>
        <w:ind w:firstLine="560" w:firstLineChars="200"/>
        <w:rPr>
          <w:rFonts w:ascii="黑体" w:hAnsi="黑体" w:cs="黑体"/>
          <w:b w:val="0"/>
          <w:sz w:val="28"/>
          <w:szCs w:val="28"/>
          <w:highlight w:val="none"/>
        </w:rPr>
      </w:pPr>
      <w:bookmarkStart w:id="497" w:name="_Toc152058272"/>
      <w:bookmarkStart w:id="498" w:name="_Toc16037"/>
      <w:bookmarkStart w:id="499" w:name="_Toc9069"/>
      <w:bookmarkStart w:id="500" w:name="_Toc10817"/>
      <w:bookmarkStart w:id="501" w:name="_Toc27796"/>
      <w:bookmarkStart w:id="502" w:name="_Toc29979"/>
      <w:bookmarkStart w:id="503" w:name="_Toc30986"/>
      <w:r>
        <w:rPr>
          <w:rFonts w:hint="eastAsia" w:ascii="黑体" w:hAnsi="黑体" w:cs="黑体"/>
          <w:b w:val="0"/>
          <w:sz w:val="28"/>
          <w:szCs w:val="28"/>
          <w:highlight w:val="none"/>
        </w:rPr>
        <w:t>八、转包与分包</w:t>
      </w:r>
      <w:bookmarkEnd w:id="497"/>
      <w:bookmarkEnd w:id="498"/>
      <w:bookmarkEnd w:id="499"/>
      <w:bookmarkEnd w:id="500"/>
      <w:bookmarkEnd w:id="501"/>
      <w:bookmarkEnd w:id="502"/>
      <w:bookmarkEnd w:id="503"/>
    </w:p>
    <w:p w14:paraId="3B1BEFB5">
      <w:pPr>
        <w:spacing w:line="560" w:lineRule="exact"/>
        <w:ind w:firstLine="560" w:firstLineChars="200"/>
        <w:rPr>
          <w:rFonts w:asciiTheme="minorEastAsia" w:hAnsiTheme="minorEastAsia" w:eastAsiaTheme="minorEastAsia"/>
          <w:bCs/>
          <w:sz w:val="28"/>
          <w:szCs w:val="28"/>
          <w:highlight w:val="none"/>
        </w:rPr>
      </w:pPr>
      <w:r>
        <w:rPr>
          <w:rFonts w:hint="eastAsia" w:asciiTheme="minorEastAsia" w:hAnsiTheme="minorEastAsia" w:eastAsiaTheme="minorEastAsia"/>
          <w:bCs/>
          <w:sz w:val="28"/>
          <w:szCs w:val="28"/>
          <w:highlight w:val="none"/>
        </w:rPr>
        <w:t>（一）乙方不得以任何形式将合同转包。</w:t>
      </w:r>
    </w:p>
    <w:p w14:paraId="6EE2EF1C">
      <w:pPr>
        <w:spacing w:line="560" w:lineRule="exact"/>
        <w:ind w:firstLine="560" w:firstLineChars="200"/>
        <w:rPr>
          <w:rFonts w:asciiTheme="minorEastAsia" w:hAnsiTheme="minorEastAsia" w:eastAsiaTheme="minorEastAsia"/>
          <w:bCs/>
          <w:sz w:val="28"/>
          <w:szCs w:val="28"/>
          <w:highlight w:val="none"/>
        </w:rPr>
      </w:pPr>
      <w:r>
        <w:rPr>
          <w:rFonts w:hint="eastAsia" w:asciiTheme="minorEastAsia" w:hAnsiTheme="minorEastAsia" w:eastAsiaTheme="minorEastAsia"/>
          <w:bCs/>
          <w:sz w:val="28"/>
          <w:szCs w:val="28"/>
          <w:highlight w:val="none"/>
        </w:rPr>
        <w:t>（二）乙方未在报价文件中说明，不得将合同的非主体、非关键性部分或工作分包给他人。</w:t>
      </w:r>
    </w:p>
    <w:p w14:paraId="0AFB211B">
      <w:pPr>
        <w:spacing w:line="560" w:lineRule="exact"/>
        <w:ind w:firstLine="560" w:firstLineChars="200"/>
        <w:rPr>
          <w:rFonts w:asciiTheme="minorEastAsia" w:hAnsiTheme="minorEastAsia" w:eastAsiaTheme="minorEastAsia"/>
          <w:bCs/>
          <w:sz w:val="28"/>
          <w:szCs w:val="28"/>
          <w:highlight w:val="none"/>
        </w:rPr>
      </w:pPr>
      <w:r>
        <w:rPr>
          <w:rFonts w:hint="eastAsia" w:asciiTheme="minorEastAsia" w:hAnsiTheme="minorEastAsia" w:eastAsiaTheme="minorEastAsia"/>
          <w:bCs/>
          <w:sz w:val="28"/>
          <w:szCs w:val="28"/>
          <w:highlight w:val="none"/>
        </w:rPr>
        <w:t>（三）合同分包履行的，乙方应与分包承担主体就分包项目向甲方承担连带责任。</w:t>
      </w:r>
    </w:p>
    <w:p w14:paraId="2BD24BF8">
      <w:pPr>
        <w:pStyle w:val="5"/>
        <w:spacing w:before="0" w:after="0" w:line="560" w:lineRule="exact"/>
        <w:ind w:firstLine="560" w:firstLineChars="200"/>
        <w:rPr>
          <w:rFonts w:ascii="黑体" w:hAnsi="黑体" w:cs="黑体"/>
          <w:b w:val="0"/>
          <w:sz w:val="28"/>
          <w:szCs w:val="28"/>
          <w:highlight w:val="none"/>
        </w:rPr>
      </w:pPr>
      <w:bookmarkStart w:id="504" w:name="_Toc14722"/>
      <w:bookmarkStart w:id="505" w:name="_Toc14451"/>
      <w:bookmarkStart w:id="506" w:name="_Toc23324"/>
      <w:bookmarkStart w:id="507" w:name="_Toc152058273"/>
      <w:bookmarkStart w:id="508" w:name="_Toc3868"/>
      <w:bookmarkStart w:id="509" w:name="_Toc25868"/>
      <w:bookmarkStart w:id="510" w:name="_Toc24041"/>
      <w:r>
        <w:rPr>
          <w:rFonts w:hint="eastAsia" w:ascii="黑体" w:hAnsi="黑体" w:cs="黑体"/>
          <w:b w:val="0"/>
          <w:sz w:val="28"/>
          <w:szCs w:val="28"/>
          <w:highlight w:val="none"/>
        </w:rPr>
        <w:t>九、争议解决方式</w:t>
      </w:r>
      <w:bookmarkEnd w:id="504"/>
      <w:bookmarkEnd w:id="505"/>
      <w:bookmarkEnd w:id="506"/>
      <w:bookmarkEnd w:id="507"/>
      <w:bookmarkEnd w:id="508"/>
      <w:bookmarkEnd w:id="509"/>
      <w:bookmarkEnd w:id="510"/>
    </w:p>
    <w:p w14:paraId="322FDBF2">
      <w:pPr>
        <w:spacing w:line="560" w:lineRule="exact"/>
        <w:ind w:firstLine="560" w:firstLineChars="200"/>
        <w:rPr>
          <w:rFonts w:asciiTheme="minorEastAsia" w:hAnsiTheme="minorEastAsia" w:eastAsiaTheme="minorEastAsia"/>
          <w:bCs/>
          <w:sz w:val="28"/>
          <w:szCs w:val="28"/>
          <w:highlight w:val="none"/>
        </w:rPr>
      </w:pPr>
      <w:r>
        <w:rPr>
          <w:rFonts w:hint="eastAsia" w:asciiTheme="minorEastAsia" w:hAnsiTheme="minorEastAsia" w:eastAsiaTheme="minorEastAsia"/>
          <w:bCs/>
          <w:sz w:val="28"/>
          <w:szCs w:val="28"/>
          <w:highlight w:val="none"/>
        </w:rPr>
        <w:t>合同履行过程中，发生争议时，按照下列方式解决：</w:t>
      </w:r>
    </w:p>
    <w:p w14:paraId="6AFF9F9A">
      <w:pPr>
        <w:spacing w:line="560" w:lineRule="exact"/>
        <w:ind w:firstLine="560" w:firstLineChars="200"/>
        <w:rPr>
          <w:rFonts w:asciiTheme="minorEastAsia" w:hAnsiTheme="minorEastAsia" w:eastAsiaTheme="minorEastAsia"/>
          <w:bCs/>
          <w:sz w:val="28"/>
          <w:szCs w:val="28"/>
          <w:highlight w:val="none"/>
        </w:rPr>
      </w:pPr>
      <w:r>
        <w:rPr>
          <w:rFonts w:hint="eastAsia" w:asciiTheme="minorEastAsia" w:hAnsiTheme="minorEastAsia" w:eastAsiaTheme="minorEastAsia"/>
          <w:bCs/>
          <w:sz w:val="28"/>
          <w:szCs w:val="28"/>
          <w:highlight w:val="none"/>
        </w:rPr>
        <w:t>（一）甲方和乙方协商解决。</w:t>
      </w:r>
    </w:p>
    <w:p w14:paraId="0DBD5B5A">
      <w:pPr>
        <w:spacing w:line="560" w:lineRule="exact"/>
        <w:ind w:firstLine="560" w:firstLineChars="200"/>
        <w:rPr>
          <w:rFonts w:asciiTheme="minorEastAsia" w:hAnsiTheme="minorEastAsia" w:eastAsiaTheme="minorEastAsia"/>
          <w:bCs/>
          <w:sz w:val="28"/>
          <w:szCs w:val="28"/>
          <w:highlight w:val="none"/>
        </w:rPr>
      </w:pPr>
      <w:r>
        <w:rPr>
          <w:rFonts w:hint="eastAsia" w:asciiTheme="minorEastAsia" w:hAnsiTheme="minorEastAsia" w:eastAsiaTheme="minorEastAsia"/>
          <w:bCs/>
          <w:sz w:val="28"/>
          <w:szCs w:val="28"/>
          <w:highlight w:val="none"/>
        </w:rPr>
        <w:t>（二）协商不一致的，甲方或者乙方向采购机构负责合同履约的部门反映情况，请求第一次调解处理；第一次调解不成功的，向军级单位</w:t>
      </w:r>
      <w:r>
        <w:rPr>
          <w:rFonts w:asciiTheme="minorEastAsia" w:hAnsiTheme="minorEastAsia" w:eastAsiaTheme="minorEastAsia"/>
          <w:bCs/>
          <w:sz w:val="28"/>
          <w:szCs w:val="28"/>
          <w:highlight w:val="none"/>
        </w:rPr>
        <w:t>采购管理部门或者同等权限的采购管理部门</w:t>
      </w:r>
      <w:r>
        <w:rPr>
          <w:rFonts w:hint="eastAsia" w:asciiTheme="minorEastAsia" w:hAnsiTheme="minorEastAsia" w:eastAsiaTheme="minorEastAsia"/>
          <w:bCs/>
          <w:sz w:val="28"/>
          <w:szCs w:val="28"/>
          <w:highlight w:val="none"/>
        </w:rPr>
        <w:t>请求第二次调解处理。</w:t>
      </w:r>
    </w:p>
    <w:p w14:paraId="4118C87F">
      <w:pPr>
        <w:pStyle w:val="5"/>
        <w:spacing w:before="0" w:after="0" w:line="560" w:lineRule="exact"/>
        <w:ind w:firstLine="560" w:firstLineChars="200"/>
        <w:rPr>
          <w:rFonts w:ascii="黑体" w:hAnsi="黑体" w:cs="黑体"/>
          <w:b w:val="0"/>
          <w:sz w:val="28"/>
          <w:szCs w:val="28"/>
          <w:highlight w:val="none"/>
        </w:rPr>
      </w:pPr>
      <w:bookmarkStart w:id="511" w:name="_Toc28170"/>
      <w:bookmarkStart w:id="512" w:name="_Toc5419"/>
      <w:bookmarkStart w:id="513" w:name="_Toc152058274"/>
      <w:bookmarkStart w:id="514" w:name="_Toc26961"/>
      <w:bookmarkStart w:id="515" w:name="_Toc13405"/>
      <w:bookmarkStart w:id="516" w:name="_Toc18901"/>
      <w:bookmarkStart w:id="517" w:name="_Toc23506"/>
      <w:r>
        <w:rPr>
          <w:rFonts w:hint="eastAsia" w:ascii="黑体" w:hAnsi="黑体" w:cs="黑体"/>
          <w:b w:val="0"/>
          <w:sz w:val="28"/>
          <w:szCs w:val="28"/>
          <w:highlight w:val="none"/>
        </w:rPr>
        <w:t>十、组成合同的文件</w:t>
      </w:r>
      <w:bookmarkEnd w:id="511"/>
      <w:bookmarkEnd w:id="512"/>
      <w:bookmarkEnd w:id="513"/>
      <w:bookmarkEnd w:id="514"/>
      <w:bookmarkEnd w:id="515"/>
      <w:bookmarkEnd w:id="516"/>
      <w:bookmarkEnd w:id="517"/>
    </w:p>
    <w:p w14:paraId="0B90B9CD">
      <w:pPr>
        <w:adjustRightInd w:val="0"/>
        <w:snapToGrid w:val="0"/>
        <w:spacing w:line="560" w:lineRule="exact"/>
        <w:ind w:firstLine="560" w:firstLineChars="200"/>
        <w:rPr>
          <w:rFonts w:asciiTheme="minorEastAsia" w:hAnsiTheme="minorEastAsia" w:eastAsiaTheme="minorEastAsia"/>
          <w:sz w:val="28"/>
          <w:szCs w:val="28"/>
          <w:highlight w:val="none"/>
        </w:rPr>
      </w:pPr>
      <w:r>
        <w:rPr>
          <w:rFonts w:hint="eastAsia" w:cs="宋体" w:asciiTheme="minorEastAsia" w:hAnsiTheme="minorEastAsia" w:eastAsiaTheme="minorEastAsia"/>
          <w:bCs/>
          <w:sz w:val="28"/>
          <w:szCs w:val="28"/>
          <w:highlight w:val="none"/>
        </w:rPr>
        <w:t>组成本合同的文件及优先解释顺序如下：</w:t>
      </w:r>
    </w:p>
    <w:p w14:paraId="51333062">
      <w:pPr>
        <w:adjustRightInd w:val="0"/>
        <w:snapToGrid w:val="0"/>
        <w:spacing w:line="560" w:lineRule="exact"/>
        <w:ind w:firstLine="560" w:firstLineChars="200"/>
        <w:rPr>
          <w:rFonts w:asciiTheme="minorEastAsia" w:hAnsiTheme="minorEastAsia" w:eastAsiaTheme="minorEastAsia"/>
          <w:sz w:val="28"/>
          <w:szCs w:val="28"/>
          <w:highlight w:val="none"/>
        </w:rPr>
      </w:pPr>
      <w:bookmarkStart w:id="518" w:name="_Hlk129327321"/>
      <w:r>
        <w:rPr>
          <w:rFonts w:hint="eastAsia" w:asciiTheme="minorEastAsia" w:hAnsiTheme="minorEastAsia" w:eastAsiaTheme="minorEastAsia"/>
          <w:sz w:val="28"/>
          <w:szCs w:val="28"/>
          <w:highlight w:val="none"/>
        </w:rPr>
        <w:t>（一）</w:t>
      </w:r>
      <w:bookmarkEnd w:id="518"/>
      <w:r>
        <w:rPr>
          <w:rFonts w:hint="eastAsia" w:asciiTheme="minorEastAsia" w:hAnsiTheme="minorEastAsia" w:eastAsiaTheme="minorEastAsia"/>
          <w:sz w:val="28"/>
          <w:szCs w:val="28"/>
          <w:highlight w:val="none"/>
        </w:rPr>
        <w:t>在采购</w:t>
      </w:r>
      <w:bookmarkStart w:id="519" w:name="_Hlk129296191"/>
      <w:r>
        <w:rPr>
          <w:rFonts w:hint="eastAsia" w:asciiTheme="minorEastAsia" w:hAnsiTheme="minorEastAsia" w:eastAsiaTheme="minorEastAsia"/>
          <w:sz w:val="28"/>
          <w:szCs w:val="28"/>
          <w:highlight w:val="none"/>
        </w:rPr>
        <w:t>过程中</w:t>
      </w:r>
      <w:bookmarkEnd w:id="519"/>
      <w:r>
        <w:rPr>
          <w:rFonts w:hint="eastAsia" w:asciiTheme="minorEastAsia" w:hAnsiTheme="minorEastAsia" w:eastAsiaTheme="minorEastAsia"/>
          <w:sz w:val="28"/>
          <w:szCs w:val="28"/>
          <w:highlight w:val="none"/>
        </w:rPr>
        <w:t>乙方作出的承诺，或合同履行过程中双方协商达成的变更或补充协议；</w:t>
      </w:r>
    </w:p>
    <w:p w14:paraId="765F93C8">
      <w:pPr>
        <w:adjustRightInd w:val="0"/>
        <w:snapToGrid w:val="0"/>
        <w:spacing w:line="560" w:lineRule="exact"/>
        <w:ind w:firstLine="560" w:firstLineChars="200"/>
        <w:rPr>
          <w:rFonts w:asciiTheme="minorEastAsia" w:hAnsiTheme="minorEastAsia" w:eastAsiaTheme="minorEastAsia"/>
          <w:sz w:val="28"/>
          <w:szCs w:val="28"/>
          <w:highlight w:val="none"/>
        </w:rPr>
      </w:pPr>
      <w:r>
        <w:rPr>
          <w:rFonts w:hint="eastAsia" w:asciiTheme="minorEastAsia" w:hAnsiTheme="minorEastAsia" w:eastAsiaTheme="minorEastAsia"/>
          <w:sz w:val="28"/>
          <w:szCs w:val="28"/>
          <w:highlight w:val="none"/>
        </w:rPr>
        <w:t>（二）成交通知书；</w:t>
      </w:r>
    </w:p>
    <w:p w14:paraId="1E6D5133">
      <w:pPr>
        <w:adjustRightInd w:val="0"/>
        <w:snapToGrid w:val="0"/>
        <w:spacing w:line="560" w:lineRule="exact"/>
        <w:ind w:firstLine="560" w:firstLineChars="200"/>
        <w:rPr>
          <w:rFonts w:asciiTheme="minorEastAsia" w:hAnsiTheme="minorEastAsia" w:eastAsiaTheme="minorEastAsia"/>
          <w:sz w:val="28"/>
          <w:szCs w:val="28"/>
          <w:highlight w:val="none"/>
        </w:rPr>
      </w:pPr>
      <w:r>
        <w:rPr>
          <w:rFonts w:hint="eastAsia" w:asciiTheme="minorEastAsia" w:hAnsiTheme="minorEastAsia" w:eastAsiaTheme="minorEastAsia"/>
          <w:sz w:val="28"/>
          <w:szCs w:val="28"/>
          <w:highlight w:val="none"/>
        </w:rPr>
        <w:t>（三）报价文件；</w:t>
      </w:r>
    </w:p>
    <w:p w14:paraId="40ECEDE3">
      <w:pPr>
        <w:adjustRightInd w:val="0"/>
        <w:snapToGrid w:val="0"/>
        <w:spacing w:line="560" w:lineRule="exact"/>
        <w:ind w:firstLine="560" w:firstLineChars="200"/>
        <w:rPr>
          <w:rFonts w:asciiTheme="minorEastAsia" w:hAnsiTheme="minorEastAsia" w:eastAsiaTheme="minorEastAsia"/>
          <w:sz w:val="28"/>
          <w:szCs w:val="28"/>
          <w:highlight w:val="none"/>
        </w:rPr>
      </w:pPr>
      <w:r>
        <w:rPr>
          <w:rFonts w:hint="eastAsia" w:asciiTheme="minorEastAsia" w:hAnsiTheme="minorEastAsia" w:eastAsiaTheme="minorEastAsia"/>
          <w:sz w:val="28"/>
          <w:szCs w:val="28"/>
          <w:highlight w:val="none"/>
        </w:rPr>
        <w:t>（四）合同专用条款；</w:t>
      </w:r>
    </w:p>
    <w:p w14:paraId="1AF440D2">
      <w:pPr>
        <w:adjustRightInd w:val="0"/>
        <w:snapToGrid w:val="0"/>
        <w:spacing w:line="560" w:lineRule="exact"/>
        <w:ind w:firstLine="560" w:firstLineChars="200"/>
        <w:rPr>
          <w:rFonts w:asciiTheme="minorEastAsia" w:hAnsiTheme="minorEastAsia" w:eastAsiaTheme="minorEastAsia"/>
          <w:sz w:val="28"/>
          <w:szCs w:val="28"/>
          <w:highlight w:val="none"/>
        </w:rPr>
      </w:pPr>
      <w:r>
        <w:rPr>
          <w:rFonts w:hint="eastAsia" w:asciiTheme="minorEastAsia" w:hAnsiTheme="minorEastAsia" w:eastAsiaTheme="minorEastAsia"/>
          <w:sz w:val="28"/>
          <w:szCs w:val="28"/>
          <w:highlight w:val="none"/>
        </w:rPr>
        <w:t>（五）合同通用条款；</w:t>
      </w:r>
    </w:p>
    <w:p w14:paraId="7D29D47A">
      <w:pPr>
        <w:adjustRightInd w:val="0"/>
        <w:snapToGrid w:val="0"/>
        <w:spacing w:line="560" w:lineRule="exact"/>
        <w:ind w:firstLine="560" w:firstLineChars="200"/>
        <w:rPr>
          <w:rFonts w:asciiTheme="minorEastAsia" w:hAnsiTheme="minorEastAsia" w:eastAsiaTheme="minorEastAsia"/>
          <w:sz w:val="28"/>
          <w:szCs w:val="28"/>
          <w:highlight w:val="none"/>
        </w:rPr>
      </w:pPr>
      <w:r>
        <w:rPr>
          <w:rFonts w:hint="eastAsia" w:asciiTheme="minorEastAsia" w:hAnsiTheme="minorEastAsia" w:eastAsiaTheme="minorEastAsia"/>
          <w:sz w:val="28"/>
          <w:szCs w:val="28"/>
          <w:highlight w:val="none"/>
        </w:rPr>
        <w:t>（六）谈判文件；</w:t>
      </w:r>
    </w:p>
    <w:p w14:paraId="771066E0">
      <w:pPr>
        <w:adjustRightInd w:val="0"/>
        <w:snapToGrid w:val="0"/>
        <w:spacing w:line="560" w:lineRule="exact"/>
        <w:ind w:firstLine="560" w:firstLineChars="200"/>
        <w:rPr>
          <w:rFonts w:asciiTheme="minorEastAsia" w:hAnsiTheme="minorEastAsia" w:eastAsiaTheme="minorEastAsia"/>
          <w:sz w:val="28"/>
          <w:szCs w:val="28"/>
          <w:highlight w:val="none"/>
        </w:rPr>
      </w:pPr>
      <w:r>
        <w:rPr>
          <w:rFonts w:hint="eastAsia" w:asciiTheme="minorEastAsia" w:hAnsiTheme="minorEastAsia" w:eastAsiaTheme="minorEastAsia"/>
          <w:sz w:val="28"/>
          <w:szCs w:val="28"/>
          <w:highlight w:val="none"/>
        </w:rPr>
        <w:t>（七）标准、规范及有关技术文件，图纸；</w:t>
      </w:r>
    </w:p>
    <w:p w14:paraId="00FE4FFE">
      <w:pPr>
        <w:adjustRightInd w:val="0"/>
        <w:snapToGrid w:val="0"/>
        <w:spacing w:line="560" w:lineRule="exact"/>
        <w:ind w:firstLine="560" w:firstLineChars="200"/>
        <w:rPr>
          <w:rFonts w:asciiTheme="minorEastAsia" w:hAnsiTheme="minorEastAsia" w:eastAsiaTheme="minorEastAsia"/>
          <w:sz w:val="28"/>
          <w:szCs w:val="28"/>
          <w:highlight w:val="none"/>
        </w:rPr>
      </w:pPr>
      <w:r>
        <w:rPr>
          <w:rFonts w:hint="eastAsia" w:asciiTheme="minorEastAsia" w:hAnsiTheme="minorEastAsia" w:eastAsiaTheme="minorEastAsia"/>
          <w:sz w:val="28"/>
          <w:szCs w:val="28"/>
          <w:highlight w:val="none"/>
        </w:rPr>
        <w:t>（八）其他合同文件。</w:t>
      </w:r>
    </w:p>
    <w:p w14:paraId="088D5C4C">
      <w:pPr>
        <w:pStyle w:val="5"/>
        <w:spacing w:before="0" w:after="0" w:line="560" w:lineRule="exact"/>
        <w:ind w:firstLine="560" w:firstLineChars="200"/>
        <w:rPr>
          <w:rFonts w:ascii="黑体" w:hAnsi="黑体" w:cs="黑体"/>
          <w:b w:val="0"/>
          <w:sz w:val="28"/>
          <w:szCs w:val="28"/>
          <w:highlight w:val="none"/>
        </w:rPr>
      </w:pPr>
      <w:bookmarkStart w:id="520" w:name="_Toc27830"/>
      <w:bookmarkStart w:id="521" w:name="_Toc11726"/>
      <w:bookmarkStart w:id="522" w:name="_Toc9645"/>
      <w:bookmarkStart w:id="523" w:name="_Toc17157"/>
      <w:bookmarkStart w:id="524" w:name="_Toc31390"/>
      <w:bookmarkStart w:id="525" w:name="_Toc1630"/>
      <w:bookmarkStart w:id="526" w:name="_Toc152058275"/>
      <w:r>
        <w:rPr>
          <w:rFonts w:hint="eastAsia" w:ascii="黑体" w:hAnsi="黑体" w:cs="黑体"/>
          <w:b w:val="0"/>
          <w:sz w:val="28"/>
          <w:szCs w:val="28"/>
          <w:highlight w:val="none"/>
        </w:rPr>
        <w:t>十一、其他</w:t>
      </w:r>
      <w:bookmarkEnd w:id="520"/>
      <w:bookmarkEnd w:id="521"/>
      <w:bookmarkEnd w:id="522"/>
      <w:bookmarkEnd w:id="523"/>
      <w:bookmarkEnd w:id="524"/>
      <w:bookmarkEnd w:id="525"/>
      <w:bookmarkEnd w:id="526"/>
    </w:p>
    <w:p w14:paraId="1EDABED5">
      <w:pPr>
        <w:adjustRightInd w:val="0"/>
        <w:snapToGrid w:val="0"/>
        <w:spacing w:line="560" w:lineRule="exact"/>
        <w:ind w:firstLine="560" w:firstLineChars="200"/>
        <w:rPr>
          <w:rFonts w:asciiTheme="minorEastAsia" w:hAnsiTheme="minorEastAsia" w:eastAsiaTheme="minorEastAsia"/>
          <w:sz w:val="28"/>
          <w:szCs w:val="28"/>
          <w:highlight w:val="none"/>
        </w:rPr>
      </w:pPr>
      <w:r>
        <w:rPr>
          <w:rFonts w:hint="eastAsia" w:asciiTheme="minorEastAsia" w:hAnsiTheme="minorEastAsia" w:eastAsiaTheme="minorEastAsia"/>
          <w:sz w:val="28"/>
          <w:szCs w:val="28"/>
          <w:highlight w:val="none"/>
        </w:rPr>
        <w:t>（一）合同未尽事宜，甲乙双方另行签订补充协议，补充协议是合同的组成部分。</w:t>
      </w:r>
    </w:p>
    <w:p w14:paraId="038812CB">
      <w:pPr>
        <w:spacing w:line="560" w:lineRule="exact"/>
        <w:ind w:firstLine="560" w:firstLineChars="200"/>
        <w:rPr>
          <w:rFonts w:hint="eastAsia" w:asciiTheme="minorEastAsia" w:hAnsiTheme="minorEastAsia" w:eastAsiaTheme="minorEastAsia"/>
          <w:sz w:val="28"/>
          <w:szCs w:val="28"/>
          <w:highlight w:val="none"/>
        </w:rPr>
      </w:pPr>
      <w:r>
        <w:rPr>
          <w:rFonts w:hint="eastAsia" w:asciiTheme="minorEastAsia" w:hAnsiTheme="minorEastAsia" w:eastAsiaTheme="minorEastAsia"/>
          <w:sz w:val="28"/>
          <w:szCs w:val="28"/>
          <w:highlight w:val="none"/>
        </w:rPr>
        <w:t>（二）合同备案。甲方按军队合同备案管理规定，报相关部门</w:t>
      </w:r>
      <w:bookmarkStart w:id="527" w:name="_Hlk129328020"/>
      <w:r>
        <w:rPr>
          <w:rFonts w:hint="eastAsia" w:asciiTheme="minorEastAsia" w:hAnsiTheme="minorEastAsia" w:eastAsiaTheme="minorEastAsia"/>
          <w:sz w:val="28"/>
          <w:szCs w:val="28"/>
          <w:highlight w:val="none"/>
        </w:rPr>
        <w:t>备案</w:t>
      </w:r>
      <w:bookmarkEnd w:id="527"/>
      <w:r>
        <w:rPr>
          <w:rFonts w:hint="eastAsia" w:asciiTheme="minorEastAsia" w:hAnsiTheme="minorEastAsia" w:eastAsiaTheme="minorEastAsia"/>
          <w:sz w:val="28"/>
          <w:szCs w:val="28"/>
          <w:highlight w:val="none"/>
        </w:rPr>
        <w:t>。</w:t>
      </w:r>
      <w:bookmarkEnd w:id="440"/>
      <w:bookmarkEnd w:id="441"/>
      <w:bookmarkEnd w:id="442"/>
      <w:bookmarkEnd w:id="443"/>
      <w:bookmarkEnd w:id="444"/>
      <w:bookmarkEnd w:id="445"/>
      <w:bookmarkEnd w:id="446"/>
    </w:p>
    <w:p w14:paraId="787659F3">
      <w:pPr>
        <w:spacing w:line="560" w:lineRule="exact"/>
        <w:ind w:firstLine="560" w:firstLineChars="200"/>
        <w:rPr>
          <w:rFonts w:hint="eastAsia" w:asciiTheme="minorEastAsia" w:hAnsiTheme="minorEastAsia" w:eastAsiaTheme="minorEastAsia"/>
          <w:sz w:val="28"/>
          <w:szCs w:val="28"/>
          <w:highlight w:val="none"/>
        </w:rPr>
      </w:pPr>
      <w:r>
        <w:rPr>
          <w:rFonts w:hint="eastAsia" w:asciiTheme="minorEastAsia" w:hAnsiTheme="minorEastAsia" w:eastAsiaTheme="minorEastAsia"/>
          <w:sz w:val="28"/>
          <w:szCs w:val="28"/>
          <w:highlight w:val="none"/>
        </w:rPr>
        <w:t>（三）当国家、中央军委、军队系统内部或甲方上级单位出具新的政策、规定、文件等（下统称“新规”），甲方有权按照新规内容即时执行，对此，乙方同意并接受上述新规内容，甲方有权按照新规内容调整或修订本合同涉及相关条款并书面通知（包括书面、电邮、电话等）乙方，乙方自收到通知之日起应当严格执行甲方通知内容，乙方不得拒绝履行通知内容。</w:t>
      </w:r>
    </w:p>
    <w:p w14:paraId="2113EDCC">
      <w:pPr>
        <w:spacing w:line="560" w:lineRule="exact"/>
        <w:ind w:firstLine="560" w:firstLineChars="200"/>
        <w:rPr>
          <w:rFonts w:hint="eastAsia" w:asciiTheme="minorEastAsia" w:hAnsiTheme="minorEastAsia" w:eastAsiaTheme="minorEastAsia"/>
          <w:sz w:val="28"/>
          <w:szCs w:val="28"/>
          <w:highlight w:val="none"/>
        </w:rPr>
      </w:pPr>
    </w:p>
    <w:p w14:paraId="5F87C75C">
      <w:pPr>
        <w:widowControl/>
        <w:ind w:firstLine="880" w:firstLineChars="200"/>
        <w:jc w:val="left"/>
        <w:rPr>
          <w:bCs/>
          <w:sz w:val="44"/>
          <w:szCs w:val="44"/>
          <w:highlight w:val="none"/>
        </w:rPr>
        <w:sectPr>
          <w:headerReference r:id="rId13" w:type="first"/>
          <w:headerReference r:id="rId11" w:type="default"/>
          <w:headerReference r:id="rId12" w:type="even"/>
          <w:pgSz w:w="11906" w:h="16838"/>
          <w:pgMar w:top="1418" w:right="1134" w:bottom="1418" w:left="1418" w:header="851" w:footer="851" w:gutter="0"/>
          <w:pgNumType w:fmt="decimal"/>
          <w:cols w:space="720" w:num="1"/>
        </w:sectPr>
      </w:pPr>
      <w:bookmarkStart w:id="528" w:name="_Toc112317784"/>
      <w:r>
        <w:rPr>
          <w:bCs/>
          <w:sz w:val="44"/>
          <w:szCs w:val="44"/>
          <w:highlight w:val="none"/>
        </w:rPr>
        <w:br w:type="page"/>
      </w:r>
    </w:p>
    <w:p w14:paraId="2AE2982A">
      <w:pPr>
        <w:pStyle w:val="4"/>
        <w:keepNext w:val="0"/>
        <w:keepLines w:val="0"/>
        <w:adjustRightInd w:val="0"/>
        <w:snapToGrid w:val="0"/>
        <w:spacing w:line="560" w:lineRule="exact"/>
        <w:jc w:val="center"/>
        <w:rPr>
          <w:b w:val="0"/>
          <w:szCs w:val="44"/>
          <w:highlight w:val="none"/>
          <w:lang w:val="zh-CN"/>
        </w:rPr>
      </w:pPr>
      <w:bookmarkStart w:id="529" w:name="_Toc17705"/>
      <w:bookmarkStart w:id="530" w:name="_Toc5265"/>
      <w:bookmarkStart w:id="531" w:name="_Toc16570"/>
      <w:bookmarkStart w:id="532" w:name="_Toc30978"/>
      <w:bookmarkStart w:id="533" w:name="_Toc28538"/>
      <w:bookmarkStart w:id="534" w:name="_Toc11210"/>
      <w:bookmarkStart w:id="535" w:name="_Toc10216"/>
      <w:bookmarkStart w:id="536" w:name="_Toc4404"/>
      <w:bookmarkStart w:id="537" w:name="_Toc152058276"/>
      <w:bookmarkStart w:id="538" w:name="_Toc25770"/>
      <w:bookmarkStart w:id="539" w:name="_Toc9985"/>
      <w:bookmarkStart w:id="540" w:name="_Toc112768455"/>
      <w:bookmarkStart w:id="541" w:name="_Toc3796"/>
      <w:r>
        <w:rPr>
          <w:rFonts w:hint="eastAsia"/>
          <w:b w:val="0"/>
          <w:szCs w:val="44"/>
          <w:highlight w:val="none"/>
          <w:lang w:val="zh-CN"/>
        </w:rPr>
        <w:t>第三章</w:t>
      </w:r>
      <w:r>
        <w:rPr>
          <w:b w:val="0"/>
          <w:szCs w:val="44"/>
          <w:highlight w:val="none"/>
          <w:lang w:val="zh-CN"/>
        </w:rPr>
        <w:t xml:space="preserve"> </w:t>
      </w:r>
      <w:bookmarkStart w:id="542" w:name="_Hlk112353117"/>
      <w:r>
        <w:rPr>
          <w:rFonts w:hint="eastAsia"/>
          <w:b w:val="0"/>
          <w:szCs w:val="44"/>
          <w:highlight w:val="none"/>
          <w:lang w:val="zh-CN"/>
        </w:rPr>
        <w:t>报价文件内容及格式</w:t>
      </w:r>
      <w:bookmarkEnd w:id="528"/>
      <w:bookmarkEnd w:id="529"/>
      <w:bookmarkEnd w:id="530"/>
      <w:bookmarkEnd w:id="531"/>
      <w:bookmarkEnd w:id="532"/>
      <w:bookmarkEnd w:id="533"/>
      <w:bookmarkEnd w:id="534"/>
      <w:bookmarkEnd w:id="535"/>
      <w:bookmarkEnd w:id="536"/>
      <w:bookmarkEnd w:id="537"/>
      <w:bookmarkEnd w:id="538"/>
      <w:bookmarkEnd w:id="539"/>
      <w:bookmarkEnd w:id="540"/>
      <w:bookmarkEnd w:id="541"/>
      <w:bookmarkEnd w:id="542"/>
    </w:p>
    <w:p w14:paraId="65024F12">
      <w:pPr>
        <w:spacing w:line="560" w:lineRule="exact"/>
        <w:ind w:firstLine="560" w:firstLineChars="200"/>
        <w:rPr>
          <w:bCs/>
          <w:sz w:val="28"/>
          <w:szCs w:val="28"/>
          <w:highlight w:val="none"/>
        </w:rPr>
      </w:pPr>
      <w:r>
        <w:rPr>
          <w:rFonts w:hint="eastAsia"/>
          <w:bCs/>
          <w:sz w:val="28"/>
          <w:szCs w:val="28"/>
          <w:highlight w:val="none"/>
        </w:rPr>
        <w:t>报价文件分为“价格文件”“商务技术文件”和“资格证明文件”，包括但不限于本章所述内容，本章提供格式文件的请按格式要求制作。</w:t>
      </w:r>
    </w:p>
    <w:p w14:paraId="4B75FD78">
      <w:pPr>
        <w:spacing w:line="560" w:lineRule="exact"/>
        <w:ind w:firstLine="560" w:firstLineChars="200"/>
        <w:rPr>
          <w:bCs/>
          <w:highlight w:val="none"/>
        </w:rPr>
      </w:pPr>
      <w:r>
        <w:rPr>
          <w:rFonts w:hint="eastAsia"/>
          <w:bCs/>
          <w:sz w:val="28"/>
          <w:szCs w:val="28"/>
          <w:highlight w:val="none"/>
        </w:rPr>
        <w:t>报价供应商制作报价文件时，应当对照《资格性审查表》《符合性审查表》《商务评审标准表》《技术评审标准表》提供尽可能详细的证明</w:t>
      </w:r>
      <w:r>
        <w:rPr>
          <w:rFonts w:hint="eastAsia" w:ascii="宋体" w:hAnsi="宋体"/>
          <w:bCs/>
          <w:sz w:val="28"/>
          <w:szCs w:val="28"/>
          <w:highlight w:val="none"/>
        </w:rPr>
        <w:t>材料</w:t>
      </w:r>
      <w:r>
        <w:rPr>
          <w:rFonts w:hint="eastAsia"/>
          <w:bCs/>
          <w:sz w:val="28"/>
          <w:szCs w:val="28"/>
          <w:highlight w:val="none"/>
        </w:rPr>
        <w:t>。</w:t>
      </w:r>
    </w:p>
    <w:p w14:paraId="4B29DDFA">
      <w:pPr>
        <w:widowControl/>
        <w:ind w:firstLine="420" w:firstLineChars="200"/>
        <w:jc w:val="left"/>
        <w:rPr>
          <w:rFonts w:ascii="宋体" w:hAnsi="宋体"/>
          <w:bCs/>
          <w:highlight w:val="none"/>
        </w:rPr>
      </w:pPr>
      <w:r>
        <w:rPr>
          <w:rFonts w:ascii="宋体" w:hAnsi="宋体"/>
          <w:bCs/>
          <w:highlight w:val="none"/>
        </w:rPr>
        <w:br w:type="page"/>
      </w:r>
    </w:p>
    <w:p w14:paraId="57CE14A1">
      <w:pPr>
        <w:spacing w:before="600" w:beforeLines="250" w:after="960" w:afterLines="400" w:line="360" w:lineRule="auto"/>
        <w:jc w:val="center"/>
        <w:rPr>
          <w:rFonts w:ascii="方正小标宋简体" w:eastAsia="方正小标宋简体"/>
          <w:bCs/>
          <w:sz w:val="48"/>
          <w:szCs w:val="48"/>
          <w:highlight w:val="none"/>
        </w:rPr>
      </w:pPr>
    </w:p>
    <w:p w14:paraId="7D603F2C">
      <w:pPr>
        <w:spacing w:before="600" w:beforeLines="250" w:line="480" w:lineRule="auto"/>
        <w:jc w:val="center"/>
        <w:rPr>
          <w:rFonts w:ascii="方正小标宋简体" w:eastAsia="方正小标宋简体"/>
          <w:bCs/>
          <w:sz w:val="44"/>
          <w:szCs w:val="44"/>
          <w:highlight w:val="none"/>
        </w:rPr>
      </w:pPr>
      <w:r>
        <w:rPr>
          <w:rFonts w:hint="eastAsia" w:ascii="方正小标宋简体" w:eastAsia="方正小标宋简体"/>
          <w:bCs/>
          <w:sz w:val="48"/>
          <w:szCs w:val="48"/>
          <w:highlight w:val="none"/>
        </w:rPr>
        <w:t>军队物资类项目竞争性谈判</w:t>
      </w:r>
    </w:p>
    <w:p w14:paraId="0796E116">
      <w:pPr>
        <w:spacing w:after="480" w:afterLines="200"/>
        <w:jc w:val="center"/>
        <w:rPr>
          <w:rFonts w:ascii="方正小标宋简体" w:eastAsia="方正小标宋简体"/>
          <w:bCs/>
          <w:highlight w:val="none"/>
        </w:rPr>
      </w:pPr>
      <w:r>
        <w:rPr>
          <w:rFonts w:hint="eastAsia" w:ascii="方正小标宋简体" w:eastAsia="方正小标宋简体"/>
          <w:bCs/>
          <w:sz w:val="84"/>
          <w:szCs w:val="84"/>
          <w:highlight w:val="none"/>
        </w:rPr>
        <w:t>报 价 文 件</w:t>
      </w:r>
    </w:p>
    <w:p w14:paraId="5E265F05">
      <w:pPr>
        <w:keepNext/>
        <w:keepLines/>
        <w:spacing w:before="260" w:after="260" w:line="416" w:lineRule="auto"/>
        <w:jc w:val="center"/>
        <w:outlineLvl w:val="2"/>
        <w:rPr>
          <w:rFonts w:ascii="方正小标宋简体" w:eastAsia="方正小标宋简体"/>
          <w:bCs/>
          <w:sz w:val="52"/>
          <w:szCs w:val="52"/>
          <w:highlight w:val="none"/>
        </w:rPr>
      </w:pPr>
      <w:bookmarkStart w:id="543" w:name="_Toc81213694"/>
      <w:bookmarkStart w:id="544" w:name="_Toc31016"/>
      <w:bookmarkStart w:id="545" w:name="_Toc32305"/>
      <w:bookmarkStart w:id="546" w:name="_Toc31021"/>
      <w:bookmarkStart w:id="547" w:name="_Toc22599"/>
      <w:bookmarkStart w:id="548" w:name="_Toc152058277"/>
      <w:bookmarkStart w:id="549" w:name="_Toc15993"/>
      <w:bookmarkStart w:id="550" w:name="_Toc28882"/>
      <w:bookmarkStart w:id="551" w:name="_Toc130887486"/>
      <w:bookmarkStart w:id="552" w:name="_Toc17992"/>
      <w:bookmarkStart w:id="553" w:name="_Toc3800"/>
      <w:bookmarkStart w:id="554" w:name="_Toc18151"/>
      <w:bookmarkStart w:id="555" w:name="_Toc8608"/>
      <w:r>
        <w:rPr>
          <w:rFonts w:hint="eastAsia" w:ascii="方正小标宋简体" w:eastAsia="方正小标宋简体"/>
          <w:bCs/>
          <w:sz w:val="52"/>
          <w:szCs w:val="52"/>
          <w:highlight w:val="none"/>
        </w:rPr>
        <w:t>一、</w:t>
      </w:r>
      <w:bookmarkEnd w:id="543"/>
      <w:r>
        <w:rPr>
          <w:rFonts w:hint="eastAsia" w:ascii="方正小标宋简体" w:eastAsia="方正小标宋简体"/>
          <w:bCs/>
          <w:sz w:val="52"/>
          <w:szCs w:val="52"/>
          <w:highlight w:val="none"/>
        </w:rPr>
        <w:t>价格文件</w:t>
      </w:r>
      <w:bookmarkEnd w:id="544"/>
      <w:bookmarkEnd w:id="545"/>
      <w:bookmarkEnd w:id="546"/>
      <w:bookmarkEnd w:id="547"/>
      <w:bookmarkEnd w:id="548"/>
      <w:bookmarkEnd w:id="549"/>
      <w:bookmarkEnd w:id="550"/>
      <w:bookmarkEnd w:id="551"/>
      <w:bookmarkEnd w:id="552"/>
      <w:bookmarkEnd w:id="553"/>
      <w:bookmarkEnd w:id="554"/>
      <w:bookmarkEnd w:id="555"/>
    </w:p>
    <w:p w14:paraId="202E725D">
      <w:pPr>
        <w:adjustRightInd w:val="0"/>
        <w:snapToGrid w:val="0"/>
        <w:spacing w:line="360" w:lineRule="auto"/>
        <w:rPr>
          <w:rFonts w:ascii="方正小标宋简体" w:hAnsi="黑体" w:eastAsia="方正小标宋简体"/>
          <w:bCs/>
          <w:sz w:val="32"/>
          <w:szCs w:val="32"/>
          <w:highlight w:val="none"/>
        </w:rPr>
      </w:pPr>
    </w:p>
    <w:p w14:paraId="1BB8EAE2">
      <w:pPr>
        <w:spacing w:line="560" w:lineRule="exact"/>
        <w:ind w:firstLine="2160" w:firstLineChars="600"/>
        <w:rPr>
          <w:rFonts w:ascii="方正小标宋简体" w:eastAsia="方正小标宋简体"/>
          <w:bCs/>
          <w:sz w:val="36"/>
          <w:szCs w:val="36"/>
          <w:highlight w:val="none"/>
        </w:rPr>
      </w:pPr>
      <w:r>
        <w:rPr>
          <w:rFonts w:hint="eastAsia" w:ascii="方正小标宋简体" w:eastAsia="方正小标宋简体"/>
          <w:bCs/>
          <w:sz w:val="36"/>
          <w:szCs w:val="36"/>
          <w:highlight w:val="none"/>
        </w:rPr>
        <w:t>项目名称：</w:t>
      </w:r>
      <w:r>
        <w:rPr>
          <w:rFonts w:hint="eastAsia" w:ascii="方正小标宋简体" w:eastAsia="方正小标宋简体"/>
          <w:bCs/>
          <w:sz w:val="36"/>
          <w:szCs w:val="36"/>
          <w:highlight w:val="none"/>
          <w:u w:val="single"/>
        </w:rPr>
        <w:t xml:space="preserve">                </w:t>
      </w:r>
    </w:p>
    <w:p w14:paraId="499F8F37">
      <w:pPr>
        <w:spacing w:line="560" w:lineRule="exact"/>
        <w:ind w:firstLine="2160" w:firstLineChars="600"/>
        <w:rPr>
          <w:rFonts w:ascii="方正小标宋简体" w:eastAsia="方正小标宋简体"/>
          <w:bCs/>
          <w:sz w:val="36"/>
          <w:szCs w:val="36"/>
          <w:highlight w:val="none"/>
        </w:rPr>
      </w:pPr>
      <w:r>
        <w:rPr>
          <w:rFonts w:hint="eastAsia" w:ascii="方正小标宋简体" w:eastAsia="方正小标宋简体"/>
          <w:bCs/>
          <w:sz w:val="36"/>
          <w:szCs w:val="36"/>
          <w:highlight w:val="none"/>
        </w:rPr>
        <w:t>项目编号：</w:t>
      </w:r>
      <w:r>
        <w:rPr>
          <w:rFonts w:hint="eastAsia" w:ascii="方正小标宋简体" w:eastAsia="方正小标宋简体"/>
          <w:bCs/>
          <w:sz w:val="36"/>
          <w:szCs w:val="36"/>
          <w:highlight w:val="none"/>
          <w:u w:val="single"/>
        </w:rPr>
        <w:t xml:space="preserve">                </w:t>
      </w:r>
    </w:p>
    <w:p w14:paraId="1BDA3883">
      <w:pPr>
        <w:spacing w:line="560" w:lineRule="exact"/>
        <w:ind w:firstLine="2160" w:firstLineChars="600"/>
        <w:rPr>
          <w:rFonts w:ascii="方正小标宋简体" w:eastAsia="方正小标宋简体"/>
          <w:bCs/>
          <w:sz w:val="36"/>
          <w:szCs w:val="36"/>
          <w:highlight w:val="none"/>
        </w:rPr>
      </w:pPr>
      <w:r>
        <w:rPr>
          <w:rFonts w:hint="eastAsia" w:ascii="方正小标宋简体" w:eastAsia="方正小标宋简体"/>
          <w:bCs/>
          <w:sz w:val="36"/>
          <w:szCs w:val="36"/>
          <w:highlight w:val="none"/>
        </w:rPr>
        <w:t xml:space="preserve">包 </w:t>
      </w:r>
      <w:r>
        <w:rPr>
          <w:rFonts w:ascii="方正小标宋简体" w:eastAsia="方正小标宋简体"/>
          <w:bCs/>
          <w:sz w:val="36"/>
          <w:szCs w:val="36"/>
          <w:highlight w:val="none"/>
        </w:rPr>
        <w:t xml:space="preserve">   </w:t>
      </w:r>
      <w:r>
        <w:rPr>
          <w:rFonts w:hint="eastAsia" w:ascii="方正小标宋简体" w:eastAsia="方正小标宋简体"/>
          <w:bCs/>
          <w:sz w:val="36"/>
          <w:szCs w:val="36"/>
          <w:highlight w:val="none"/>
        </w:rPr>
        <w:t>号：</w:t>
      </w:r>
      <w:r>
        <w:rPr>
          <w:rFonts w:hint="eastAsia" w:ascii="方正小标宋简体" w:eastAsia="方正小标宋简体"/>
          <w:bCs/>
          <w:sz w:val="36"/>
          <w:szCs w:val="36"/>
          <w:highlight w:val="none"/>
          <w:u w:val="single"/>
        </w:rPr>
        <w:t xml:space="preserve">                </w:t>
      </w:r>
    </w:p>
    <w:p w14:paraId="09B45802">
      <w:pPr>
        <w:jc w:val="center"/>
        <w:rPr>
          <w:rFonts w:ascii="方正小标宋简体" w:eastAsia="方正小标宋简体"/>
          <w:bCs/>
          <w:sz w:val="36"/>
          <w:szCs w:val="36"/>
          <w:highlight w:val="none"/>
        </w:rPr>
      </w:pPr>
    </w:p>
    <w:p w14:paraId="113785FA">
      <w:pPr>
        <w:jc w:val="center"/>
        <w:rPr>
          <w:rFonts w:ascii="方正小标宋简体" w:eastAsia="方正小标宋简体"/>
          <w:bCs/>
          <w:sz w:val="36"/>
          <w:szCs w:val="36"/>
          <w:highlight w:val="none"/>
        </w:rPr>
      </w:pPr>
    </w:p>
    <w:p w14:paraId="4A75A0F8">
      <w:pPr>
        <w:jc w:val="center"/>
        <w:rPr>
          <w:rFonts w:ascii="方正小标宋简体" w:eastAsia="方正小标宋简体"/>
          <w:bCs/>
          <w:sz w:val="36"/>
          <w:szCs w:val="36"/>
          <w:highlight w:val="none"/>
        </w:rPr>
      </w:pPr>
    </w:p>
    <w:p w14:paraId="6ABF607B">
      <w:pPr>
        <w:ind w:firstLine="720" w:firstLineChars="200"/>
        <w:jc w:val="center"/>
        <w:rPr>
          <w:rFonts w:ascii="方正小标宋简体" w:eastAsia="方正小标宋简体"/>
          <w:bCs/>
          <w:sz w:val="36"/>
          <w:szCs w:val="36"/>
          <w:highlight w:val="none"/>
        </w:rPr>
      </w:pPr>
      <w:r>
        <w:rPr>
          <w:rFonts w:hint="eastAsia" w:ascii="方正小标宋简体" w:eastAsia="方正小标宋简体"/>
          <w:bCs/>
          <w:sz w:val="36"/>
          <w:szCs w:val="36"/>
          <w:highlight w:val="none"/>
        </w:rPr>
        <w:t>报价供应商：</w:t>
      </w:r>
      <w:r>
        <w:rPr>
          <w:rFonts w:hint="eastAsia" w:ascii="方正小标宋简体" w:eastAsia="方正小标宋简体"/>
          <w:bCs/>
          <w:sz w:val="36"/>
          <w:szCs w:val="36"/>
          <w:highlight w:val="none"/>
          <w:u w:val="single"/>
        </w:rPr>
        <w:t xml:space="preserve">                   </w:t>
      </w:r>
      <w:r>
        <w:rPr>
          <w:rFonts w:hint="eastAsia" w:ascii="方正小标宋简体" w:eastAsia="方正小标宋简体"/>
          <w:bCs/>
          <w:sz w:val="36"/>
          <w:szCs w:val="36"/>
          <w:highlight w:val="none"/>
        </w:rPr>
        <w:t>（盖章）</w:t>
      </w:r>
    </w:p>
    <w:p w14:paraId="2DB5244C">
      <w:pPr>
        <w:spacing w:before="240" w:beforeLines="100"/>
        <w:jc w:val="center"/>
        <w:rPr>
          <w:rFonts w:ascii="方正小标宋简体" w:hAnsi="宋体" w:eastAsia="方正小标宋简体"/>
          <w:bCs/>
          <w:highlight w:val="none"/>
        </w:rPr>
      </w:pPr>
      <w:r>
        <w:rPr>
          <w:rFonts w:hint="eastAsia" w:ascii="方正小标宋简体" w:eastAsia="方正小标宋简体"/>
          <w:bCs/>
          <w:sz w:val="36"/>
          <w:szCs w:val="36"/>
          <w:highlight w:val="none"/>
          <w:u w:val="single"/>
        </w:rPr>
        <w:t xml:space="preserve">    </w:t>
      </w:r>
      <w:r>
        <w:rPr>
          <w:rFonts w:hint="eastAsia" w:ascii="方正小标宋简体" w:eastAsia="方正小标宋简体"/>
          <w:bCs/>
          <w:sz w:val="36"/>
          <w:szCs w:val="36"/>
          <w:highlight w:val="none"/>
        </w:rPr>
        <w:t>年</w:t>
      </w:r>
      <w:r>
        <w:rPr>
          <w:rFonts w:hint="eastAsia" w:ascii="方正小标宋简体" w:eastAsia="方正小标宋简体"/>
          <w:bCs/>
          <w:sz w:val="36"/>
          <w:szCs w:val="36"/>
          <w:highlight w:val="none"/>
          <w:u w:val="single"/>
        </w:rPr>
        <w:t xml:space="preserve">   </w:t>
      </w:r>
      <w:r>
        <w:rPr>
          <w:rFonts w:hint="eastAsia" w:ascii="方正小标宋简体" w:eastAsia="方正小标宋简体"/>
          <w:bCs/>
          <w:sz w:val="36"/>
          <w:szCs w:val="36"/>
          <w:highlight w:val="none"/>
        </w:rPr>
        <w:t>月</w:t>
      </w:r>
      <w:r>
        <w:rPr>
          <w:rFonts w:hint="eastAsia" w:ascii="方正小标宋简体" w:eastAsia="方正小标宋简体"/>
          <w:bCs/>
          <w:sz w:val="36"/>
          <w:szCs w:val="36"/>
          <w:highlight w:val="none"/>
          <w:u w:val="single"/>
        </w:rPr>
        <w:t xml:space="preserve">   </w:t>
      </w:r>
      <w:r>
        <w:rPr>
          <w:rFonts w:hint="eastAsia" w:ascii="方正小标宋简体" w:eastAsia="方正小标宋简体"/>
          <w:bCs/>
          <w:sz w:val="36"/>
          <w:szCs w:val="36"/>
          <w:highlight w:val="none"/>
        </w:rPr>
        <w:t>日</w:t>
      </w:r>
    </w:p>
    <w:p w14:paraId="6F050274">
      <w:pPr>
        <w:spacing w:line="400" w:lineRule="exact"/>
        <w:ind w:firstLine="493" w:firstLineChars="235"/>
        <w:jc w:val="left"/>
        <w:rPr>
          <w:rFonts w:ascii="宋体" w:hAnsi="宋体"/>
          <w:bCs/>
          <w:highlight w:val="none"/>
        </w:rPr>
      </w:pPr>
    </w:p>
    <w:p w14:paraId="3AD4D055">
      <w:pPr>
        <w:spacing w:line="400" w:lineRule="exact"/>
        <w:ind w:firstLine="493" w:firstLineChars="235"/>
        <w:jc w:val="left"/>
        <w:rPr>
          <w:rFonts w:ascii="宋体" w:hAnsi="宋体"/>
          <w:bCs/>
          <w:highlight w:val="none"/>
        </w:rPr>
        <w:sectPr>
          <w:headerReference r:id="rId16" w:type="first"/>
          <w:headerReference r:id="rId14" w:type="default"/>
          <w:headerReference r:id="rId15" w:type="even"/>
          <w:pgSz w:w="11906" w:h="16838"/>
          <w:pgMar w:top="1418" w:right="1134" w:bottom="1418" w:left="1418" w:header="851" w:footer="851" w:gutter="0"/>
          <w:pgNumType w:fmt="decimal"/>
          <w:cols w:space="720" w:num="1"/>
        </w:sectPr>
      </w:pPr>
    </w:p>
    <w:p w14:paraId="03482B70">
      <w:pPr>
        <w:pStyle w:val="6"/>
        <w:spacing w:before="120" w:beforeLines="50" w:after="120" w:afterLines="50" w:line="560" w:lineRule="exact"/>
        <w:rPr>
          <w:b w:val="0"/>
          <w:highlight w:val="none"/>
        </w:rPr>
      </w:pPr>
      <w:bookmarkStart w:id="556" w:name="_Toc27817"/>
      <w:bookmarkStart w:id="557" w:name="_Toc29368"/>
      <w:bookmarkStart w:id="558" w:name="_Toc112768457"/>
      <w:bookmarkStart w:id="559" w:name="_Toc17569"/>
      <w:bookmarkStart w:id="560" w:name="_Toc22837"/>
      <w:bookmarkStart w:id="561" w:name="_Toc12113"/>
      <w:r>
        <w:rPr>
          <w:rFonts w:hint="eastAsia"/>
          <w:b w:val="0"/>
          <w:highlight w:val="none"/>
        </w:rPr>
        <w:t>附件1</w:t>
      </w:r>
      <w:r>
        <w:rPr>
          <w:b w:val="0"/>
          <w:highlight w:val="none"/>
        </w:rPr>
        <w:t xml:space="preserve">-1 </w:t>
      </w:r>
      <w:r>
        <w:rPr>
          <w:rFonts w:hint="eastAsia"/>
          <w:b w:val="0"/>
          <w:highlight w:val="none"/>
        </w:rPr>
        <w:t>报价一览表</w:t>
      </w:r>
      <w:bookmarkEnd w:id="556"/>
      <w:bookmarkEnd w:id="557"/>
      <w:bookmarkEnd w:id="558"/>
      <w:bookmarkEnd w:id="559"/>
      <w:bookmarkEnd w:id="560"/>
      <w:bookmarkEnd w:id="561"/>
    </w:p>
    <w:p w14:paraId="1F75C935">
      <w:pPr>
        <w:spacing w:before="120" w:beforeLines="50" w:after="120" w:afterLines="50" w:line="560" w:lineRule="exact"/>
        <w:jc w:val="center"/>
        <w:rPr>
          <w:rFonts w:ascii="黑体" w:hAnsi="黑体" w:eastAsia="黑体" w:cs="黑体"/>
          <w:bCs/>
          <w:sz w:val="36"/>
          <w:szCs w:val="36"/>
          <w:highlight w:val="none"/>
        </w:rPr>
      </w:pPr>
      <w:r>
        <w:rPr>
          <w:rFonts w:hint="eastAsia" w:ascii="黑体" w:hAnsi="黑体" w:eastAsia="黑体" w:cs="黑体"/>
          <w:bCs/>
          <w:sz w:val="36"/>
          <w:szCs w:val="36"/>
          <w:highlight w:val="none"/>
        </w:rPr>
        <w:t>报价一览表</w:t>
      </w:r>
    </w:p>
    <w:p w14:paraId="0AB3AF35">
      <w:pPr>
        <w:jc w:val="left"/>
        <w:rPr>
          <w:bCs/>
          <w:sz w:val="28"/>
          <w:szCs w:val="28"/>
          <w:highlight w:val="none"/>
        </w:rPr>
      </w:pPr>
      <w:r>
        <w:rPr>
          <w:rFonts w:hint="eastAsia"/>
          <w:bCs/>
          <w:sz w:val="28"/>
          <w:szCs w:val="28"/>
          <w:highlight w:val="none"/>
        </w:rPr>
        <w:t>项目名称：</w:t>
      </w:r>
      <w:r>
        <w:rPr>
          <w:bCs/>
          <w:sz w:val="28"/>
          <w:szCs w:val="28"/>
          <w:highlight w:val="none"/>
          <w:u w:val="single"/>
        </w:rPr>
        <w:t xml:space="preserve">                  </w:t>
      </w:r>
      <w:r>
        <w:rPr>
          <w:rFonts w:hint="eastAsia"/>
          <w:bCs/>
          <w:sz w:val="28"/>
          <w:szCs w:val="28"/>
          <w:highlight w:val="none"/>
        </w:rPr>
        <w:t xml:space="preserve">     项目编号：</w:t>
      </w:r>
      <w:r>
        <w:rPr>
          <w:bCs/>
          <w:sz w:val="28"/>
          <w:szCs w:val="28"/>
          <w:highlight w:val="none"/>
          <w:u w:val="single"/>
        </w:rPr>
        <w:t xml:space="preserve">               </w:t>
      </w:r>
      <w:r>
        <w:rPr>
          <w:rFonts w:hint="eastAsia"/>
          <w:bCs/>
          <w:sz w:val="28"/>
          <w:szCs w:val="28"/>
          <w:highlight w:val="none"/>
        </w:rPr>
        <w:t xml:space="preserve">     包号：</w:t>
      </w:r>
      <w:r>
        <w:rPr>
          <w:bCs/>
          <w:sz w:val="28"/>
          <w:szCs w:val="28"/>
          <w:highlight w:val="none"/>
          <w:u w:val="single"/>
        </w:rPr>
        <w:t xml:space="preserve">             </w:t>
      </w:r>
      <w:r>
        <w:rPr>
          <w:rFonts w:hint="eastAsia"/>
          <w:bCs/>
          <w:sz w:val="28"/>
          <w:szCs w:val="28"/>
          <w:highlight w:val="none"/>
        </w:rPr>
        <w:t xml:space="preserve">     金额单位：元</w:t>
      </w:r>
    </w:p>
    <w:tbl>
      <w:tblPr>
        <w:tblStyle w:val="42"/>
        <w:tblW w:w="141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1"/>
        <w:gridCol w:w="1960"/>
        <w:gridCol w:w="1341"/>
        <w:gridCol w:w="1619"/>
        <w:gridCol w:w="1232"/>
        <w:gridCol w:w="1112"/>
        <w:gridCol w:w="1245"/>
        <w:gridCol w:w="1179"/>
        <w:gridCol w:w="1335"/>
        <w:gridCol w:w="1276"/>
        <w:gridCol w:w="1030"/>
      </w:tblGrid>
      <w:tr w14:paraId="68D4FA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21" w:hRule="atLeast"/>
          <w:jc w:val="center"/>
        </w:trPr>
        <w:tc>
          <w:tcPr>
            <w:tcW w:w="811" w:type="dxa"/>
            <w:tcBorders>
              <w:top w:val="single" w:color="auto" w:sz="4" w:space="0"/>
              <w:left w:val="single" w:color="auto" w:sz="4" w:space="0"/>
              <w:bottom w:val="single" w:color="auto" w:sz="4" w:space="0"/>
              <w:right w:val="single" w:color="auto" w:sz="4" w:space="0"/>
            </w:tcBorders>
            <w:vAlign w:val="center"/>
          </w:tcPr>
          <w:p w14:paraId="4B99A88F">
            <w:pPr>
              <w:jc w:val="center"/>
              <w:rPr>
                <w:rFonts w:ascii="宋体" w:hAnsi="宋体" w:cs="宋体"/>
                <w:bCs/>
                <w:sz w:val="24"/>
                <w:highlight w:val="none"/>
              </w:rPr>
            </w:pPr>
            <w:r>
              <w:rPr>
                <w:rFonts w:hint="eastAsia" w:ascii="宋体" w:hAnsi="宋体" w:cs="宋体"/>
                <w:bCs/>
                <w:sz w:val="24"/>
                <w:highlight w:val="none"/>
              </w:rPr>
              <w:t>序号</w:t>
            </w:r>
          </w:p>
        </w:tc>
        <w:tc>
          <w:tcPr>
            <w:tcW w:w="1960" w:type="dxa"/>
            <w:tcBorders>
              <w:top w:val="single" w:color="auto" w:sz="4" w:space="0"/>
              <w:left w:val="single" w:color="auto" w:sz="4" w:space="0"/>
              <w:bottom w:val="single" w:color="auto" w:sz="4" w:space="0"/>
              <w:right w:val="single" w:color="auto" w:sz="4" w:space="0"/>
            </w:tcBorders>
            <w:vAlign w:val="center"/>
          </w:tcPr>
          <w:p w14:paraId="77C588A3">
            <w:pPr>
              <w:jc w:val="center"/>
              <w:rPr>
                <w:rFonts w:ascii="宋体" w:hAnsi="宋体" w:cs="宋体"/>
                <w:bCs/>
                <w:sz w:val="24"/>
                <w:highlight w:val="none"/>
              </w:rPr>
            </w:pPr>
            <w:r>
              <w:rPr>
                <w:rFonts w:hint="eastAsia" w:ascii="宋体" w:hAnsi="宋体" w:cs="宋体"/>
                <w:bCs/>
                <w:sz w:val="24"/>
                <w:highlight w:val="none"/>
              </w:rPr>
              <w:t>物资名称</w:t>
            </w:r>
          </w:p>
        </w:tc>
        <w:tc>
          <w:tcPr>
            <w:tcW w:w="1341" w:type="dxa"/>
            <w:tcBorders>
              <w:top w:val="single" w:color="auto" w:sz="4" w:space="0"/>
              <w:left w:val="single" w:color="auto" w:sz="4" w:space="0"/>
              <w:bottom w:val="single" w:color="auto" w:sz="4" w:space="0"/>
              <w:right w:val="single" w:color="auto" w:sz="4" w:space="0"/>
            </w:tcBorders>
            <w:vAlign w:val="center"/>
          </w:tcPr>
          <w:p w14:paraId="6B861D7E">
            <w:pPr>
              <w:jc w:val="center"/>
              <w:rPr>
                <w:rFonts w:ascii="宋体" w:hAnsi="宋体" w:cs="宋体"/>
                <w:bCs/>
                <w:sz w:val="24"/>
                <w:highlight w:val="none"/>
              </w:rPr>
            </w:pPr>
            <w:r>
              <w:rPr>
                <w:rFonts w:hint="eastAsia" w:ascii="宋体" w:hAnsi="宋体" w:cs="宋体"/>
                <w:bCs/>
                <w:sz w:val="24"/>
                <w:highlight w:val="none"/>
              </w:rPr>
              <w:t>品牌</w:t>
            </w:r>
          </w:p>
        </w:tc>
        <w:tc>
          <w:tcPr>
            <w:tcW w:w="1619" w:type="dxa"/>
            <w:tcBorders>
              <w:top w:val="single" w:color="auto" w:sz="4" w:space="0"/>
              <w:left w:val="single" w:color="auto" w:sz="4" w:space="0"/>
              <w:bottom w:val="single" w:color="auto" w:sz="4" w:space="0"/>
              <w:right w:val="single" w:color="auto" w:sz="4" w:space="0"/>
            </w:tcBorders>
            <w:vAlign w:val="center"/>
          </w:tcPr>
          <w:p w14:paraId="1719B02B">
            <w:pPr>
              <w:jc w:val="center"/>
              <w:rPr>
                <w:rFonts w:ascii="宋体" w:hAnsi="宋体" w:cs="宋体"/>
                <w:bCs/>
                <w:sz w:val="24"/>
                <w:highlight w:val="none"/>
              </w:rPr>
            </w:pPr>
            <w:r>
              <w:rPr>
                <w:rFonts w:hint="eastAsia" w:ascii="宋体" w:hAnsi="宋体" w:cs="宋体"/>
                <w:bCs/>
                <w:sz w:val="24"/>
                <w:highlight w:val="none"/>
              </w:rPr>
              <w:t>规格型号</w:t>
            </w:r>
          </w:p>
        </w:tc>
        <w:tc>
          <w:tcPr>
            <w:tcW w:w="1232" w:type="dxa"/>
            <w:tcBorders>
              <w:top w:val="single" w:color="auto" w:sz="4" w:space="0"/>
              <w:left w:val="single" w:color="auto" w:sz="4" w:space="0"/>
              <w:bottom w:val="single" w:color="auto" w:sz="4" w:space="0"/>
              <w:right w:val="single" w:color="auto" w:sz="4" w:space="0"/>
            </w:tcBorders>
            <w:vAlign w:val="center"/>
          </w:tcPr>
          <w:p w14:paraId="4B85FEBC">
            <w:pPr>
              <w:jc w:val="center"/>
              <w:rPr>
                <w:rFonts w:ascii="宋体" w:hAnsi="宋体" w:cs="宋体"/>
                <w:bCs/>
                <w:sz w:val="24"/>
                <w:highlight w:val="none"/>
              </w:rPr>
            </w:pPr>
            <w:r>
              <w:rPr>
                <w:rFonts w:hint="eastAsia" w:ascii="宋体" w:hAnsi="宋体" w:cs="宋体"/>
                <w:bCs/>
                <w:sz w:val="24"/>
                <w:highlight w:val="none"/>
              </w:rPr>
              <w:t>计量</w:t>
            </w:r>
          </w:p>
          <w:p w14:paraId="575691D9">
            <w:pPr>
              <w:jc w:val="center"/>
              <w:rPr>
                <w:rFonts w:ascii="宋体" w:hAnsi="宋体" w:cs="宋体"/>
                <w:bCs/>
                <w:sz w:val="24"/>
                <w:highlight w:val="none"/>
              </w:rPr>
            </w:pPr>
            <w:r>
              <w:rPr>
                <w:rFonts w:hint="eastAsia" w:ascii="宋体" w:hAnsi="宋体" w:cs="宋体"/>
                <w:bCs/>
                <w:sz w:val="24"/>
                <w:highlight w:val="none"/>
              </w:rPr>
              <w:t>单位</w:t>
            </w:r>
          </w:p>
        </w:tc>
        <w:tc>
          <w:tcPr>
            <w:tcW w:w="1112" w:type="dxa"/>
            <w:tcBorders>
              <w:top w:val="single" w:color="auto" w:sz="4" w:space="0"/>
              <w:left w:val="single" w:color="auto" w:sz="4" w:space="0"/>
              <w:bottom w:val="single" w:color="auto" w:sz="4" w:space="0"/>
              <w:right w:val="single" w:color="auto" w:sz="4" w:space="0"/>
            </w:tcBorders>
            <w:vAlign w:val="center"/>
          </w:tcPr>
          <w:p w14:paraId="6C1F191C">
            <w:pPr>
              <w:jc w:val="center"/>
              <w:rPr>
                <w:rFonts w:ascii="宋体" w:hAnsi="宋体" w:cs="宋体"/>
                <w:bCs/>
                <w:sz w:val="24"/>
                <w:highlight w:val="none"/>
              </w:rPr>
            </w:pPr>
            <w:r>
              <w:rPr>
                <w:rFonts w:hint="eastAsia" w:ascii="宋体" w:hAnsi="宋体" w:cs="宋体"/>
                <w:bCs/>
                <w:sz w:val="24"/>
                <w:highlight w:val="none"/>
              </w:rPr>
              <w:t>数量</w:t>
            </w:r>
          </w:p>
        </w:tc>
        <w:tc>
          <w:tcPr>
            <w:tcW w:w="1245" w:type="dxa"/>
            <w:tcBorders>
              <w:top w:val="single" w:color="auto" w:sz="4" w:space="0"/>
              <w:left w:val="single" w:color="auto" w:sz="4" w:space="0"/>
              <w:bottom w:val="single" w:color="auto" w:sz="4" w:space="0"/>
              <w:right w:val="single" w:color="auto" w:sz="4" w:space="0"/>
            </w:tcBorders>
            <w:vAlign w:val="center"/>
          </w:tcPr>
          <w:p w14:paraId="19511B5D">
            <w:pPr>
              <w:jc w:val="center"/>
              <w:rPr>
                <w:rFonts w:ascii="宋体" w:hAnsi="宋体" w:cs="宋体"/>
                <w:bCs/>
                <w:sz w:val="24"/>
                <w:highlight w:val="none"/>
              </w:rPr>
            </w:pPr>
            <w:r>
              <w:rPr>
                <w:rFonts w:hint="eastAsia" w:ascii="宋体" w:hAnsi="宋体" w:cs="宋体"/>
                <w:bCs/>
                <w:sz w:val="24"/>
                <w:highlight w:val="none"/>
              </w:rPr>
              <w:t>单价</w:t>
            </w:r>
          </w:p>
          <w:p w14:paraId="005518AF">
            <w:pPr>
              <w:jc w:val="center"/>
              <w:rPr>
                <w:rFonts w:ascii="宋体" w:hAnsi="宋体" w:cs="宋体"/>
                <w:bCs/>
                <w:sz w:val="24"/>
                <w:highlight w:val="none"/>
              </w:rPr>
            </w:pPr>
            <w:r>
              <w:rPr>
                <w:rFonts w:hint="eastAsia" w:ascii="宋体" w:hAnsi="宋体" w:cs="宋体"/>
                <w:bCs/>
                <w:sz w:val="24"/>
                <w:highlight w:val="none"/>
              </w:rPr>
              <w:t>（含税）</w:t>
            </w:r>
          </w:p>
        </w:tc>
        <w:tc>
          <w:tcPr>
            <w:tcW w:w="1179" w:type="dxa"/>
            <w:tcBorders>
              <w:top w:val="single" w:color="auto" w:sz="4" w:space="0"/>
              <w:left w:val="single" w:color="auto" w:sz="4" w:space="0"/>
              <w:bottom w:val="single" w:color="auto" w:sz="4" w:space="0"/>
              <w:right w:val="single" w:color="auto" w:sz="4" w:space="0"/>
            </w:tcBorders>
            <w:vAlign w:val="center"/>
          </w:tcPr>
          <w:p w14:paraId="62401FCA">
            <w:pPr>
              <w:jc w:val="center"/>
              <w:rPr>
                <w:rFonts w:ascii="宋体" w:hAnsi="宋体" w:cs="宋体"/>
                <w:bCs/>
                <w:sz w:val="24"/>
                <w:highlight w:val="none"/>
              </w:rPr>
            </w:pPr>
            <w:r>
              <w:rPr>
                <w:rFonts w:hint="eastAsia" w:ascii="宋体" w:hAnsi="宋体" w:cs="宋体"/>
                <w:bCs/>
                <w:sz w:val="24"/>
                <w:highlight w:val="none"/>
              </w:rPr>
              <w:t>金额</w:t>
            </w:r>
          </w:p>
          <w:p w14:paraId="4C674BDF">
            <w:pPr>
              <w:jc w:val="center"/>
              <w:rPr>
                <w:rFonts w:ascii="宋体" w:hAnsi="宋体" w:cs="宋体"/>
                <w:bCs/>
                <w:spacing w:val="-4"/>
                <w:sz w:val="24"/>
                <w:highlight w:val="none"/>
              </w:rPr>
            </w:pPr>
            <w:r>
              <w:rPr>
                <w:rFonts w:hint="eastAsia" w:ascii="宋体" w:hAnsi="宋体" w:cs="宋体"/>
                <w:bCs/>
                <w:sz w:val="24"/>
                <w:highlight w:val="none"/>
              </w:rPr>
              <w:t>（含税）</w:t>
            </w:r>
          </w:p>
        </w:tc>
        <w:tc>
          <w:tcPr>
            <w:tcW w:w="1335" w:type="dxa"/>
            <w:tcBorders>
              <w:top w:val="single" w:color="auto" w:sz="4" w:space="0"/>
              <w:left w:val="single" w:color="auto" w:sz="4" w:space="0"/>
              <w:bottom w:val="single" w:color="auto" w:sz="4" w:space="0"/>
              <w:right w:val="single" w:color="auto" w:sz="4" w:space="0"/>
            </w:tcBorders>
            <w:vAlign w:val="center"/>
          </w:tcPr>
          <w:p w14:paraId="771D80AA">
            <w:pPr>
              <w:jc w:val="center"/>
              <w:rPr>
                <w:rFonts w:ascii="宋体" w:hAnsi="宋体" w:cs="宋体"/>
                <w:bCs/>
                <w:sz w:val="24"/>
                <w:highlight w:val="none"/>
              </w:rPr>
            </w:pPr>
            <w:r>
              <w:rPr>
                <w:rFonts w:hint="eastAsia" w:ascii="宋体" w:hAnsi="宋体" w:cs="宋体"/>
                <w:bCs/>
                <w:sz w:val="24"/>
                <w:highlight w:val="none"/>
              </w:rPr>
              <w:t>交货时间</w:t>
            </w:r>
          </w:p>
        </w:tc>
        <w:tc>
          <w:tcPr>
            <w:tcW w:w="1276" w:type="dxa"/>
            <w:tcBorders>
              <w:top w:val="single" w:color="auto" w:sz="4" w:space="0"/>
              <w:left w:val="single" w:color="auto" w:sz="4" w:space="0"/>
              <w:bottom w:val="single" w:color="auto" w:sz="4" w:space="0"/>
              <w:right w:val="single" w:color="auto" w:sz="4" w:space="0"/>
            </w:tcBorders>
            <w:vAlign w:val="center"/>
          </w:tcPr>
          <w:p w14:paraId="1B882F00">
            <w:pPr>
              <w:jc w:val="center"/>
              <w:rPr>
                <w:rFonts w:ascii="宋体" w:hAnsi="宋体" w:cs="宋体"/>
                <w:bCs/>
                <w:sz w:val="24"/>
                <w:highlight w:val="none"/>
              </w:rPr>
            </w:pPr>
            <w:r>
              <w:rPr>
                <w:rFonts w:hint="eastAsia" w:ascii="宋体" w:hAnsi="宋体" w:cs="宋体"/>
                <w:bCs/>
                <w:sz w:val="24"/>
                <w:highlight w:val="none"/>
              </w:rPr>
              <w:t>交货地点</w:t>
            </w:r>
          </w:p>
        </w:tc>
        <w:tc>
          <w:tcPr>
            <w:tcW w:w="1030" w:type="dxa"/>
            <w:tcBorders>
              <w:top w:val="single" w:color="auto" w:sz="4" w:space="0"/>
              <w:left w:val="single" w:color="auto" w:sz="4" w:space="0"/>
              <w:bottom w:val="single" w:color="auto" w:sz="4" w:space="0"/>
              <w:right w:val="single" w:color="auto" w:sz="4" w:space="0"/>
            </w:tcBorders>
            <w:vAlign w:val="center"/>
          </w:tcPr>
          <w:p w14:paraId="085D9378">
            <w:pPr>
              <w:jc w:val="center"/>
              <w:rPr>
                <w:rFonts w:ascii="宋体" w:hAnsi="宋体" w:cs="宋体"/>
                <w:bCs/>
                <w:sz w:val="24"/>
                <w:highlight w:val="none"/>
              </w:rPr>
            </w:pPr>
            <w:r>
              <w:rPr>
                <w:rFonts w:hint="eastAsia" w:ascii="宋体" w:hAnsi="宋体" w:cs="宋体"/>
                <w:bCs/>
                <w:sz w:val="24"/>
                <w:highlight w:val="none"/>
              </w:rPr>
              <w:t>备注</w:t>
            </w:r>
          </w:p>
        </w:tc>
      </w:tr>
      <w:tr w14:paraId="3E144D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jc w:val="center"/>
        </w:trPr>
        <w:tc>
          <w:tcPr>
            <w:tcW w:w="811" w:type="dxa"/>
            <w:tcBorders>
              <w:top w:val="single" w:color="auto" w:sz="4" w:space="0"/>
              <w:left w:val="single" w:color="auto" w:sz="4" w:space="0"/>
              <w:bottom w:val="single" w:color="auto" w:sz="4" w:space="0"/>
              <w:right w:val="single" w:color="auto" w:sz="4" w:space="0"/>
            </w:tcBorders>
            <w:vAlign w:val="center"/>
          </w:tcPr>
          <w:p w14:paraId="4DEC6D75">
            <w:pPr>
              <w:rPr>
                <w:bCs/>
                <w:sz w:val="24"/>
                <w:highlight w:val="none"/>
              </w:rPr>
            </w:pPr>
          </w:p>
        </w:tc>
        <w:tc>
          <w:tcPr>
            <w:tcW w:w="1960" w:type="dxa"/>
            <w:tcBorders>
              <w:top w:val="single" w:color="auto" w:sz="4" w:space="0"/>
              <w:left w:val="single" w:color="auto" w:sz="4" w:space="0"/>
              <w:bottom w:val="single" w:color="auto" w:sz="4" w:space="0"/>
              <w:right w:val="single" w:color="auto" w:sz="4" w:space="0"/>
            </w:tcBorders>
            <w:vAlign w:val="center"/>
          </w:tcPr>
          <w:p w14:paraId="6900EDF1">
            <w:pPr>
              <w:rPr>
                <w:bCs/>
                <w:sz w:val="24"/>
                <w:highlight w:val="none"/>
              </w:rPr>
            </w:pPr>
          </w:p>
        </w:tc>
        <w:tc>
          <w:tcPr>
            <w:tcW w:w="1341" w:type="dxa"/>
            <w:tcBorders>
              <w:top w:val="single" w:color="auto" w:sz="4" w:space="0"/>
              <w:left w:val="single" w:color="auto" w:sz="4" w:space="0"/>
              <w:bottom w:val="single" w:color="auto" w:sz="4" w:space="0"/>
              <w:right w:val="single" w:color="auto" w:sz="4" w:space="0"/>
            </w:tcBorders>
            <w:vAlign w:val="center"/>
          </w:tcPr>
          <w:p w14:paraId="68A95327">
            <w:pPr>
              <w:rPr>
                <w:bCs/>
                <w:sz w:val="24"/>
                <w:highlight w:val="none"/>
              </w:rPr>
            </w:pPr>
          </w:p>
        </w:tc>
        <w:tc>
          <w:tcPr>
            <w:tcW w:w="1619" w:type="dxa"/>
            <w:tcBorders>
              <w:top w:val="single" w:color="auto" w:sz="4" w:space="0"/>
              <w:left w:val="single" w:color="auto" w:sz="4" w:space="0"/>
              <w:bottom w:val="single" w:color="auto" w:sz="4" w:space="0"/>
              <w:right w:val="single" w:color="auto" w:sz="4" w:space="0"/>
            </w:tcBorders>
            <w:vAlign w:val="center"/>
          </w:tcPr>
          <w:p w14:paraId="23C687DA">
            <w:pPr>
              <w:rPr>
                <w:bCs/>
                <w:sz w:val="24"/>
                <w:highlight w:val="none"/>
              </w:rPr>
            </w:pPr>
          </w:p>
        </w:tc>
        <w:tc>
          <w:tcPr>
            <w:tcW w:w="1232" w:type="dxa"/>
            <w:tcBorders>
              <w:top w:val="single" w:color="auto" w:sz="4" w:space="0"/>
              <w:left w:val="single" w:color="auto" w:sz="4" w:space="0"/>
              <w:bottom w:val="single" w:color="auto" w:sz="4" w:space="0"/>
              <w:right w:val="single" w:color="auto" w:sz="4" w:space="0"/>
            </w:tcBorders>
            <w:vAlign w:val="center"/>
          </w:tcPr>
          <w:p w14:paraId="53F39C4A">
            <w:pPr>
              <w:rPr>
                <w:bCs/>
                <w:sz w:val="24"/>
                <w:highlight w:val="none"/>
              </w:rPr>
            </w:pPr>
          </w:p>
        </w:tc>
        <w:tc>
          <w:tcPr>
            <w:tcW w:w="1112" w:type="dxa"/>
            <w:tcBorders>
              <w:top w:val="single" w:color="auto" w:sz="4" w:space="0"/>
              <w:left w:val="single" w:color="auto" w:sz="4" w:space="0"/>
              <w:bottom w:val="single" w:color="auto" w:sz="4" w:space="0"/>
              <w:right w:val="single" w:color="auto" w:sz="4" w:space="0"/>
            </w:tcBorders>
            <w:vAlign w:val="center"/>
          </w:tcPr>
          <w:p w14:paraId="3B59C98B">
            <w:pPr>
              <w:rPr>
                <w:bCs/>
                <w:sz w:val="24"/>
                <w:highlight w:val="none"/>
              </w:rPr>
            </w:pPr>
          </w:p>
        </w:tc>
        <w:tc>
          <w:tcPr>
            <w:tcW w:w="1245" w:type="dxa"/>
            <w:tcBorders>
              <w:top w:val="single" w:color="auto" w:sz="4" w:space="0"/>
              <w:left w:val="single" w:color="auto" w:sz="4" w:space="0"/>
              <w:bottom w:val="single" w:color="auto" w:sz="4" w:space="0"/>
              <w:right w:val="single" w:color="auto" w:sz="4" w:space="0"/>
            </w:tcBorders>
            <w:vAlign w:val="center"/>
          </w:tcPr>
          <w:p w14:paraId="7DC7061D">
            <w:pPr>
              <w:rPr>
                <w:bCs/>
                <w:sz w:val="24"/>
                <w:highlight w:val="none"/>
              </w:rPr>
            </w:pPr>
          </w:p>
        </w:tc>
        <w:tc>
          <w:tcPr>
            <w:tcW w:w="1179" w:type="dxa"/>
            <w:tcBorders>
              <w:top w:val="single" w:color="auto" w:sz="4" w:space="0"/>
              <w:left w:val="single" w:color="auto" w:sz="4" w:space="0"/>
              <w:bottom w:val="single" w:color="auto" w:sz="4" w:space="0"/>
              <w:right w:val="single" w:color="auto" w:sz="4" w:space="0"/>
            </w:tcBorders>
            <w:vAlign w:val="center"/>
          </w:tcPr>
          <w:p w14:paraId="1D201E73">
            <w:pPr>
              <w:rPr>
                <w:bCs/>
                <w:sz w:val="24"/>
                <w:highlight w:val="none"/>
              </w:rPr>
            </w:pPr>
          </w:p>
        </w:tc>
        <w:tc>
          <w:tcPr>
            <w:tcW w:w="1335" w:type="dxa"/>
            <w:tcBorders>
              <w:top w:val="single" w:color="auto" w:sz="4" w:space="0"/>
              <w:left w:val="single" w:color="auto" w:sz="4" w:space="0"/>
              <w:bottom w:val="single" w:color="auto" w:sz="4" w:space="0"/>
              <w:right w:val="single" w:color="auto" w:sz="4" w:space="0"/>
            </w:tcBorders>
            <w:vAlign w:val="center"/>
          </w:tcPr>
          <w:p w14:paraId="55B4215E">
            <w:pPr>
              <w:rPr>
                <w:bCs/>
                <w:sz w:val="24"/>
                <w:highlight w:val="none"/>
              </w:rPr>
            </w:pPr>
          </w:p>
        </w:tc>
        <w:tc>
          <w:tcPr>
            <w:tcW w:w="1276" w:type="dxa"/>
            <w:tcBorders>
              <w:top w:val="single" w:color="auto" w:sz="4" w:space="0"/>
              <w:left w:val="single" w:color="auto" w:sz="4" w:space="0"/>
              <w:bottom w:val="single" w:color="auto" w:sz="4" w:space="0"/>
              <w:right w:val="single" w:color="auto" w:sz="4" w:space="0"/>
            </w:tcBorders>
            <w:vAlign w:val="center"/>
          </w:tcPr>
          <w:p w14:paraId="477912B9">
            <w:pPr>
              <w:rPr>
                <w:bCs/>
                <w:sz w:val="24"/>
                <w:highlight w:val="none"/>
              </w:rPr>
            </w:pPr>
          </w:p>
        </w:tc>
        <w:tc>
          <w:tcPr>
            <w:tcW w:w="1030" w:type="dxa"/>
            <w:tcBorders>
              <w:top w:val="single" w:color="auto" w:sz="4" w:space="0"/>
              <w:left w:val="single" w:color="auto" w:sz="4" w:space="0"/>
              <w:bottom w:val="single" w:color="auto" w:sz="4" w:space="0"/>
              <w:right w:val="single" w:color="auto" w:sz="4" w:space="0"/>
            </w:tcBorders>
            <w:vAlign w:val="center"/>
          </w:tcPr>
          <w:p w14:paraId="3F1D2B19">
            <w:pPr>
              <w:rPr>
                <w:bCs/>
                <w:sz w:val="24"/>
                <w:highlight w:val="none"/>
              </w:rPr>
            </w:pPr>
          </w:p>
        </w:tc>
      </w:tr>
      <w:tr w14:paraId="124F3E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jc w:val="center"/>
        </w:trPr>
        <w:tc>
          <w:tcPr>
            <w:tcW w:w="811" w:type="dxa"/>
            <w:tcBorders>
              <w:top w:val="single" w:color="auto" w:sz="4" w:space="0"/>
              <w:left w:val="single" w:color="auto" w:sz="4" w:space="0"/>
              <w:bottom w:val="single" w:color="auto" w:sz="4" w:space="0"/>
              <w:right w:val="single" w:color="auto" w:sz="4" w:space="0"/>
            </w:tcBorders>
            <w:vAlign w:val="center"/>
          </w:tcPr>
          <w:p w14:paraId="65463D87">
            <w:pPr>
              <w:rPr>
                <w:bCs/>
                <w:sz w:val="24"/>
                <w:highlight w:val="none"/>
              </w:rPr>
            </w:pPr>
          </w:p>
        </w:tc>
        <w:tc>
          <w:tcPr>
            <w:tcW w:w="1960" w:type="dxa"/>
            <w:tcBorders>
              <w:top w:val="single" w:color="auto" w:sz="4" w:space="0"/>
              <w:left w:val="single" w:color="auto" w:sz="4" w:space="0"/>
              <w:bottom w:val="single" w:color="auto" w:sz="4" w:space="0"/>
              <w:right w:val="single" w:color="auto" w:sz="4" w:space="0"/>
            </w:tcBorders>
            <w:vAlign w:val="center"/>
          </w:tcPr>
          <w:p w14:paraId="7E8AC7BF">
            <w:pPr>
              <w:rPr>
                <w:bCs/>
                <w:sz w:val="24"/>
                <w:highlight w:val="none"/>
              </w:rPr>
            </w:pPr>
          </w:p>
        </w:tc>
        <w:tc>
          <w:tcPr>
            <w:tcW w:w="1341" w:type="dxa"/>
            <w:tcBorders>
              <w:top w:val="single" w:color="auto" w:sz="4" w:space="0"/>
              <w:left w:val="single" w:color="auto" w:sz="4" w:space="0"/>
              <w:bottom w:val="single" w:color="auto" w:sz="4" w:space="0"/>
              <w:right w:val="single" w:color="auto" w:sz="4" w:space="0"/>
            </w:tcBorders>
            <w:vAlign w:val="center"/>
          </w:tcPr>
          <w:p w14:paraId="418BCCAE">
            <w:pPr>
              <w:rPr>
                <w:bCs/>
                <w:sz w:val="24"/>
                <w:highlight w:val="none"/>
              </w:rPr>
            </w:pPr>
          </w:p>
        </w:tc>
        <w:tc>
          <w:tcPr>
            <w:tcW w:w="1619" w:type="dxa"/>
            <w:tcBorders>
              <w:top w:val="single" w:color="auto" w:sz="4" w:space="0"/>
              <w:left w:val="single" w:color="auto" w:sz="4" w:space="0"/>
              <w:bottom w:val="single" w:color="auto" w:sz="4" w:space="0"/>
              <w:right w:val="single" w:color="auto" w:sz="4" w:space="0"/>
            </w:tcBorders>
            <w:vAlign w:val="center"/>
          </w:tcPr>
          <w:p w14:paraId="17B17CE8">
            <w:pPr>
              <w:rPr>
                <w:bCs/>
                <w:sz w:val="24"/>
                <w:highlight w:val="none"/>
              </w:rPr>
            </w:pPr>
          </w:p>
        </w:tc>
        <w:tc>
          <w:tcPr>
            <w:tcW w:w="1232" w:type="dxa"/>
            <w:tcBorders>
              <w:top w:val="single" w:color="auto" w:sz="4" w:space="0"/>
              <w:left w:val="single" w:color="auto" w:sz="4" w:space="0"/>
              <w:bottom w:val="single" w:color="auto" w:sz="4" w:space="0"/>
              <w:right w:val="single" w:color="auto" w:sz="4" w:space="0"/>
            </w:tcBorders>
            <w:vAlign w:val="center"/>
          </w:tcPr>
          <w:p w14:paraId="098E760E">
            <w:pPr>
              <w:rPr>
                <w:bCs/>
                <w:sz w:val="24"/>
                <w:highlight w:val="none"/>
              </w:rPr>
            </w:pPr>
          </w:p>
        </w:tc>
        <w:tc>
          <w:tcPr>
            <w:tcW w:w="1112" w:type="dxa"/>
            <w:tcBorders>
              <w:top w:val="single" w:color="auto" w:sz="4" w:space="0"/>
              <w:left w:val="single" w:color="auto" w:sz="4" w:space="0"/>
              <w:bottom w:val="single" w:color="auto" w:sz="4" w:space="0"/>
              <w:right w:val="single" w:color="auto" w:sz="4" w:space="0"/>
            </w:tcBorders>
            <w:vAlign w:val="center"/>
          </w:tcPr>
          <w:p w14:paraId="513DF0CE">
            <w:pPr>
              <w:rPr>
                <w:bCs/>
                <w:sz w:val="24"/>
                <w:highlight w:val="none"/>
              </w:rPr>
            </w:pPr>
          </w:p>
        </w:tc>
        <w:tc>
          <w:tcPr>
            <w:tcW w:w="1245" w:type="dxa"/>
            <w:tcBorders>
              <w:top w:val="single" w:color="auto" w:sz="4" w:space="0"/>
              <w:left w:val="single" w:color="auto" w:sz="4" w:space="0"/>
              <w:bottom w:val="single" w:color="auto" w:sz="4" w:space="0"/>
              <w:right w:val="single" w:color="auto" w:sz="4" w:space="0"/>
            </w:tcBorders>
            <w:vAlign w:val="center"/>
          </w:tcPr>
          <w:p w14:paraId="2A6A81B0">
            <w:pPr>
              <w:rPr>
                <w:bCs/>
                <w:sz w:val="24"/>
                <w:highlight w:val="none"/>
              </w:rPr>
            </w:pPr>
          </w:p>
        </w:tc>
        <w:tc>
          <w:tcPr>
            <w:tcW w:w="1179" w:type="dxa"/>
            <w:tcBorders>
              <w:top w:val="single" w:color="auto" w:sz="4" w:space="0"/>
              <w:left w:val="single" w:color="auto" w:sz="4" w:space="0"/>
              <w:bottom w:val="single" w:color="auto" w:sz="4" w:space="0"/>
              <w:right w:val="single" w:color="auto" w:sz="4" w:space="0"/>
            </w:tcBorders>
            <w:vAlign w:val="center"/>
          </w:tcPr>
          <w:p w14:paraId="1EA4C6FE">
            <w:pPr>
              <w:rPr>
                <w:bCs/>
                <w:sz w:val="24"/>
                <w:highlight w:val="none"/>
              </w:rPr>
            </w:pPr>
          </w:p>
        </w:tc>
        <w:tc>
          <w:tcPr>
            <w:tcW w:w="1335" w:type="dxa"/>
            <w:tcBorders>
              <w:top w:val="single" w:color="auto" w:sz="4" w:space="0"/>
              <w:left w:val="single" w:color="auto" w:sz="4" w:space="0"/>
              <w:bottom w:val="single" w:color="auto" w:sz="4" w:space="0"/>
              <w:right w:val="single" w:color="auto" w:sz="4" w:space="0"/>
            </w:tcBorders>
            <w:vAlign w:val="center"/>
          </w:tcPr>
          <w:p w14:paraId="62C4CABC">
            <w:pPr>
              <w:rPr>
                <w:bCs/>
                <w:sz w:val="24"/>
                <w:highlight w:val="none"/>
              </w:rPr>
            </w:pPr>
          </w:p>
        </w:tc>
        <w:tc>
          <w:tcPr>
            <w:tcW w:w="1276" w:type="dxa"/>
            <w:tcBorders>
              <w:top w:val="single" w:color="auto" w:sz="4" w:space="0"/>
              <w:left w:val="single" w:color="auto" w:sz="4" w:space="0"/>
              <w:bottom w:val="single" w:color="auto" w:sz="4" w:space="0"/>
              <w:right w:val="single" w:color="auto" w:sz="4" w:space="0"/>
            </w:tcBorders>
            <w:vAlign w:val="center"/>
          </w:tcPr>
          <w:p w14:paraId="291BCA1B">
            <w:pPr>
              <w:rPr>
                <w:bCs/>
                <w:sz w:val="24"/>
                <w:highlight w:val="none"/>
              </w:rPr>
            </w:pPr>
          </w:p>
        </w:tc>
        <w:tc>
          <w:tcPr>
            <w:tcW w:w="1030" w:type="dxa"/>
            <w:tcBorders>
              <w:top w:val="single" w:color="auto" w:sz="4" w:space="0"/>
              <w:left w:val="single" w:color="auto" w:sz="4" w:space="0"/>
              <w:bottom w:val="single" w:color="auto" w:sz="4" w:space="0"/>
              <w:right w:val="single" w:color="auto" w:sz="4" w:space="0"/>
            </w:tcBorders>
            <w:vAlign w:val="center"/>
          </w:tcPr>
          <w:p w14:paraId="5D915580">
            <w:pPr>
              <w:rPr>
                <w:bCs/>
                <w:sz w:val="24"/>
                <w:highlight w:val="none"/>
              </w:rPr>
            </w:pPr>
          </w:p>
        </w:tc>
      </w:tr>
      <w:tr w14:paraId="07DF89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jc w:val="center"/>
        </w:trPr>
        <w:tc>
          <w:tcPr>
            <w:tcW w:w="811" w:type="dxa"/>
            <w:tcBorders>
              <w:top w:val="single" w:color="auto" w:sz="4" w:space="0"/>
              <w:left w:val="single" w:color="auto" w:sz="4" w:space="0"/>
              <w:bottom w:val="single" w:color="auto" w:sz="4" w:space="0"/>
              <w:right w:val="single" w:color="auto" w:sz="4" w:space="0"/>
            </w:tcBorders>
            <w:vAlign w:val="center"/>
          </w:tcPr>
          <w:p w14:paraId="3C5B5160">
            <w:pPr>
              <w:rPr>
                <w:bCs/>
                <w:sz w:val="24"/>
                <w:highlight w:val="none"/>
              </w:rPr>
            </w:pPr>
          </w:p>
        </w:tc>
        <w:tc>
          <w:tcPr>
            <w:tcW w:w="1960" w:type="dxa"/>
            <w:tcBorders>
              <w:top w:val="single" w:color="auto" w:sz="4" w:space="0"/>
              <w:left w:val="single" w:color="auto" w:sz="4" w:space="0"/>
              <w:bottom w:val="single" w:color="auto" w:sz="4" w:space="0"/>
              <w:right w:val="single" w:color="auto" w:sz="4" w:space="0"/>
            </w:tcBorders>
            <w:vAlign w:val="center"/>
          </w:tcPr>
          <w:p w14:paraId="50EED32E">
            <w:pPr>
              <w:rPr>
                <w:bCs/>
                <w:sz w:val="24"/>
                <w:highlight w:val="none"/>
              </w:rPr>
            </w:pPr>
          </w:p>
        </w:tc>
        <w:tc>
          <w:tcPr>
            <w:tcW w:w="1341" w:type="dxa"/>
            <w:tcBorders>
              <w:top w:val="single" w:color="auto" w:sz="4" w:space="0"/>
              <w:left w:val="single" w:color="auto" w:sz="4" w:space="0"/>
              <w:bottom w:val="single" w:color="auto" w:sz="4" w:space="0"/>
              <w:right w:val="single" w:color="auto" w:sz="4" w:space="0"/>
            </w:tcBorders>
            <w:vAlign w:val="center"/>
          </w:tcPr>
          <w:p w14:paraId="596440B9">
            <w:pPr>
              <w:rPr>
                <w:bCs/>
                <w:sz w:val="24"/>
                <w:highlight w:val="none"/>
              </w:rPr>
            </w:pPr>
          </w:p>
        </w:tc>
        <w:tc>
          <w:tcPr>
            <w:tcW w:w="1619" w:type="dxa"/>
            <w:tcBorders>
              <w:top w:val="single" w:color="auto" w:sz="4" w:space="0"/>
              <w:left w:val="single" w:color="auto" w:sz="4" w:space="0"/>
              <w:bottom w:val="single" w:color="auto" w:sz="4" w:space="0"/>
              <w:right w:val="single" w:color="auto" w:sz="4" w:space="0"/>
            </w:tcBorders>
            <w:vAlign w:val="center"/>
          </w:tcPr>
          <w:p w14:paraId="356BDECD">
            <w:pPr>
              <w:rPr>
                <w:bCs/>
                <w:sz w:val="24"/>
                <w:highlight w:val="none"/>
              </w:rPr>
            </w:pPr>
          </w:p>
        </w:tc>
        <w:tc>
          <w:tcPr>
            <w:tcW w:w="1232" w:type="dxa"/>
            <w:tcBorders>
              <w:top w:val="single" w:color="auto" w:sz="4" w:space="0"/>
              <w:left w:val="single" w:color="auto" w:sz="4" w:space="0"/>
              <w:bottom w:val="single" w:color="auto" w:sz="4" w:space="0"/>
              <w:right w:val="single" w:color="auto" w:sz="4" w:space="0"/>
            </w:tcBorders>
            <w:vAlign w:val="center"/>
          </w:tcPr>
          <w:p w14:paraId="556D6E1C">
            <w:pPr>
              <w:rPr>
                <w:bCs/>
                <w:sz w:val="24"/>
                <w:highlight w:val="none"/>
              </w:rPr>
            </w:pPr>
          </w:p>
        </w:tc>
        <w:tc>
          <w:tcPr>
            <w:tcW w:w="1112" w:type="dxa"/>
            <w:tcBorders>
              <w:top w:val="single" w:color="auto" w:sz="4" w:space="0"/>
              <w:left w:val="single" w:color="auto" w:sz="4" w:space="0"/>
              <w:bottom w:val="single" w:color="auto" w:sz="4" w:space="0"/>
              <w:right w:val="single" w:color="auto" w:sz="4" w:space="0"/>
            </w:tcBorders>
            <w:vAlign w:val="center"/>
          </w:tcPr>
          <w:p w14:paraId="045849B5">
            <w:pPr>
              <w:rPr>
                <w:bCs/>
                <w:sz w:val="24"/>
                <w:highlight w:val="none"/>
              </w:rPr>
            </w:pPr>
          </w:p>
        </w:tc>
        <w:tc>
          <w:tcPr>
            <w:tcW w:w="1245" w:type="dxa"/>
            <w:tcBorders>
              <w:top w:val="single" w:color="auto" w:sz="4" w:space="0"/>
              <w:left w:val="single" w:color="auto" w:sz="4" w:space="0"/>
              <w:bottom w:val="single" w:color="auto" w:sz="4" w:space="0"/>
              <w:right w:val="single" w:color="auto" w:sz="4" w:space="0"/>
            </w:tcBorders>
            <w:vAlign w:val="center"/>
          </w:tcPr>
          <w:p w14:paraId="2A92D6A4">
            <w:pPr>
              <w:rPr>
                <w:bCs/>
                <w:sz w:val="24"/>
                <w:highlight w:val="none"/>
              </w:rPr>
            </w:pPr>
          </w:p>
        </w:tc>
        <w:tc>
          <w:tcPr>
            <w:tcW w:w="1179" w:type="dxa"/>
            <w:tcBorders>
              <w:top w:val="single" w:color="auto" w:sz="4" w:space="0"/>
              <w:left w:val="single" w:color="auto" w:sz="4" w:space="0"/>
              <w:bottom w:val="single" w:color="auto" w:sz="4" w:space="0"/>
              <w:right w:val="single" w:color="auto" w:sz="4" w:space="0"/>
            </w:tcBorders>
            <w:vAlign w:val="center"/>
          </w:tcPr>
          <w:p w14:paraId="55C064EB">
            <w:pPr>
              <w:rPr>
                <w:bCs/>
                <w:sz w:val="24"/>
                <w:highlight w:val="none"/>
              </w:rPr>
            </w:pPr>
          </w:p>
        </w:tc>
        <w:tc>
          <w:tcPr>
            <w:tcW w:w="1335" w:type="dxa"/>
            <w:tcBorders>
              <w:top w:val="single" w:color="auto" w:sz="4" w:space="0"/>
              <w:left w:val="single" w:color="auto" w:sz="4" w:space="0"/>
              <w:bottom w:val="single" w:color="auto" w:sz="4" w:space="0"/>
              <w:right w:val="single" w:color="auto" w:sz="4" w:space="0"/>
            </w:tcBorders>
            <w:vAlign w:val="center"/>
          </w:tcPr>
          <w:p w14:paraId="3D1E7DED">
            <w:pPr>
              <w:rPr>
                <w:bCs/>
                <w:sz w:val="24"/>
                <w:highlight w:val="none"/>
              </w:rPr>
            </w:pPr>
          </w:p>
        </w:tc>
        <w:tc>
          <w:tcPr>
            <w:tcW w:w="1276" w:type="dxa"/>
            <w:tcBorders>
              <w:top w:val="single" w:color="auto" w:sz="4" w:space="0"/>
              <w:left w:val="single" w:color="auto" w:sz="4" w:space="0"/>
              <w:bottom w:val="single" w:color="auto" w:sz="4" w:space="0"/>
              <w:right w:val="single" w:color="auto" w:sz="4" w:space="0"/>
            </w:tcBorders>
            <w:vAlign w:val="center"/>
          </w:tcPr>
          <w:p w14:paraId="49B9BEEC">
            <w:pPr>
              <w:rPr>
                <w:bCs/>
                <w:sz w:val="24"/>
                <w:highlight w:val="none"/>
              </w:rPr>
            </w:pPr>
          </w:p>
        </w:tc>
        <w:tc>
          <w:tcPr>
            <w:tcW w:w="1030" w:type="dxa"/>
            <w:tcBorders>
              <w:top w:val="single" w:color="auto" w:sz="4" w:space="0"/>
              <w:left w:val="single" w:color="auto" w:sz="4" w:space="0"/>
              <w:bottom w:val="single" w:color="auto" w:sz="4" w:space="0"/>
              <w:right w:val="single" w:color="auto" w:sz="4" w:space="0"/>
            </w:tcBorders>
            <w:vAlign w:val="center"/>
          </w:tcPr>
          <w:p w14:paraId="29A9A044">
            <w:pPr>
              <w:rPr>
                <w:bCs/>
                <w:sz w:val="24"/>
                <w:highlight w:val="none"/>
              </w:rPr>
            </w:pPr>
          </w:p>
        </w:tc>
      </w:tr>
      <w:tr w14:paraId="3243DF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jc w:val="center"/>
        </w:trPr>
        <w:tc>
          <w:tcPr>
            <w:tcW w:w="2771" w:type="dxa"/>
            <w:gridSpan w:val="2"/>
            <w:tcBorders>
              <w:top w:val="single" w:color="auto" w:sz="4" w:space="0"/>
              <w:left w:val="single" w:color="auto" w:sz="4" w:space="0"/>
              <w:bottom w:val="single" w:color="auto" w:sz="4" w:space="0"/>
              <w:right w:val="single" w:color="auto" w:sz="4" w:space="0"/>
            </w:tcBorders>
            <w:vAlign w:val="center"/>
          </w:tcPr>
          <w:p w14:paraId="7EF3A22B">
            <w:pPr>
              <w:jc w:val="center"/>
              <w:rPr>
                <w:rFonts w:ascii="宋体" w:hAnsi="宋体" w:cs="宋体"/>
                <w:bCs/>
                <w:sz w:val="24"/>
                <w:highlight w:val="none"/>
              </w:rPr>
            </w:pPr>
            <w:r>
              <w:rPr>
                <w:rFonts w:hint="eastAsia" w:ascii="宋体" w:hAnsi="宋体" w:cs="宋体"/>
                <w:bCs/>
                <w:spacing w:val="-4"/>
                <w:sz w:val="24"/>
                <w:highlight w:val="none"/>
              </w:rPr>
              <w:t>合  计</w:t>
            </w:r>
          </w:p>
        </w:tc>
        <w:tc>
          <w:tcPr>
            <w:tcW w:w="1341" w:type="dxa"/>
            <w:tcBorders>
              <w:top w:val="single" w:color="auto" w:sz="4" w:space="0"/>
              <w:left w:val="single" w:color="auto" w:sz="4" w:space="0"/>
              <w:bottom w:val="single" w:color="auto" w:sz="4" w:space="0"/>
              <w:right w:val="single" w:color="auto" w:sz="4" w:space="0"/>
            </w:tcBorders>
            <w:vAlign w:val="center"/>
          </w:tcPr>
          <w:p w14:paraId="44A659ED">
            <w:pPr>
              <w:rPr>
                <w:rFonts w:ascii="宋体" w:hAnsi="宋体" w:cs="宋体"/>
                <w:bCs/>
                <w:sz w:val="24"/>
                <w:highlight w:val="none"/>
              </w:rPr>
            </w:pPr>
          </w:p>
        </w:tc>
        <w:tc>
          <w:tcPr>
            <w:tcW w:w="1619" w:type="dxa"/>
            <w:tcBorders>
              <w:top w:val="single" w:color="auto" w:sz="4" w:space="0"/>
              <w:left w:val="single" w:color="auto" w:sz="4" w:space="0"/>
              <w:bottom w:val="single" w:color="auto" w:sz="4" w:space="0"/>
              <w:right w:val="single" w:color="auto" w:sz="4" w:space="0"/>
            </w:tcBorders>
            <w:vAlign w:val="center"/>
          </w:tcPr>
          <w:p w14:paraId="5F20F0E9">
            <w:pPr>
              <w:rPr>
                <w:rFonts w:ascii="宋体" w:hAnsi="宋体" w:cs="宋体"/>
                <w:bCs/>
                <w:sz w:val="24"/>
                <w:highlight w:val="none"/>
              </w:rPr>
            </w:pPr>
          </w:p>
        </w:tc>
        <w:tc>
          <w:tcPr>
            <w:tcW w:w="1232" w:type="dxa"/>
            <w:tcBorders>
              <w:top w:val="single" w:color="auto" w:sz="4" w:space="0"/>
              <w:left w:val="single" w:color="auto" w:sz="4" w:space="0"/>
              <w:bottom w:val="single" w:color="auto" w:sz="4" w:space="0"/>
              <w:right w:val="single" w:color="auto" w:sz="4" w:space="0"/>
            </w:tcBorders>
            <w:vAlign w:val="center"/>
          </w:tcPr>
          <w:p w14:paraId="3708D627">
            <w:pPr>
              <w:rPr>
                <w:rFonts w:ascii="宋体" w:hAnsi="宋体" w:cs="宋体"/>
                <w:bCs/>
                <w:sz w:val="24"/>
                <w:highlight w:val="none"/>
              </w:rPr>
            </w:pPr>
          </w:p>
        </w:tc>
        <w:tc>
          <w:tcPr>
            <w:tcW w:w="1112" w:type="dxa"/>
            <w:tcBorders>
              <w:top w:val="single" w:color="auto" w:sz="4" w:space="0"/>
              <w:left w:val="single" w:color="auto" w:sz="4" w:space="0"/>
              <w:bottom w:val="single" w:color="auto" w:sz="4" w:space="0"/>
              <w:right w:val="single" w:color="auto" w:sz="4" w:space="0"/>
            </w:tcBorders>
            <w:vAlign w:val="center"/>
          </w:tcPr>
          <w:p w14:paraId="5861815B">
            <w:pPr>
              <w:rPr>
                <w:rFonts w:ascii="宋体" w:hAnsi="宋体" w:cs="宋体"/>
                <w:bCs/>
                <w:sz w:val="24"/>
                <w:highlight w:val="none"/>
              </w:rPr>
            </w:pPr>
          </w:p>
        </w:tc>
        <w:tc>
          <w:tcPr>
            <w:tcW w:w="1245" w:type="dxa"/>
            <w:tcBorders>
              <w:top w:val="single" w:color="auto" w:sz="4" w:space="0"/>
              <w:left w:val="single" w:color="auto" w:sz="4" w:space="0"/>
              <w:bottom w:val="single" w:color="auto" w:sz="4" w:space="0"/>
              <w:right w:val="single" w:color="auto" w:sz="4" w:space="0"/>
            </w:tcBorders>
            <w:vAlign w:val="center"/>
          </w:tcPr>
          <w:p w14:paraId="6C6F7C6F">
            <w:pPr>
              <w:rPr>
                <w:rFonts w:ascii="宋体" w:hAnsi="宋体" w:cs="宋体"/>
                <w:bCs/>
                <w:sz w:val="24"/>
                <w:highlight w:val="none"/>
              </w:rPr>
            </w:pPr>
          </w:p>
        </w:tc>
        <w:tc>
          <w:tcPr>
            <w:tcW w:w="1179" w:type="dxa"/>
            <w:tcBorders>
              <w:top w:val="single" w:color="auto" w:sz="4" w:space="0"/>
              <w:left w:val="single" w:color="auto" w:sz="4" w:space="0"/>
              <w:bottom w:val="single" w:color="auto" w:sz="4" w:space="0"/>
              <w:right w:val="single" w:color="auto" w:sz="4" w:space="0"/>
            </w:tcBorders>
            <w:vAlign w:val="center"/>
          </w:tcPr>
          <w:p w14:paraId="68A6EC32">
            <w:pPr>
              <w:rPr>
                <w:rFonts w:ascii="宋体" w:hAnsi="宋体" w:cs="宋体"/>
                <w:bCs/>
                <w:sz w:val="24"/>
                <w:highlight w:val="none"/>
              </w:rPr>
            </w:pPr>
          </w:p>
        </w:tc>
        <w:tc>
          <w:tcPr>
            <w:tcW w:w="1335" w:type="dxa"/>
            <w:tcBorders>
              <w:top w:val="single" w:color="auto" w:sz="4" w:space="0"/>
              <w:left w:val="single" w:color="auto" w:sz="4" w:space="0"/>
              <w:bottom w:val="single" w:color="auto" w:sz="4" w:space="0"/>
              <w:right w:val="single" w:color="auto" w:sz="4" w:space="0"/>
            </w:tcBorders>
            <w:vAlign w:val="center"/>
          </w:tcPr>
          <w:p w14:paraId="083051EA">
            <w:pPr>
              <w:rPr>
                <w:rFonts w:ascii="宋体" w:hAnsi="宋体" w:cs="宋体"/>
                <w:bCs/>
                <w:sz w:val="24"/>
                <w:highlight w:val="none"/>
              </w:rPr>
            </w:pPr>
          </w:p>
        </w:tc>
        <w:tc>
          <w:tcPr>
            <w:tcW w:w="1276" w:type="dxa"/>
            <w:tcBorders>
              <w:top w:val="single" w:color="auto" w:sz="4" w:space="0"/>
              <w:left w:val="single" w:color="auto" w:sz="4" w:space="0"/>
              <w:bottom w:val="single" w:color="auto" w:sz="4" w:space="0"/>
              <w:right w:val="single" w:color="auto" w:sz="4" w:space="0"/>
            </w:tcBorders>
            <w:vAlign w:val="center"/>
          </w:tcPr>
          <w:p w14:paraId="40E97CE4">
            <w:pPr>
              <w:rPr>
                <w:rFonts w:ascii="宋体" w:hAnsi="宋体" w:cs="宋体"/>
                <w:bCs/>
                <w:sz w:val="24"/>
                <w:highlight w:val="none"/>
              </w:rPr>
            </w:pPr>
          </w:p>
        </w:tc>
        <w:tc>
          <w:tcPr>
            <w:tcW w:w="1030" w:type="dxa"/>
            <w:tcBorders>
              <w:top w:val="single" w:color="auto" w:sz="4" w:space="0"/>
              <w:left w:val="single" w:color="auto" w:sz="4" w:space="0"/>
              <w:bottom w:val="single" w:color="auto" w:sz="4" w:space="0"/>
              <w:right w:val="single" w:color="auto" w:sz="4" w:space="0"/>
            </w:tcBorders>
            <w:vAlign w:val="center"/>
          </w:tcPr>
          <w:p w14:paraId="3884F6FF">
            <w:pPr>
              <w:rPr>
                <w:rFonts w:ascii="宋体" w:hAnsi="宋体" w:cs="宋体"/>
                <w:bCs/>
                <w:sz w:val="24"/>
                <w:highlight w:val="none"/>
              </w:rPr>
            </w:pPr>
          </w:p>
        </w:tc>
      </w:tr>
      <w:tr w14:paraId="02CF0C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0" w:hRule="atLeast"/>
          <w:jc w:val="center"/>
        </w:trPr>
        <w:tc>
          <w:tcPr>
            <w:tcW w:w="14140" w:type="dxa"/>
            <w:gridSpan w:val="11"/>
            <w:tcBorders>
              <w:top w:val="single" w:color="auto" w:sz="4" w:space="0"/>
              <w:left w:val="single" w:color="auto" w:sz="4" w:space="0"/>
              <w:bottom w:val="single" w:color="auto" w:sz="4" w:space="0"/>
              <w:right w:val="single" w:color="auto" w:sz="4" w:space="0"/>
            </w:tcBorders>
            <w:vAlign w:val="center"/>
          </w:tcPr>
          <w:p w14:paraId="4C1221BA">
            <w:pPr>
              <w:rPr>
                <w:rFonts w:ascii="宋体" w:hAnsi="宋体" w:cs="宋体"/>
                <w:bCs/>
                <w:sz w:val="24"/>
                <w:highlight w:val="none"/>
              </w:rPr>
            </w:pPr>
            <w:r>
              <w:rPr>
                <w:rFonts w:hint="eastAsia" w:ascii="宋体" w:hAnsi="宋体" w:cs="宋体"/>
                <w:bCs/>
                <w:spacing w:val="-4"/>
                <w:sz w:val="24"/>
                <w:highlight w:val="none"/>
              </w:rPr>
              <w:t>报价总价（人民币大写）：                                   （小写）¥</w:t>
            </w:r>
          </w:p>
        </w:tc>
      </w:tr>
      <w:tr w14:paraId="1B2C94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0" w:hRule="atLeast"/>
          <w:jc w:val="center"/>
        </w:trPr>
        <w:tc>
          <w:tcPr>
            <w:tcW w:w="14140" w:type="dxa"/>
            <w:gridSpan w:val="11"/>
            <w:tcBorders>
              <w:top w:val="single" w:color="auto" w:sz="4" w:space="0"/>
              <w:left w:val="single" w:color="auto" w:sz="4" w:space="0"/>
              <w:bottom w:val="single" w:color="auto" w:sz="4" w:space="0"/>
              <w:right w:val="single" w:color="auto" w:sz="4" w:space="0"/>
            </w:tcBorders>
            <w:vAlign w:val="center"/>
          </w:tcPr>
          <w:p w14:paraId="65704552">
            <w:pPr>
              <w:rPr>
                <w:rFonts w:hint="eastAsia" w:ascii="宋体" w:hAnsi="宋体" w:cs="宋体"/>
                <w:bCs/>
                <w:spacing w:val="-4"/>
                <w:sz w:val="24"/>
                <w:highlight w:val="none"/>
              </w:rPr>
            </w:pPr>
            <w:r>
              <w:rPr>
                <w:rFonts w:hint="eastAsia" w:ascii="宋体" w:hAnsi="宋体" w:cs="宋体"/>
                <w:bCs/>
                <w:spacing w:val="-4"/>
                <w:sz w:val="24"/>
                <w:highlight w:val="none"/>
                <w:lang w:val="en-US" w:eastAsia="zh-CN"/>
              </w:rPr>
              <w:t>免费保修期：                                                      保修期外维修费用：      元/年/台</w:t>
            </w:r>
          </w:p>
        </w:tc>
      </w:tr>
      <w:tr w14:paraId="287E4D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0" w:hRule="atLeast"/>
          <w:jc w:val="center"/>
        </w:trPr>
        <w:tc>
          <w:tcPr>
            <w:tcW w:w="14140" w:type="dxa"/>
            <w:gridSpan w:val="11"/>
            <w:tcBorders>
              <w:top w:val="single" w:color="auto" w:sz="4" w:space="0"/>
              <w:left w:val="single" w:color="auto" w:sz="4" w:space="0"/>
              <w:bottom w:val="single" w:color="auto" w:sz="4" w:space="0"/>
              <w:right w:val="single" w:color="auto" w:sz="4" w:space="0"/>
            </w:tcBorders>
            <w:vAlign w:val="center"/>
          </w:tcPr>
          <w:p w14:paraId="79C03C9D">
            <w:pPr>
              <w:spacing w:before="120" w:beforeLines="50" w:after="120" w:afterLines="50"/>
              <w:rPr>
                <w:bCs/>
                <w:sz w:val="24"/>
                <w:highlight w:val="none"/>
              </w:rPr>
            </w:pPr>
            <w:r>
              <w:rPr>
                <w:rFonts w:hint="eastAsia"/>
                <w:bCs/>
                <w:sz w:val="24"/>
                <w:highlight w:val="none"/>
              </w:rPr>
              <w:t>说明：金额=单价×数量，报价总价=金额之和。</w:t>
            </w:r>
          </w:p>
        </w:tc>
      </w:tr>
    </w:tbl>
    <w:p w14:paraId="4888CF77">
      <w:pPr>
        <w:spacing w:before="240" w:beforeLines="100" w:after="120" w:afterLines="50"/>
        <w:rPr>
          <w:bCs/>
          <w:sz w:val="28"/>
          <w:szCs w:val="28"/>
          <w:highlight w:val="none"/>
        </w:rPr>
      </w:pPr>
      <w:r>
        <w:rPr>
          <w:rFonts w:hint="eastAsia"/>
          <w:bCs/>
          <w:sz w:val="28"/>
          <w:szCs w:val="28"/>
          <w:highlight w:val="none"/>
        </w:rPr>
        <w:t>报价供应商全称：（盖章）</w:t>
      </w:r>
      <w:r>
        <w:rPr>
          <w:bCs/>
          <w:sz w:val="28"/>
          <w:szCs w:val="28"/>
          <w:highlight w:val="none"/>
        </w:rPr>
        <w:t xml:space="preserve">                                      </w:t>
      </w:r>
      <w:r>
        <w:rPr>
          <w:rFonts w:hint="eastAsia"/>
          <w:bCs/>
          <w:sz w:val="28"/>
          <w:szCs w:val="28"/>
          <w:highlight w:val="none"/>
        </w:rPr>
        <w:t>法定代表人（或授权代表）：（签字）</w:t>
      </w:r>
    </w:p>
    <w:p w14:paraId="178A52AE">
      <w:pPr>
        <w:spacing w:before="120" w:beforeLines="50" w:after="120" w:afterLines="50"/>
        <w:ind w:firstLine="560" w:firstLineChars="200"/>
        <w:rPr>
          <w:bCs/>
          <w:sz w:val="28"/>
          <w:szCs w:val="28"/>
          <w:highlight w:val="none"/>
        </w:rPr>
      </w:pPr>
    </w:p>
    <w:p w14:paraId="77503EAC">
      <w:pPr>
        <w:spacing w:before="120" w:beforeLines="50" w:after="120" w:afterLines="50"/>
        <w:ind w:firstLine="640" w:firstLineChars="200"/>
        <w:jc w:val="center"/>
        <w:rPr>
          <w:bCs/>
          <w:sz w:val="28"/>
          <w:szCs w:val="28"/>
          <w:highlight w:val="none"/>
        </w:rPr>
      </w:pPr>
      <w:r>
        <w:rPr>
          <w:bCs/>
          <w:sz w:val="32"/>
          <w:szCs w:val="32"/>
          <w:highlight w:val="none"/>
        </w:rPr>
        <w:t xml:space="preserve">                                                        </w:t>
      </w:r>
      <w:r>
        <w:rPr>
          <w:bCs/>
          <w:sz w:val="28"/>
          <w:szCs w:val="28"/>
          <w:highlight w:val="none"/>
          <w:u w:val="single"/>
        </w:rPr>
        <w:t xml:space="preserve">   </w:t>
      </w:r>
      <w:r>
        <w:rPr>
          <w:rFonts w:hint="eastAsia"/>
          <w:bCs/>
          <w:sz w:val="28"/>
          <w:szCs w:val="28"/>
          <w:highlight w:val="none"/>
        </w:rPr>
        <w:t>年</w:t>
      </w:r>
      <w:r>
        <w:rPr>
          <w:bCs/>
          <w:sz w:val="28"/>
          <w:szCs w:val="28"/>
          <w:highlight w:val="none"/>
          <w:u w:val="single"/>
        </w:rPr>
        <w:t xml:space="preserve">   </w:t>
      </w:r>
      <w:r>
        <w:rPr>
          <w:rFonts w:hint="eastAsia"/>
          <w:bCs/>
          <w:sz w:val="28"/>
          <w:szCs w:val="28"/>
          <w:highlight w:val="none"/>
        </w:rPr>
        <w:t>月</w:t>
      </w:r>
      <w:r>
        <w:rPr>
          <w:bCs/>
          <w:sz w:val="28"/>
          <w:szCs w:val="28"/>
          <w:highlight w:val="none"/>
          <w:u w:val="single"/>
        </w:rPr>
        <w:t xml:space="preserve">   </w:t>
      </w:r>
      <w:r>
        <w:rPr>
          <w:rFonts w:hint="eastAsia"/>
          <w:bCs/>
          <w:sz w:val="28"/>
          <w:szCs w:val="28"/>
          <w:highlight w:val="none"/>
        </w:rPr>
        <w:t>日</w:t>
      </w:r>
    </w:p>
    <w:p w14:paraId="076BCA51">
      <w:pPr>
        <w:widowControl/>
        <w:jc w:val="left"/>
        <w:rPr>
          <w:bCs/>
          <w:sz w:val="28"/>
          <w:szCs w:val="28"/>
          <w:highlight w:val="none"/>
        </w:rPr>
        <w:sectPr>
          <w:pgSz w:w="16838" w:h="11906" w:orient="landscape"/>
          <w:pgMar w:top="1418" w:right="1134" w:bottom="1418" w:left="1418" w:header="851" w:footer="851" w:gutter="0"/>
          <w:pgNumType w:fmt="decimal"/>
          <w:cols w:space="720" w:num="1"/>
        </w:sectPr>
      </w:pPr>
    </w:p>
    <w:p w14:paraId="782C60BB">
      <w:pPr>
        <w:pStyle w:val="6"/>
        <w:spacing w:before="120" w:beforeLines="50" w:after="120" w:afterLines="50" w:line="560" w:lineRule="exact"/>
        <w:rPr>
          <w:b w:val="0"/>
          <w:highlight w:val="none"/>
        </w:rPr>
      </w:pPr>
      <w:bookmarkStart w:id="562" w:name="_Toc25850"/>
      <w:bookmarkStart w:id="563" w:name="_Toc284"/>
      <w:bookmarkStart w:id="564" w:name="_Toc8982"/>
      <w:bookmarkStart w:id="565" w:name="_Toc112768458"/>
      <w:bookmarkStart w:id="566" w:name="_Toc18182"/>
      <w:bookmarkStart w:id="567" w:name="_Toc6248"/>
      <w:r>
        <w:rPr>
          <w:rFonts w:hint="eastAsia"/>
          <w:b w:val="0"/>
          <w:highlight w:val="none"/>
        </w:rPr>
        <w:t>附件</w:t>
      </w:r>
      <w:r>
        <w:rPr>
          <w:b w:val="0"/>
          <w:highlight w:val="none"/>
        </w:rPr>
        <w:t>1-2</w:t>
      </w:r>
      <w:r>
        <w:rPr>
          <w:rFonts w:hint="eastAsia"/>
          <w:b w:val="0"/>
          <w:highlight w:val="none"/>
        </w:rPr>
        <w:t xml:space="preserve"> 价格构成表</w:t>
      </w:r>
      <w:bookmarkEnd w:id="562"/>
      <w:bookmarkEnd w:id="563"/>
      <w:bookmarkEnd w:id="564"/>
      <w:bookmarkEnd w:id="565"/>
      <w:bookmarkEnd w:id="566"/>
      <w:bookmarkEnd w:id="567"/>
    </w:p>
    <w:p w14:paraId="0C3E6836">
      <w:pPr>
        <w:tabs>
          <w:tab w:val="left" w:pos="0"/>
        </w:tabs>
        <w:spacing w:before="120" w:beforeLines="50" w:after="120" w:afterLines="50" w:line="560" w:lineRule="exact"/>
        <w:jc w:val="center"/>
        <w:rPr>
          <w:rFonts w:ascii="黑体" w:hAnsi="黑体" w:eastAsia="黑体" w:cs="黑体"/>
          <w:bCs/>
          <w:sz w:val="36"/>
          <w:szCs w:val="36"/>
          <w:highlight w:val="none"/>
        </w:rPr>
      </w:pPr>
      <w:r>
        <w:rPr>
          <w:rFonts w:hint="eastAsia" w:ascii="黑体" w:hAnsi="黑体" w:eastAsia="黑体" w:cs="黑体"/>
          <w:bCs/>
          <w:sz w:val="36"/>
          <w:szCs w:val="36"/>
          <w:highlight w:val="none"/>
        </w:rPr>
        <w:t>价格构成表</w:t>
      </w:r>
    </w:p>
    <w:p w14:paraId="75F6697E">
      <w:pPr>
        <w:rPr>
          <w:bCs/>
          <w:sz w:val="28"/>
          <w:szCs w:val="28"/>
          <w:highlight w:val="none"/>
        </w:rPr>
      </w:pPr>
      <w:r>
        <w:rPr>
          <w:rFonts w:hint="eastAsia"/>
          <w:bCs/>
          <w:sz w:val="28"/>
          <w:szCs w:val="28"/>
          <w:highlight w:val="none"/>
        </w:rPr>
        <w:t>项目名称：</w:t>
      </w:r>
      <w:r>
        <w:rPr>
          <w:bCs/>
          <w:sz w:val="28"/>
          <w:szCs w:val="28"/>
          <w:highlight w:val="none"/>
          <w:u w:val="single"/>
        </w:rPr>
        <w:t xml:space="preserve">                  </w:t>
      </w:r>
      <w:r>
        <w:rPr>
          <w:bCs/>
          <w:sz w:val="28"/>
          <w:szCs w:val="28"/>
          <w:highlight w:val="none"/>
        </w:rPr>
        <w:t xml:space="preserve">     </w:t>
      </w:r>
      <w:r>
        <w:rPr>
          <w:rFonts w:hint="eastAsia"/>
          <w:bCs/>
          <w:sz w:val="28"/>
          <w:szCs w:val="28"/>
          <w:highlight w:val="none"/>
        </w:rPr>
        <w:t>项目编号：</w:t>
      </w:r>
      <w:r>
        <w:rPr>
          <w:bCs/>
          <w:sz w:val="28"/>
          <w:szCs w:val="28"/>
          <w:highlight w:val="none"/>
          <w:u w:val="single"/>
        </w:rPr>
        <w:t xml:space="preserve">               </w:t>
      </w:r>
      <w:r>
        <w:rPr>
          <w:bCs/>
          <w:sz w:val="28"/>
          <w:szCs w:val="28"/>
          <w:highlight w:val="none"/>
        </w:rPr>
        <w:t xml:space="preserve">     </w:t>
      </w:r>
      <w:r>
        <w:rPr>
          <w:rFonts w:hint="eastAsia"/>
          <w:bCs/>
          <w:sz w:val="28"/>
          <w:szCs w:val="28"/>
          <w:highlight w:val="none"/>
        </w:rPr>
        <w:t>包号：</w:t>
      </w:r>
      <w:r>
        <w:rPr>
          <w:bCs/>
          <w:sz w:val="28"/>
          <w:szCs w:val="28"/>
          <w:highlight w:val="none"/>
          <w:u w:val="single"/>
        </w:rPr>
        <w:t xml:space="preserve">        </w:t>
      </w:r>
      <w:r>
        <w:rPr>
          <w:bCs/>
          <w:sz w:val="28"/>
          <w:szCs w:val="28"/>
          <w:highlight w:val="none"/>
        </w:rPr>
        <w:t xml:space="preserve">          </w:t>
      </w:r>
      <w:r>
        <w:rPr>
          <w:rFonts w:hint="eastAsia"/>
          <w:bCs/>
          <w:sz w:val="28"/>
          <w:szCs w:val="28"/>
          <w:highlight w:val="none"/>
        </w:rPr>
        <w:t>金额单位：元</w:t>
      </w:r>
    </w:p>
    <w:tbl>
      <w:tblPr>
        <w:tblStyle w:val="42"/>
        <w:tblpPr w:leftFromText="180" w:rightFromText="180" w:vertAnchor="text" w:horzAnchor="margin" w:tblpX="108" w:tblpY="153"/>
        <w:tblW w:w="1403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01"/>
        <w:gridCol w:w="992"/>
        <w:gridCol w:w="850"/>
        <w:gridCol w:w="851"/>
        <w:gridCol w:w="760"/>
        <w:gridCol w:w="702"/>
        <w:gridCol w:w="819"/>
        <w:gridCol w:w="702"/>
        <w:gridCol w:w="702"/>
        <w:gridCol w:w="702"/>
        <w:gridCol w:w="819"/>
        <w:gridCol w:w="702"/>
        <w:gridCol w:w="702"/>
        <w:gridCol w:w="702"/>
        <w:gridCol w:w="819"/>
        <w:gridCol w:w="819"/>
        <w:gridCol w:w="702"/>
        <w:gridCol w:w="585"/>
      </w:tblGrid>
      <w:tr w14:paraId="6391B4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2" w:hRule="atLeast"/>
        </w:trPr>
        <w:tc>
          <w:tcPr>
            <w:tcW w:w="1101" w:type="dxa"/>
            <w:vMerge w:val="restart"/>
            <w:tcBorders>
              <w:top w:val="single" w:color="auto" w:sz="4" w:space="0"/>
              <w:left w:val="single" w:color="auto" w:sz="4" w:space="0"/>
              <w:bottom w:val="single" w:color="auto" w:sz="4" w:space="0"/>
              <w:right w:val="single" w:color="auto" w:sz="4" w:space="0"/>
            </w:tcBorders>
            <w:vAlign w:val="center"/>
          </w:tcPr>
          <w:p w14:paraId="22930375">
            <w:pPr>
              <w:widowControl/>
              <w:jc w:val="center"/>
              <w:rPr>
                <w:rFonts w:ascii="宋体" w:hAnsi="宋体" w:cs="宋体"/>
                <w:bCs/>
                <w:sz w:val="24"/>
                <w:highlight w:val="none"/>
              </w:rPr>
            </w:pPr>
            <w:r>
              <w:rPr>
                <w:rFonts w:hint="eastAsia" w:ascii="宋体" w:hAnsi="宋体" w:cs="宋体"/>
                <w:bCs/>
                <w:sz w:val="24"/>
                <w:highlight w:val="none"/>
              </w:rPr>
              <w:t>物资</w:t>
            </w:r>
          </w:p>
          <w:p w14:paraId="70C728DD">
            <w:pPr>
              <w:widowControl/>
              <w:jc w:val="center"/>
              <w:rPr>
                <w:rFonts w:ascii="宋体" w:hAnsi="宋体" w:cs="宋体"/>
                <w:bCs/>
                <w:sz w:val="24"/>
                <w:highlight w:val="none"/>
              </w:rPr>
            </w:pPr>
            <w:r>
              <w:rPr>
                <w:rFonts w:hint="eastAsia" w:ascii="宋体" w:hAnsi="宋体" w:cs="宋体"/>
                <w:bCs/>
                <w:sz w:val="24"/>
                <w:highlight w:val="none"/>
              </w:rPr>
              <w:t>名称</w:t>
            </w:r>
          </w:p>
        </w:tc>
        <w:tc>
          <w:tcPr>
            <w:tcW w:w="992" w:type="dxa"/>
            <w:vMerge w:val="restart"/>
            <w:tcBorders>
              <w:top w:val="single" w:color="auto" w:sz="4" w:space="0"/>
              <w:left w:val="single" w:color="auto" w:sz="4" w:space="0"/>
              <w:bottom w:val="single" w:color="auto" w:sz="4" w:space="0"/>
              <w:right w:val="single" w:color="auto" w:sz="4" w:space="0"/>
            </w:tcBorders>
            <w:vAlign w:val="center"/>
          </w:tcPr>
          <w:p w14:paraId="6E117305">
            <w:pPr>
              <w:widowControl/>
              <w:jc w:val="center"/>
              <w:rPr>
                <w:rFonts w:ascii="宋体" w:hAnsi="宋体" w:cs="宋体"/>
                <w:bCs/>
                <w:sz w:val="24"/>
                <w:highlight w:val="none"/>
              </w:rPr>
            </w:pPr>
            <w:r>
              <w:rPr>
                <w:rFonts w:hint="eastAsia" w:ascii="宋体" w:hAnsi="宋体" w:cs="宋体"/>
                <w:bCs/>
                <w:sz w:val="24"/>
                <w:highlight w:val="none"/>
              </w:rPr>
              <w:t>规格</w:t>
            </w:r>
          </w:p>
          <w:p w14:paraId="44344A8A">
            <w:pPr>
              <w:widowControl/>
              <w:jc w:val="center"/>
              <w:rPr>
                <w:rFonts w:ascii="宋体" w:hAnsi="宋体" w:cs="宋体"/>
                <w:bCs/>
                <w:sz w:val="24"/>
                <w:highlight w:val="none"/>
              </w:rPr>
            </w:pPr>
            <w:r>
              <w:rPr>
                <w:rFonts w:hint="eastAsia" w:ascii="宋体" w:hAnsi="宋体" w:cs="宋体"/>
                <w:bCs/>
                <w:sz w:val="24"/>
                <w:highlight w:val="none"/>
              </w:rPr>
              <w:t>型号</w:t>
            </w:r>
          </w:p>
        </w:tc>
        <w:tc>
          <w:tcPr>
            <w:tcW w:w="850" w:type="dxa"/>
            <w:vMerge w:val="restart"/>
            <w:tcBorders>
              <w:top w:val="single" w:color="auto" w:sz="4" w:space="0"/>
              <w:left w:val="single" w:color="auto" w:sz="4" w:space="0"/>
              <w:bottom w:val="single" w:color="auto" w:sz="4" w:space="0"/>
              <w:right w:val="single" w:color="auto" w:sz="4" w:space="0"/>
            </w:tcBorders>
            <w:vAlign w:val="center"/>
          </w:tcPr>
          <w:p w14:paraId="1C6A6431">
            <w:pPr>
              <w:widowControl/>
              <w:jc w:val="center"/>
              <w:rPr>
                <w:rFonts w:ascii="宋体" w:hAnsi="宋体" w:cs="宋体"/>
                <w:bCs/>
                <w:sz w:val="24"/>
                <w:highlight w:val="none"/>
              </w:rPr>
            </w:pPr>
            <w:r>
              <w:rPr>
                <w:rFonts w:hint="eastAsia" w:ascii="宋体" w:hAnsi="宋体" w:cs="宋体"/>
                <w:bCs/>
                <w:sz w:val="24"/>
                <w:highlight w:val="none"/>
              </w:rPr>
              <w:t>计量</w:t>
            </w:r>
          </w:p>
          <w:p w14:paraId="178E1404">
            <w:pPr>
              <w:widowControl/>
              <w:jc w:val="center"/>
              <w:rPr>
                <w:rFonts w:ascii="宋体" w:hAnsi="宋体" w:cs="宋体"/>
                <w:bCs/>
                <w:sz w:val="24"/>
                <w:highlight w:val="none"/>
              </w:rPr>
            </w:pPr>
            <w:r>
              <w:rPr>
                <w:rFonts w:hint="eastAsia" w:ascii="宋体" w:hAnsi="宋体" w:cs="宋体"/>
                <w:bCs/>
                <w:sz w:val="24"/>
                <w:highlight w:val="none"/>
              </w:rPr>
              <w:t>单位</w:t>
            </w:r>
          </w:p>
        </w:tc>
        <w:tc>
          <w:tcPr>
            <w:tcW w:w="851" w:type="dxa"/>
            <w:vMerge w:val="restart"/>
            <w:tcBorders>
              <w:top w:val="single" w:color="auto" w:sz="4" w:space="0"/>
              <w:left w:val="single" w:color="auto" w:sz="4" w:space="0"/>
              <w:bottom w:val="single" w:color="auto" w:sz="4" w:space="0"/>
              <w:right w:val="single" w:color="auto" w:sz="4" w:space="0"/>
            </w:tcBorders>
            <w:vAlign w:val="center"/>
          </w:tcPr>
          <w:p w14:paraId="167F4E8A">
            <w:pPr>
              <w:widowControl/>
              <w:jc w:val="center"/>
              <w:rPr>
                <w:rFonts w:ascii="宋体" w:hAnsi="宋体" w:cs="宋体"/>
                <w:bCs/>
                <w:sz w:val="24"/>
                <w:highlight w:val="none"/>
              </w:rPr>
            </w:pPr>
            <w:r>
              <w:rPr>
                <w:rFonts w:hint="eastAsia" w:ascii="宋体" w:hAnsi="宋体" w:cs="宋体"/>
                <w:bCs/>
                <w:sz w:val="24"/>
                <w:highlight w:val="none"/>
              </w:rPr>
              <w:t>数量</w:t>
            </w:r>
          </w:p>
        </w:tc>
        <w:tc>
          <w:tcPr>
            <w:tcW w:w="760" w:type="dxa"/>
            <w:vMerge w:val="restart"/>
            <w:tcBorders>
              <w:top w:val="single" w:color="auto" w:sz="4" w:space="0"/>
              <w:left w:val="single" w:color="auto" w:sz="4" w:space="0"/>
              <w:bottom w:val="single" w:color="auto" w:sz="4" w:space="0"/>
              <w:right w:val="single" w:color="auto" w:sz="4" w:space="0"/>
            </w:tcBorders>
            <w:vAlign w:val="center"/>
          </w:tcPr>
          <w:p w14:paraId="2B4167F4">
            <w:pPr>
              <w:widowControl/>
              <w:jc w:val="center"/>
              <w:rPr>
                <w:rFonts w:ascii="宋体" w:hAnsi="宋体" w:cs="宋体"/>
                <w:bCs/>
                <w:sz w:val="24"/>
                <w:highlight w:val="none"/>
              </w:rPr>
            </w:pPr>
            <w:r>
              <w:rPr>
                <w:rFonts w:hint="eastAsia" w:ascii="宋体" w:hAnsi="宋体" w:cs="宋体"/>
                <w:bCs/>
                <w:sz w:val="24"/>
                <w:highlight w:val="none"/>
              </w:rPr>
              <w:t>总价</w:t>
            </w:r>
          </w:p>
        </w:tc>
        <w:tc>
          <w:tcPr>
            <w:tcW w:w="9477" w:type="dxa"/>
            <w:gridSpan w:val="13"/>
            <w:tcBorders>
              <w:top w:val="single" w:color="auto" w:sz="4" w:space="0"/>
              <w:left w:val="single" w:color="auto" w:sz="4" w:space="0"/>
              <w:bottom w:val="single" w:color="auto" w:sz="4" w:space="0"/>
              <w:right w:val="single" w:color="auto" w:sz="4" w:space="0"/>
            </w:tcBorders>
            <w:vAlign w:val="center"/>
          </w:tcPr>
          <w:p w14:paraId="209E9324">
            <w:pPr>
              <w:widowControl/>
              <w:jc w:val="center"/>
              <w:rPr>
                <w:rFonts w:ascii="宋体" w:hAnsi="宋体" w:cs="宋体"/>
                <w:bCs/>
                <w:sz w:val="24"/>
                <w:highlight w:val="none"/>
              </w:rPr>
            </w:pPr>
            <w:r>
              <w:rPr>
                <w:rFonts w:hint="eastAsia" w:ascii="宋体" w:hAnsi="宋体" w:cs="宋体"/>
                <w:bCs/>
                <w:sz w:val="24"/>
                <w:highlight w:val="none"/>
              </w:rPr>
              <w:t xml:space="preserve"> 价  格  组  成</w:t>
            </w:r>
          </w:p>
        </w:tc>
      </w:tr>
      <w:tr w14:paraId="2DBC82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79" w:hRule="atLeast"/>
        </w:trPr>
        <w:tc>
          <w:tcPr>
            <w:tcW w:w="1101" w:type="dxa"/>
            <w:vMerge w:val="continue"/>
            <w:tcBorders>
              <w:top w:val="single" w:color="auto" w:sz="4" w:space="0"/>
              <w:left w:val="single" w:color="auto" w:sz="4" w:space="0"/>
              <w:bottom w:val="single" w:color="auto" w:sz="4" w:space="0"/>
              <w:right w:val="single" w:color="auto" w:sz="4" w:space="0"/>
            </w:tcBorders>
            <w:vAlign w:val="center"/>
          </w:tcPr>
          <w:p w14:paraId="240E1F54">
            <w:pPr>
              <w:widowControl/>
              <w:jc w:val="left"/>
              <w:rPr>
                <w:rFonts w:ascii="宋体" w:hAnsi="宋体" w:cs="宋体"/>
                <w:bCs/>
                <w:sz w:val="24"/>
                <w:highlight w:val="none"/>
              </w:rPr>
            </w:pPr>
          </w:p>
        </w:tc>
        <w:tc>
          <w:tcPr>
            <w:tcW w:w="992" w:type="dxa"/>
            <w:vMerge w:val="continue"/>
            <w:tcBorders>
              <w:top w:val="single" w:color="auto" w:sz="4" w:space="0"/>
              <w:left w:val="single" w:color="auto" w:sz="4" w:space="0"/>
              <w:bottom w:val="single" w:color="auto" w:sz="4" w:space="0"/>
              <w:right w:val="single" w:color="auto" w:sz="4" w:space="0"/>
            </w:tcBorders>
            <w:vAlign w:val="center"/>
          </w:tcPr>
          <w:p w14:paraId="28C93EA0">
            <w:pPr>
              <w:widowControl/>
              <w:jc w:val="left"/>
              <w:rPr>
                <w:rFonts w:ascii="宋体" w:hAnsi="宋体" w:cs="宋体"/>
                <w:bCs/>
                <w:sz w:val="24"/>
                <w:highlight w:val="none"/>
              </w:rPr>
            </w:pPr>
          </w:p>
        </w:tc>
        <w:tc>
          <w:tcPr>
            <w:tcW w:w="850" w:type="dxa"/>
            <w:vMerge w:val="continue"/>
            <w:tcBorders>
              <w:top w:val="single" w:color="auto" w:sz="4" w:space="0"/>
              <w:left w:val="single" w:color="auto" w:sz="4" w:space="0"/>
              <w:bottom w:val="single" w:color="auto" w:sz="4" w:space="0"/>
              <w:right w:val="single" w:color="auto" w:sz="4" w:space="0"/>
            </w:tcBorders>
            <w:vAlign w:val="center"/>
          </w:tcPr>
          <w:p w14:paraId="126E0DB2">
            <w:pPr>
              <w:widowControl/>
              <w:jc w:val="left"/>
              <w:rPr>
                <w:rFonts w:ascii="宋体" w:hAnsi="宋体" w:cs="宋体"/>
                <w:bCs/>
                <w:sz w:val="24"/>
                <w:highlight w:val="none"/>
              </w:rPr>
            </w:pPr>
          </w:p>
        </w:tc>
        <w:tc>
          <w:tcPr>
            <w:tcW w:w="851" w:type="dxa"/>
            <w:vMerge w:val="continue"/>
            <w:tcBorders>
              <w:top w:val="single" w:color="auto" w:sz="4" w:space="0"/>
              <w:left w:val="single" w:color="auto" w:sz="4" w:space="0"/>
              <w:bottom w:val="single" w:color="auto" w:sz="4" w:space="0"/>
              <w:right w:val="single" w:color="auto" w:sz="4" w:space="0"/>
            </w:tcBorders>
            <w:vAlign w:val="center"/>
          </w:tcPr>
          <w:p w14:paraId="0AF7584B">
            <w:pPr>
              <w:widowControl/>
              <w:jc w:val="left"/>
              <w:rPr>
                <w:rFonts w:ascii="宋体" w:hAnsi="宋体" w:cs="宋体"/>
                <w:bCs/>
                <w:sz w:val="24"/>
                <w:highlight w:val="none"/>
              </w:rPr>
            </w:pPr>
          </w:p>
        </w:tc>
        <w:tc>
          <w:tcPr>
            <w:tcW w:w="760" w:type="dxa"/>
            <w:vMerge w:val="continue"/>
            <w:tcBorders>
              <w:top w:val="single" w:color="auto" w:sz="4" w:space="0"/>
              <w:left w:val="single" w:color="auto" w:sz="4" w:space="0"/>
              <w:bottom w:val="single" w:color="auto" w:sz="4" w:space="0"/>
              <w:right w:val="single" w:color="auto" w:sz="4" w:space="0"/>
            </w:tcBorders>
            <w:vAlign w:val="center"/>
          </w:tcPr>
          <w:p w14:paraId="0043238F">
            <w:pPr>
              <w:widowControl/>
              <w:jc w:val="left"/>
              <w:rPr>
                <w:rFonts w:ascii="宋体" w:hAnsi="宋体" w:cs="宋体"/>
                <w:bCs/>
                <w:sz w:val="24"/>
                <w:highlight w:val="none"/>
              </w:rPr>
            </w:pPr>
          </w:p>
        </w:tc>
        <w:tc>
          <w:tcPr>
            <w:tcW w:w="702" w:type="dxa"/>
            <w:tcBorders>
              <w:top w:val="single" w:color="auto" w:sz="4" w:space="0"/>
              <w:left w:val="single" w:color="auto" w:sz="4" w:space="0"/>
              <w:bottom w:val="single" w:color="auto" w:sz="4" w:space="0"/>
              <w:right w:val="single" w:color="auto" w:sz="4" w:space="0"/>
            </w:tcBorders>
            <w:vAlign w:val="center"/>
          </w:tcPr>
          <w:p w14:paraId="38599586">
            <w:pPr>
              <w:widowControl/>
              <w:jc w:val="center"/>
              <w:rPr>
                <w:rFonts w:ascii="宋体" w:hAnsi="宋体" w:cs="宋体"/>
                <w:bCs/>
                <w:sz w:val="24"/>
                <w:highlight w:val="none"/>
              </w:rPr>
            </w:pPr>
            <w:r>
              <w:rPr>
                <w:rFonts w:hint="eastAsia" w:ascii="宋体" w:hAnsi="宋体" w:cs="宋体"/>
                <w:bCs/>
                <w:sz w:val="24"/>
                <w:highlight w:val="none"/>
              </w:rPr>
              <w:t>单价</w:t>
            </w:r>
          </w:p>
        </w:tc>
        <w:tc>
          <w:tcPr>
            <w:tcW w:w="819" w:type="dxa"/>
            <w:tcBorders>
              <w:top w:val="single" w:color="auto" w:sz="4" w:space="0"/>
              <w:left w:val="single" w:color="auto" w:sz="4" w:space="0"/>
              <w:bottom w:val="single" w:color="auto" w:sz="4" w:space="0"/>
              <w:right w:val="single" w:color="auto" w:sz="4" w:space="0"/>
            </w:tcBorders>
            <w:vAlign w:val="center"/>
          </w:tcPr>
          <w:p w14:paraId="76F68F62">
            <w:pPr>
              <w:widowControl/>
              <w:jc w:val="center"/>
              <w:rPr>
                <w:rFonts w:ascii="宋体" w:hAnsi="宋体" w:cs="宋体"/>
                <w:bCs/>
                <w:sz w:val="24"/>
                <w:highlight w:val="none"/>
              </w:rPr>
            </w:pPr>
            <w:r>
              <w:rPr>
                <w:rFonts w:hint="eastAsia" w:ascii="宋体" w:hAnsi="宋体" w:cs="宋体"/>
                <w:bCs/>
                <w:sz w:val="24"/>
                <w:highlight w:val="none"/>
              </w:rPr>
              <w:t>直接材料费</w:t>
            </w:r>
          </w:p>
        </w:tc>
        <w:tc>
          <w:tcPr>
            <w:tcW w:w="702" w:type="dxa"/>
            <w:tcBorders>
              <w:top w:val="single" w:color="auto" w:sz="4" w:space="0"/>
              <w:left w:val="single" w:color="auto" w:sz="4" w:space="0"/>
              <w:bottom w:val="single" w:color="auto" w:sz="4" w:space="0"/>
              <w:right w:val="single" w:color="auto" w:sz="4" w:space="0"/>
            </w:tcBorders>
            <w:vAlign w:val="center"/>
          </w:tcPr>
          <w:p w14:paraId="26E1990D">
            <w:pPr>
              <w:widowControl/>
              <w:jc w:val="center"/>
              <w:rPr>
                <w:rFonts w:ascii="宋体" w:hAnsi="宋体" w:cs="宋体"/>
                <w:bCs/>
                <w:sz w:val="24"/>
                <w:highlight w:val="none"/>
              </w:rPr>
            </w:pPr>
            <w:r>
              <w:rPr>
                <w:rFonts w:hint="eastAsia" w:ascii="宋体" w:hAnsi="宋体" w:cs="宋体"/>
                <w:bCs/>
                <w:sz w:val="24"/>
                <w:highlight w:val="none"/>
              </w:rPr>
              <w:t>外购成件费</w:t>
            </w:r>
          </w:p>
        </w:tc>
        <w:tc>
          <w:tcPr>
            <w:tcW w:w="702" w:type="dxa"/>
            <w:tcBorders>
              <w:top w:val="single" w:color="auto" w:sz="4" w:space="0"/>
              <w:left w:val="single" w:color="auto" w:sz="4" w:space="0"/>
              <w:bottom w:val="single" w:color="auto" w:sz="4" w:space="0"/>
              <w:right w:val="single" w:color="auto" w:sz="4" w:space="0"/>
            </w:tcBorders>
            <w:vAlign w:val="center"/>
          </w:tcPr>
          <w:p w14:paraId="6FEFA9A3">
            <w:pPr>
              <w:widowControl/>
              <w:jc w:val="center"/>
              <w:rPr>
                <w:rFonts w:ascii="宋体" w:hAnsi="宋体" w:cs="宋体"/>
                <w:bCs/>
                <w:sz w:val="24"/>
                <w:highlight w:val="none"/>
              </w:rPr>
            </w:pPr>
            <w:r>
              <w:rPr>
                <w:rFonts w:hint="eastAsia" w:ascii="宋体" w:hAnsi="宋体" w:cs="宋体"/>
                <w:bCs/>
                <w:sz w:val="24"/>
                <w:highlight w:val="none"/>
              </w:rPr>
              <w:t>燃料及动力费</w:t>
            </w:r>
          </w:p>
        </w:tc>
        <w:tc>
          <w:tcPr>
            <w:tcW w:w="702" w:type="dxa"/>
            <w:tcBorders>
              <w:top w:val="single" w:color="auto" w:sz="4" w:space="0"/>
              <w:left w:val="single" w:color="auto" w:sz="4" w:space="0"/>
              <w:bottom w:val="single" w:color="auto" w:sz="4" w:space="0"/>
              <w:right w:val="single" w:color="auto" w:sz="4" w:space="0"/>
            </w:tcBorders>
            <w:vAlign w:val="center"/>
          </w:tcPr>
          <w:p w14:paraId="59F4E35C">
            <w:pPr>
              <w:widowControl/>
              <w:jc w:val="center"/>
              <w:rPr>
                <w:rFonts w:ascii="宋体" w:hAnsi="宋体" w:cs="宋体"/>
                <w:bCs/>
                <w:sz w:val="24"/>
                <w:highlight w:val="none"/>
              </w:rPr>
            </w:pPr>
            <w:r>
              <w:rPr>
                <w:rFonts w:hint="eastAsia" w:ascii="宋体" w:hAnsi="宋体" w:cs="宋体"/>
                <w:bCs/>
                <w:sz w:val="24"/>
                <w:highlight w:val="none"/>
              </w:rPr>
              <w:t>直接人工费</w:t>
            </w:r>
          </w:p>
        </w:tc>
        <w:tc>
          <w:tcPr>
            <w:tcW w:w="819" w:type="dxa"/>
            <w:tcBorders>
              <w:top w:val="single" w:color="auto" w:sz="4" w:space="0"/>
              <w:left w:val="single" w:color="auto" w:sz="4" w:space="0"/>
              <w:bottom w:val="single" w:color="auto" w:sz="4" w:space="0"/>
              <w:right w:val="single" w:color="auto" w:sz="4" w:space="0"/>
            </w:tcBorders>
            <w:vAlign w:val="center"/>
          </w:tcPr>
          <w:p w14:paraId="6E617140">
            <w:pPr>
              <w:widowControl/>
              <w:jc w:val="center"/>
              <w:rPr>
                <w:rFonts w:ascii="宋体" w:hAnsi="宋体" w:cs="宋体"/>
                <w:bCs/>
                <w:sz w:val="24"/>
                <w:highlight w:val="none"/>
              </w:rPr>
            </w:pPr>
            <w:r>
              <w:rPr>
                <w:rFonts w:hint="eastAsia" w:ascii="宋体" w:hAnsi="宋体" w:cs="宋体"/>
                <w:bCs/>
                <w:sz w:val="24"/>
                <w:highlight w:val="none"/>
              </w:rPr>
              <w:t>废品损失费</w:t>
            </w:r>
          </w:p>
        </w:tc>
        <w:tc>
          <w:tcPr>
            <w:tcW w:w="702" w:type="dxa"/>
            <w:tcBorders>
              <w:top w:val="single" w:color="auto" w:sz="4" w:space="0"/>
              <w:left w:val="single" w:color="auto" w:sz="4" w:space="0"/>
              <w:bottom w:val="single" w:color="auto" w:sz="4" w:space="0"/>
              <w:right w:val="single" w:color="auto" w:sz="4" w:space="0"/>
            </w:tcBorders>
            <w:vAlign w:val="center"/>
          </w:tcPr>
          <w:p w14:paraId="3CE5F4E6">
            <w:pPr>
              <w:widowControl/>
              <w:jc w:val="center"/>
              <w:rPr>
                <w:rFonts w:ascii="宋体" w:hAnsi="宋体" w:cs="宋体"/>
                <w:bCs/>
                <w:sz w:val="24"/>
                <w:highlight w:val="none"/>
              </w:rPr>
            </w:pPr>
            <w:r>
              <w:rPr>
                <w:rFonts w:hint="eastAsia" w:ascii="宋体" w:hAnsi="宋体" w:cs="宋体"/>
                <w:bCs/>
                <w:sz w:val="24"/>
                <w:highlight w:val="none"/>
              </w:rPr>
              <w:t>管理费用</w:t>
            </w:r>
          </w:p>
        </w:tc>
        <w:tc>
          <w:tcPr>
            <w:tcW w:w="702" w:type="dxa"/>
            <w:tcBorders>
              <w:top w:val="single" w:color="auto" w:sz="4" w:space="0"/>
              <w:left w:val="single" w:color="auto" w:sz="4" w:space="0"/>
              <w:bottom w:val="single" w:color="auto" w:sz="4" w:space="0"/>
              <w:right w:val="single" w:color="auto" w:sz="4" w:space="0"/>
            </w:tcBorders>
            <w:vAlign w:val="center"/>
          </w:tcPr>
          <w:p w14:paraId="2A99C48A">
            <w:pPr>
              <w:widowControl/>
              <w:jc w:val="center"/>
              <w:rPr>
                <w:rFonts w:ascii="宋体" w:hAnsi="宋体" w:cs="宋体"/>
                <w:bCs/>
                <w:sz w:val="24"/>
                <w:highlight w:val="none"/>
              </w:rPr>
            </w:pPr>
            <w:r>
              <w:rPr>
                <w:rFonts w:hint="eastAsia" w:ascii="宋体" w:hAnsi="宋体" w:cs="宋体"/>
                <w:bCs/>
                <w:sz w:val="24"/>
                <w:highlight w:val="none"/>
              </w:rPr>
              <w:t>利润</w:t>
            </w:r>
          </w:p>
        </w:tc>
        <w:tc>
          <w:tcPr>
            <w:tcW w:w="702" w:type="dxa"/>
            <w:tcBorders>
              <w:top w:val="single" w:color="auto" w:sz="4" w:space="0"/>
              <w:left w:val="single" w:color="auto" w:sz="4" w:space="0"/>
              <w:bottom w:val="single" w:color="auto" w:sz="4" w:space="0"/>
              <w:right w:val="single" w:color="auto" w:sz="4" w:space="0"/>
            </w:tcBorders>
            <w:vAlign w:val="center"/>
          </w:tcPr>
          <w:p w14:paraId="6D600480">
            <w:pPr>
              <w:widowControl/>
              <w:jc w:val="center"/>
              <w:rPr>
                <w:rFonts w:ascii="宋体" w:hAnsi="宋体" w:cs="宋体"/>
                <w:bCs/>
                <w:sz w:val="24"/>
                <w:highlight w:val="none"/>
              </w:rPr>
            </w:pPr>
            <w:r>
              <w:rPr>
                <w:rFonts w:hint="eastAsia" w:ascii="宋体" w:hAnsi="宋体" w:cs="宋体"/>
                <w:bCs/>
                <w:sz w:val="24"/>
                <w:highlight w:val="none"/>
              </w:rPr>
              <w:t>税金</w:t>
            </w:r>
          </w:p>
        </w:tc>
        <w:tc>
          <w:tcPr>
            <w:tcW w:w="819" w:type="dxa"/>
            <w:tcBorders>
              <w:top w:val="single" w:color="auto" w:sz="4" w:space="0"/>
              <w:left w:val="single" w:color="auto" w:sz="4" w:space="0"/>
              <w:bottom w:val="single" w:color="auto" w:sz="4" w:space="0"/>
              <w:right w:val="single" w:color="auto" w:sz="4" w:space="0"/>
            </w:tcBorders>
            <w:vAlign w:val="center"/>
          </w:tcPr>
          <w:p w14:paraId="6115009D">
            <w:pPr>
              <w:widowControl/>
              <w:jc w:val="center"/>
              <w:rPr>
                <w:rFonts w:ascii="宋体" w:hAnsi="宋体" w:cs="宋体"/>
                <w:bCs/>
                <w:sz w:val="24"/>
                <w:highlight w:val="none"/>
              </w:rPr>
            </w:pPr>
            <w:r>
              <w:rPr>
                <w:rFonts w:hint="eastAsia" w:ascii="宋体" w:hAnsi="宋体" w:cs="宋体"/>
                <w:bCs/>
                <w:sz w:val="24"/>
                <w:highlight w:val="none"/>
              </w:rPr>
              <w:t>备件工具费</w:t>
            </w:r>
          </w:p>
        </w:tc>
        <w:tc>
          <w:tcPr>
            <w:tcW w:w="819" w:type="dxa"/>
            <w:tcBorders>
              <w:top w:val="single" w:color="auto" w:sz="4" w:space="0"/>
              <w:left w:val="single" w:color="auto" w:sz="4" w:space="0"/>
              <w:bottom w:val="single" w:color="auto" w:sz="4" w:space="0"/>
              <w:right w:val="single" w:color="auto" w:sz="4" w:space="0"/>
            </w:tcBorders>
            <w:vAlign w:val="center"/>
          </w:tcPr>
          <w:p w14:paraId="7278B46C">
            <w:pPr>
              <w:widowControl/>
              <w:jc w:val="center"/>
              <w:rPr>
                <w:rFonts w:ascii="宋体" w:hAnsi="宋体" w:cs="宋体"/>
                <w:bCs/>
                <w:sz w:val="24"/>
                <w:highlight w:val="none"/>
              </w:rPr>
            </w:pPr>
            <w:r>
              <w:rPr>
                <w:rFonts w:hint="eastAsia" w:ascii="宋体" w:hAnsi="宋体" w:cs="宋体"/>
                <w:bCs/>
                <w:sz w:val="24"/>
                <w:highlight w:val="none"/>
              </w:rPr>
              <w:t>安装调试费</w:t>
            </w:r>
          </w:p>
        </w:tc>
        <w:tc>
          <w:tcPr>
            <w:tcW w:w="702" w:type="dxa"/>
            <w:tcBorders>
              <w:top w:val="single" w:color="auto" w:sz="4" w:space="0"/>
              <w:left w:val="single" w:color="auto" w:sz="4" w:space="0"/>
              <w:bottom w:val="single" w:color="auto" w:sz="4" w:space="0"/>
              <w:right w:val="single" w:color="auto" w:sz="4" w:space="0"/>
            </w:tcBorders>
            <w:vAlign w:val="center"/>
          </w:tcPr>
          <w:p w14:paraId="1A0D03B5">
            <w:pPr>
              <w:widowControl/>
              <w:jc w:val="center"/>
              <w:rPr>
                <w:rFonts w:ascii="宋体" w:hAnsi="宋体" w:cs="宋体"/>
                <w:bCs/>
                <w:sz w:val="24"/>
                <w:highlight w:val="none"/>
              </w:rPr>
            </w:pPr>
            <w:r>
              <w:rPr>
                <w:rFonts w:hint="eastAsia" w:ascii="宋体" w:hAnsi="宋体" w:cs="宋体"/>
                <w:bCs/>
                <w:sz w:val="24"/>
                <w:highlight w:val="none"/>
              </w:rPr>
              <w:t>技术服务费</w:t>
            </w:r>
          </w:p>
        </w:tc>
        <w:tc>
          <w:tcPr>
            <w:tcW w:w="585" w:type="dxa"/>
            <w:tcBorders>
              <w:top w:val="single" w:color="auto" w:sz="4" w:space="0"/>
              <w:left w:val="single" w:color="auto" w:sz="4" w:space="0"/>
              <w:bottom w:val="single" w:color="auto" w:sz="4" w:space="0"/>
              <w:right w:val="single" w:color="auto" w:sz="4" w:space="0"/>
            </w:tcBorders>
            <w:vAlign w:val="center"/>
          </w:tcPr>
          <w:p w14:paraId="07122BF7">
            <w:pPr>
              <w:widowControl/>
              <w:jc w:val="center"/>
              <w:rPr>
                <w:rFonts w:ascii="宋体" w:hAnsi="宋体" w:cs="宋体"/>
                <w:bCs/>
                <w:sz w:val="24"/>
                <w:highlight w:val="none"/>
              </w:rPr>
            </w:pPr>
            <w:r>
              <w:rPr>
                <w:rFonts w:hint="eastAsia" w:ascii="宋体" w:hAnsi="宋体" w:cs="宋体"/>
                <w:bCs/>
                <w:sz w:val="24"/>
                <w:highlight w:val="none"/>
              </w:rPr>
              <w:t>运杂费</w:t>
            </w:r>
          </w:p>
        </w:tc>
      </w:tr>
      <w:tr w14:paraId="438BCD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1101" w:type="dxa"/>
            <w:tcBorders>
              <w:top w:val="single" w:color="auto" w:sz="4" w:space="0"/>
              <w:left w:val="single" w:color="auto" w:sz="4" w:space="0"/>
              <w:bottom w:val="single" w:color="auto" w:sz="4" w:space="0"/>
              <w:right w:val="single" w:color="auto" w:sz="4" w:space="0"/>
            </w:tcBorders>
            <w:vAlign w:val="center"/>
          </w:tcPr>
          <w:p w14:paraId="5356F956">
            <w:pPr>
              <w:jc w:val="center"/>
              <w:rPr>
                <w:rFonts w:ascii="宋体" w:hAnsi="宋体"/>
                <w:bCs/>
                <w:sz w:val="24"/>
                <w:highlight w:val="none"/>
              </w:rPr>
            </w:pPr>
            <w:r>
              <w:rPr>
                <w:rFonts w:ascii="宋体" w:hAnsi="宋体"/>
                <w:bCs/>
                <w:sz w:val="24"/>
                <w:highlight w:val="none"/>
              </w:rPr>
              <w:t>1</w:t>
            </w:r>
          </w:p>
        </w:tc>
        <w:tc>
          <w:tcPr>
            <w:tcW w:w="992" w:type="dxa"/>
            <w:tcBorders>
              <w:top w:val="single" w:color="auto" w:sz="4" w:space="0"/>
              <w:left w:val="single" w:color="auto" w:sz="4" w:space="0"/>
              <w:bottom w:val="single" w:color="auto" w:sz="4" w:space="0"/>
              <w:right w:val="single" w:color="auto" w:sz="4" w:space="0"/>
            </w:tcBorders>
            <w:vAlign w:val="center"/>
          </w:tcPr>
          <w:p w14:paraId="0C39FBA0">
            <w:pPr>
              <w:jc w:val="center"/>
              <w:rPr>
                <w:rFonts w:ascii="宋体" w:hAnsi="宋体"/>
                <w:bCs/>
                <w:sz w:val="24"/>
                <w:highlight w:val="none"/>
              </w:rPr>
            </w:pPr>
            <w:r>
              <w:rPr>
                <w:rFonts w:ascii="宋体" w:hAnsi="宋体"/>
                <w:bCs/>
                <w:sz w:val="24"/>
                <w:highlight w:val="none"/>
              </w:rPr>
              <w:t>2</w:t>
            </w:r>
          </w:p>
        </w:tc>
        <w:tc>
          <w:tcPr>
            <w:tcW w:w="850" w:type="dxa"/>
            <w:tcBorders>
              <w:top w:val="single" w:color="auto" w:sz="4" w:space="0"/>
              <w:left w:val="single" w:color="auto" w:sz="4" w:space="0"/>
              <w:bottom w:val="single" w:color="auto" w:sz="4" w:space="0"/>
              <w:right w:val="single" w:color="auto" w:sz="4" w:space="0"/>
            </w:tcBorders>
            <w:vAlign w:val="center"/>
          </w:tcPr>
          <w:p w14:paraId="0F9A4CB3">
            <w:pPr>
              <w:jc w:val="center"/>
              <w:rPr>
                <w:rFonts w:ascii="宋体" w:hAnsi="宋体"/>
                <w:bCs/>
                <w:sz w:val="24"/>
                <w:highlight w:val="none"/>
              </w:rPr>
            </w:pPr>
            <w:r>
              <w:rPr>
                <w:rFonts w:ascii="宋体" w:hAnsi="宋体"/>
                <w:bCs/>
                <w:sz w:val="24"/>
                <w:highlight w:val="none"/>
              </w:rPr>
              <w:t>3</w:t>
            </w:r>
          </w:p>
        </w:tc>
        <w:tc>
          <w:tcPr>
            <w:tcW w:w="851" w:type="dxa"/>
            <w:tcBorders>
              <w:top w:val="single" w:color="auto" w:sz="4" w:space="0"/>
              <w:left w:val="single" w:color="auto" w:sz="4" w:space="0"/>
              <w:bottom w:val="single" w:color="auto" w:sz="4" w:space="0"/>
              <w:right w:val="single" w:color="auto" w:sz="4" w:space="0"/>
            </w:tcBorders>
            <w:vAlign w:val="center"/>
          </w:tcPr>
          <w:p w14:paraId="0C9BB494">
            <w:pPr>
              <w:jc w:val="center"/>
              <w:rPr>
                <w:rFonts w:ascii="宋体" w:hAnsi="宋体"/>
                <w:bCs/>
                <w:sz w:val="24"/>
                <w:highlight w:val="none"/>
              </w:rPr>
            </w:pPr>
            <w:r>
              <w:rPr>
                <w:rFonts w:ascii="宋体" w:hAnsi="宋体"/>
                <w:bCs/>
                <w:sz w:val="24"/>
                <w:highlight w:val="none"/>
              </w:rPr>
              <w:t>4</w:t>
            </w:r>
          </w:p>
        </w:tc>
        <w:tc>
          <w:tcPr>
            <w:tcW w:w="760" w:type="dxa"/>
            <w:tcBorders>
              <w:top w:val="single" w:color="auto" w:sz="4" w:space="0"/>
              <w:left w:val="single" w:color="auto" w:sz="4" w:space="0"/>
              <w:bottom w:val="single" w:color="auto" w:sz="4" w:space="0"/>
              <w:right w:val="single" w:color="auto" w:sz="4" w:space="0"/>
            </w:tcBorders>
            <w:vAlign w:val="center"/>
          </w:tcPr>
          <w:p w14:paraId="54D33E7B">
            <w:pPr>
              <w:jc w:val="center"/>
              <w:rPr>
                <w:rFonts w:ascii="宋体" w:hAnsi="宋体"/>
                <w:bCs/>
                <w:sz w:val="24"/>
                <w:highlight w:val="none"/>
              </w:rPr>
            </w:pPr>
            <w:r>
              <w:rPr>
                <w:rFonts w:ascii="宋体" w:hAnsi="宋体"/>
                <w:bCs/>
                <w:sz w:val="24"/>
                <w:highlight w:val="none"/>
              </w:rPr>
              <w:t>5</w:t>
            </w:r>
          </w:p>
        </w:tc>
        <w:tc>
          <w:tcPr>
            <w:tcW w:w="702" w:type="dxa"/>
            <w:tcBorders>
              <w:top w:val="single" w:color="auto" w:sz="4" w:space="0"/>
              <w:left w:val="single" w:color="auto" w:sz="4" w:space="0"/>
              <w:bottom w:val="single" w:color="auto" w:sz="4" w:space="0"/>
              <w:right w:val="single" w:color="auto" w:sz="4" w:space="0"/>
            </w:tcBorders>
            <w:vAlign w:val="center"/>
          </w:tcPr>
          <w:p w14:paraId="6818EA01">
            <w:pPr>
              <w:jc w:val="center"/>
              <w:rPr>
                <w:rFonts w:ascii="宋体" w:hAnsi="宋体"/>
                <w:bCs/>
                <w:sz w:val="24"/>
                <w:highlight w:val="none"/>
              </w:rPr>
            </w:pPr>
            <w:r>
              <w:rPr>
                <w:rFonts w:ascii="宋体" w:hAnsi="宋体"/>
                <w:bCs/>
                <w:sz w:val="24"/>
                <w:highlight w:val="none"/>
              </w:rPr>
              <w:t>6</w:t>
            </w:r>
          </w:p>
        </w:tc>
        <w:tc>
          <w:tcPr>
            <w:tcW w:w="819" w:type="dxa"/>
            <w:tcBorders>
              <w:top w:val="single" w:color="auto" w:sz="4" w:space="0"/>
              <w:left w:val="single" w:color="auto" w:sz="4" w:space="0"/>
              <w:bottom w:val="single" w:color="auto" w:sz="4" w:space="0"/>
              <w:right w:val="single" w:color="auto" w:sz="4" w:space="0"/>
            </w:tcBorders>
            <w:vAlign w:val="center"/>
          </w:tcPr>
          <w:p w14:paraId="003B97E7">
            <w:pPr>
              <w:jc w:val="center"/>
              <w:rPr>
                <w:rFonts w:ascii="宋体" w:hAnsi="宋体"/>
                <w:bCs/>
                <w:sz w:val="24"/>
                <w:highlight w:val="none"/>
              </w:rPr>
            </w:pPr>
            <w:r>
              <w:rPr>
                <w:rFonts w:ascii="宋体" w:hAnsi="宋体"/>
                <w:bCs/>
                <w:sz w:val="24"/>
                <w:highlight w:val="none"/>
              </w:rPr>
              <w:t>7</w:t>
            </w:r>
          </w:p>
        </w:tc>
        <w:tc>
          <w:tcPr>
            <w:tcW w:w="702" w:type="dxa"/>
            <w:tcBorders>
              <w:top w:val="single" w:color="auto" w:sz="4" w:space="0"/>
              <w:left w:val="single" w:color="auto" w:sz="4" w:space="0"/>
              <w:bottom w:val="single" w:color="auto" w:sz="4" w:space="0"/>
              <w:right w:val="single" w:color="auto" w:sz="4" w:space="0"/>
            </w:tcBorders>
            <w:vAlign w:val="center"/>
          </w:tcPr>
          <w:p w14:paraId="51AF174A">
            <w:pPr>
              <w:jc w:val="center"/>
              <w:rPr>
                <w:rFonts w:ascii="宋体" w:hAnsi="宋体"/>
                <w:bCs/>
                <w:sz w:val="24"/>
                <w:highlight w:val="none"/>
              </w:rPr>
            </w:pPr>
            <w:r>
              <w:rPr>
                <w:rFonts w:ascii="宋体" w:hAnsi="宋体"/>
                <w:bCs/>
                <w:sz w:val="24"/>
                <w:highlight w:val="none"/>
              </w:rPr>
              <w:t>8</w:t>
            </w:r>
          </w:p>
        </w:tc>
        <w:tc>
          <w:tcPr>
            <w:tcW w:w="702" w:type="dxa"/>
            <w:tcBorders>
              <w:top w:val="single" w:color="auto" w:sz="4" w:space="0"/>
              <w:left w:val="single" w:color="auto" w:sz="4" w:space="0"/>
              <w:bottom w:val="single" w:color="auto" w:sz="4" w:space="0"/>
              <w:right w:val="single" w:color="auto" w:sz="4" w:space="0"/>
            </w:tcBorders>
            <w:vAlign w:val="center"/>
          </w:tcPr>
          <w:p w14:paraId="3C17F626">
            <w:pPr>
              <w:jc w:val="center"/>
              <w:rPr>
                <w:rFonts w:ascii="宋体" w:hAnsi="宋体"/>
                <w:bCs/>
                <w:sz w:val="24"/>
                <w:highlight w:val="none"/>
              </w:rPr>
            </w:pPr>
            <w:r>
              <w:rPr>
                <w:rFonts w:ascii="宋体" w:hAnsi="宋体"/>
                <w:bCs/>
                <w:sz w:val="24"/>
                <w:highlight w:val="none"/>
              </w:rPr>
              <w:t>9</w:t>
            </w:r>
          </w:p>
        </w:tc>
        <w:tc>
          <w:tcPr>
            <w:tcW w:w="702" w:type="dxa"/>
            <w:tcBorders>
              <w:top w:val="single" w:color="auto" w:sz="4" w:space="0"/>
              <w:left w:val="single" w:color="auto" w:sz="4" w:space="0"/>
              <w:bottom w:val="single" w:color="auto" w:sz="4" w:space="0"/>
              <w:right w:val="single" w:color="auto" w:sz="4" w:space="0"/>
            </w:tcBorders>
            <w:vAlign w:val="center"/>
          </w:tcPr>
          <w:p w14:paraId="67C97B50">
            <w:pPr>
              <w:jc w:val="center"/>
              <w:rPr>
                <w:rFonts w:ascii="宋体" w:hAnsi="宋体"/>
                <w:bCs/>
                <w:sz w:val="24"/>
                <w:highlight w:val="none"/>
              </w:rPr>
            </w:pPr>
            <w:r>
              <w:rPr>
                <w:rFonts w:ascii="宋体" w:hAnsi="宋体"/>
                <w:bCs/>
                <w:sz w:val="24"/>
                <w:highlight w:val="none"/>
              </w:rPr>
              <w:t>10</w:t>
            </w:r>
          </w:p>
        </w:tc>
        <w:tc>
          <w:tcPr>
            <w:tcW w:w="819" w:type="dxa"/>
            <w:tcBorders>
              <w:top w:val="single" w:color="auto" w:sz="4" w:space="0"/>
              <w:left w:val="single" w:color="auto" w:sz="4" w:space="0"/>
              <w:bottom w:val="single" w:color="auto" w:sz="4" w:space="0"/>
              <w:right w:val="single" w:color="auto" w:sz="4" w:space="0"/>
            </w:tcBorders>
            <w:vAlign w:val="center"/>
          </w:tcPr>
          <w:p w14:paraId="4935AEA7">
            <w:pPr>
              <w:jc w:val="center"/>
              <w:rPr>
                <w:rFonts w:ascii="宋体" w:hAnsi="宋体"/>
                <w:bCs/>
                <w:sz w:val="24"/>
                <w:highlight w:val="none"/>
              </w:rPr>
            </w:pPr>
            <w:r>
              <w:rPr>
                <w:rFonts w:ascii="宋体" w:hAnsi="宋体"/>
                <w:bCs/>
                <w:sz w:val="24"/>
                <w:highlight w:val="none"/>
              </w:rPr>
              <w:t>11</w:t>
            </w:r>
          </w:p>
        </w:tc>
        <w:tc>
          <w:tcPr>
            <w:tcW w:w="702" w:type="dxa"/>
            <w:tcBorders>
              <w:top w:val="single" w:color="auto" w:sz="4" w:space="0"/>
              <w:left w:val="single" w:color="auto" w:sz="4" w:space="0"/>
              <w:bottom w:val="single" w:color="auto" w:sz="4" w:space="0"/>
              <w:right w:val="single" w:color="auto" w:sz="4" w:space="0"/>
            </w:tcBorders>
            <w:vAlign w:val="center"/>
          </w:tcPr>
          <w:p w14:paraId="6E085500">
            <w:pPr>
              <w:jc w:val="center"/>
              <w:rPr>
                <w:rFonts w:ascii="宋体" w:hAnsi="宋体"/>
                <w:bCs/>
                <w:sz w:val="24"/>
                <w:highlight w:val="none"/>
              </w:rPr>
            </w:pPr>
            <w:r>
              <w:rPr>
                <w:rFonts w:ascii="宋体" w:hAnsi="宋体"/>
                <w:bCs/>
                <w:sz w:val="24"/>
                <w:highlight w:val="none"/>
              </w:rPr>
              <w:t>12</w:t>
            </w:r>
          </w:p>
        </w:tc>
        <w:tc>
          <w:tcPr>
            <w:tcW w:w="702" w:type="dxa"/>
            <w:tcBorders>
              <w:top w:val="single" w:color="auto" w:sz="4" w:space="0"/>
              <w:left w:val="single" w:color="auto" w:sz="4" w:space="0"/>
              <w:bottom w:val="single" w:color="auto" w:sz="4" w:space="0"/>
              <w:right w:val="single" w:color="auto" w:sz="4" w:space="0"/>
            </w:tcBorders>
            <w:vAlign w:val="center"/>
          </w:tcPr>
          <w:p w14:paraId="262ED015">
            <w:pPr>
              <w:jc w:val="center"/>
              <w:rPr>
                <w:rFonts w:ascii="宋体" w:hAnsi="宋体"/>
                <w:bCs/>
                <w:sz w:val="24"/>
                <w:highlight w:val="none"/>
              </w:rPr>
            </w:pPr>
            <w:r>
              <w:rPr>
                <w:rFonts w:ascii="宋体" w:hAnsi="宋体"/>
                <w:bCs/>
                <w:sz w:val="24"/>
                <w:highlight w:val="none"/>
              </w:rPr>
              <w:t>13</w:t>
            </w:r>
          </w:p>
        </w:tc>
        <w:tc>
          <w:tcPr>
            <w:tcW w:w="702" w:type="dxa"/>
            <w:tcBorders>
              <w:top w:val="single" w:color="auto" w:sz="4" w:space="0"/>
              <w:left w:val="single" w:color="auto" w:sz="4" w:space="0"/>
              <w:bottom w:val="single" w:color="auto" w:sz="4" w:space="0"/>
              <w:right w:val="single" w:color="auto" w:sz="4" w:space="0"/>
            </w:tcBorders>
            <w:vAlign w:val="center"/>
          </w:tcPr>
          <w:p w14:paraId="78577678">
            <w:pPr>
              <w:jc w:val="center"/>
              <w:rPr>
                <w:rFonts w:ascii="宋体" w:hAnsi="宋体"/>
                <w:bCs/>
                <w:sz w:val="24"/>
                <w:highlight w:val="none"/>
              </w:rPr>
            </w:pPr>
            <w:r>
              <w:rPr>
                <w:rFonts w:ascii="宋体" w:hAnsi="宋体"/>
                <w:bCs/>
                <w:sz w:val="24"/>
                <w:highlight w:val="none"/>
              </w:rPr>
              <w:t>14</w:t>
            </w:r>
          </w:p>
        </w:tc>
        <w:tc>
          <w:tcPr>
            <w:tcW w:w="819" w:type="dxa"/>
            <w:tcBorders>
              <w:top w:val="single" w:color="auto" w:sz="4" w:space="0"/>
              <w:left w:val="single" w:color="auto" w:sz="4" w:space="0"/>
              <w:bottom w:val="single" w:color="auto" w:sz="4" w:space="0"/>
              <w:right w:val="single" w:color="auto" w:sz="4" w:space="0"/>
            </w:tcBorders>
            <w:vAlign w:val="center"/>
          </w:tcPr>
          <w:p w14:paraId="2E4C9E59">
            <w:pPr>
              <w:jc w:val="center"/>
              <w:rPr>
                <w:rFonts w:ascii="宋体" w:hAnsi="宋体"/>
                <w:bCs/>
                <w:sz w:val="24"/>
                <w:highlight w:val="none"/>
              </w:rPr>
            </w:pPr>
            <w:r>
              <w:rPr>
                <w:rFonts w:ascii="宋体" w:hAnsi="宋体"/>
                <w:bCs/>
                <w:sz w:val="24"/>
                <w:highlight w:val="none"/>
              </w:rPr>
              <w:t>15</w:t>
            </w:r>
          </w:p>
        </w:tc>
        <w:tc>
          <w:tcPr>
            <w:tcW w:w="819" w:type="dxa"/>
            <w:tcBorders>
              <w:top w:val="single" w:color="auto" w:sz="4" w:space="0"/>
              <w:left w:val="single" w:color="auto" w:sz="4" w:space="0"/>
              <w:bottom w:val="single" w:color="auto" w:sz="4" w:space="0"/>
              <w:right w:val="single" w:color="auto" w:sz="4" w:space="0"/>
            </w:tcBorders>
            <w:vAlign w:val="center"/>
          </w:tcPr>
          <w:p w14:paraId="7445CB50">
            <w:pPr>
              <w:jc w:val="center"/>
              <w:rPr>
                <w:rFonts w:ascii="宋体" w:hAnsi="宋体"/>
                <w:bCs/>
                <w:sz w:val="24"/>
                <w:highlight w:val="none"/>
              </w:rPr>
            </w:pPr>
            <w:r>
              <w:rPr>
                <w:rFonts w:ascii="宋体" w:hAnsi="宋体"/>
                <w:bCs/>
                <w:sz w:val="24"/>
                <w:highlight w:val="none"/>
              </w:rPr>
              <w:t>16</w:t>
            </w:r>
          </w:p>
        </w:tc>
        <w:tc>
          <w:tcPr>
            <w:tcW w:w="702" w:type="dxa"/>
            <w:tcBorders>
              <w:top w:val="single" w:color="auto" w:sz="4" w:space="0"/>
              <w:left w:val="single" w:color="auto" w:sz="4" w:space="0"/>
              <w:bottom w:val="single" w:color="auto" w:sz="4" w:space="0"/>
              <w:right w:val="single" w:color="auto" w:sz="4" w:space="0"/>
            </w:tcBorders>
            <w:vAlign w:val="center"/>
          </w:tcPr>
          <w:p w14:paraId="030ACF73">
            <w:pPr>
              <w:jc w:val="center"/>
              <w:rPr>
                <w:rFonts w:ascii="宋体" w:hAnsi="宋体"/>
                <w:bCs/>
                <w:sz w:val="24"/>
                <w:highlight w:val="none"/>
              </w:rPr>
            </w:pPr>
            <w:r>
              <w:rPr>
                <w:rFonts w:ascii="宋体" w:hAnsi="宋体"/>
                <w:bCs/>
                <w:sz w:val="24"/>
                <w:highlight w:val="none"/>
              </w:rPr>
              <w:t>17</w:t>
            </w:r>
          </w:p>
        </w:tc>
        <w:tc>
          <w:tcPr>
            <w:tcW w:w="585" w:type="dxa"/>
            <w:tcBorders>
              <w:top w:val="single" w:color="auto" w:sz="4" w:space="0"/>
              <w:left w:val="single" w:color="auto" w:sz="4" w:space="0"/>
              <w:bottom w:val="single" w:color="auto" w:sz="4" w:space="0"/>
              <w:right w:val="single" w:color="auto" w:sz="4" w:space="0"/>
            </w:tcBorders>
            <w:vAlign w:val="center"/>
          </w:tcPr>
          <w:p w14:paraId="24AB2BAF">
            <w:pPr>
              <w:jc w:val="center"/>
              <w:rPr>
                <w:rFonts w:ascii="宋体" w:hAnsi="宋体"/>
                <w:bCs/>
                <w:sz w:val="24"/>
                <w:highlight w:val="none"/>
              </w:rPr>
            </w:pPr>
            <w:r>
              <w:rPr>
                <w:rFonts w:ascii="宋体" w:hAnsi="宋体"/>
                <w:bCs/>
                <w:sz w:val="24"/>
                <w:highlight w:val="none"/>
              </w:rPr>
              <w:t>18</w:t>
            </w:r>
          </w:p>
        </w:tc>
      </w:tr>
      <w:tr w14:paraId="6F0DE4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7" w:hRule="atLeast"/>
        </w:trPr>
        <w:tc>
          <w:tcPr>
            <w:tcW w:w="1101" w:type="dxa"/>
            <w:tcBorders>
              <w:top w:val="single" w:color="auto" w:sz="4" w:space="0"/>
              <w:left w:val="single" w:color="auto" w:sz="4" w:space="0"/>
              <w:bottom w:val="single" w:color="auto" w:sz="4" w:space="0"/>
              <w:right w:val="single" w:color="auto" w:sz="4" w:space="0"/>
            </w:tcBorders>
            <w:vAlign w:val="center"/>
          </w:tcPr>
          <w:p w14:paraId="79A19BA8">
            <w:pPr>
              <w:jc w:val="center"/>
              <w:rPr>
                <w:bCs/>
                <w:sz w:val="24"/>
                <w:highlight w:val="none"/>
              </w:rPr>
            </w:pPr>
          </w:p>
        </w:tc>
        <w:tc>
          <w:tcPr>
            <w:tcW w:w="992" w:type="dxa"/>
            <w:tcBorders>
              <w:top w:val="single" w:color="auto" w:sz="4" w:space="0"/>
              <w:left w:val="single" w:color="auto" w:sz="4" w:space="0"/>
              <w:bottom w:val="single" w:color="auto" w:sz="4" w:space="0"/>
              <w:right w:val="single" w:color="auto" w:sz="4" w:space="0"/>
            </w:tcBorders>
            <w:vAlign w:val="center"/>
          </w:tcPr>
          <w:p w14:paraId="03716350">
            <w:pPr>
              <w:jc w:val="center"/>
              <w:rPr>
                <w:bCs/>
                <w:sz w:val="24"/>
                <w:highlight w:val="none"/>
              </w:rPr>
            </w:pPr>
          </w:p>
        </w:tc>
        <w:tc>
          <w:tcPr>
            <w:tcW w:w="850" w:type="dxa"/>
            <w:tcBorders>
              <w:top w:val="single" w:color="auto" w:sz="4" w:space="0"/>
              <w:left w:val="single" w:color="auto" w:sz="4" w:space="0"/>
              <w:bottom w:val="single" w:color="auto" w:sz="4" w:space="0"/>
              <w:right w:val="single" w:color="auto" w:sz="4" w:space="0"/>
            </w:tcBorders>
            <w:vAlign w:val="center"/>
          </w:tcPr>
          <w:p w14:paraId="2A334CDB">
            <w:pPr>
              <w:jc w:val="center"/>
              <w:rPr>
                <w:bCs/>
                <w:sz w:val="24"/>
                <w:highlight w:val="none"/>
              </w:rPr>
            </w:pPr>
          </w:p>
        </w:tc>
        <w:tc>
          <w:tcPr>
            <w:tcW w:w="851" w:type="dxa"/>
            <w:tcBorders>
              <w:top w:val="single" w:color="auto" w:sz="4" w:space="0"/>
              <w:left w:val="single" w:color="auto" w:sz="4" w:space="0"/>
              <w:bottom w:val="single" w:color="auto" w:sz="4" w:space="0"/>
              <w:right w:val="single" w:color="auto" w:sz="4" w:space="0"/>
            </w:tcBorders>
            <w:vAlign w:val="center"/>
          </w:tcPr>
          <w:p w14:paraId="1299A6EE">
            <w:pPr>
              <w:jc w:val="center"/>
              <w:rPr>
                <w:bCs/>
                <w:sz w:val="24"/>
                <w:highlight w:val="none"/>
              </w:rPr>
            </w:pPr>
          </w:p>
        </w:tc>
        <w:tc>
          <w:tcPr>
            <w:tcW w:w="760" w:type="dxa"/>
            <w:tcBorders>
              <w:top w:val="single" w:color="auto" w:sz="4" w:space="0"/>
              <w:left w:val="single" w:color="auto" w:sz="4" w:space="0"/>
              <w:bottom w:val="single" w:color="auto" w:sz="4" w:space="0"/>
              <w:right w:val="single" w:color="auto" w:sz="4" w:space="0"/>
            </w:tcBorders>
            <w:vAlign w:val="center"/>
          </w:tcPr>
          <w:p w14:paraId="41647D23">
            <w:pPr>
              <w:jc w:val="center"/>
              <w:rPr>
                <w:bCs/>
                <w:sz w:val="24"/>
                <w:highlight w:val="none"/>
              </w:rPr>
            </w:pPr>
          </w:p>
        </w:tc>
        <w:tc>
          <w:tcPr>
            <w:tcW w:w="702" w:type="dxa"/>
            <w:tcBorders>
              <w:top w:val="single" w:color="auto" w:sz="4" w:space="0"/>
              <w:left w:val="single" w:color="auto" w:sz="4" w:space="0"/>
              <w:bottom w:val="single" w:color="auto" w:sz="4" w:space="0"/>
              <w:right w:val="single" w:color="auto" w:sz="4" w:space="0"/>
            </w:tcBorders>
            <w:vAlign w:val="center"/>
          </w:tcPr>
          <w:p w14:paraId="675BDA04">
            <w:pPr>
              <w:jc w:val="center"/>
              <w:rPr>
                <w:bCs/>
                <w:sz w:val="24"/>
                <w:highlight w:val="none"/>
              </w:rPr>
            </w:pPr>
          </w:p>
        </w:tc>
        <w:tc>
          <w:tcPr>
            <w:tcW w:w="819" w:type="dxa"/>
            <w:tcBorders>
              <w:top w:val="single" w:color="auto" w:sz="4" w:space="0"/>
              <w:left w:val="single" w:color="auto" w:sz="4" w:space="0"/>
              <w:bottom w:val="single" w:color="auto" w:sz="4" w:space="0"/>
              <w:right w:val="single" w:color="auto" w:sz="4" w:space="0"/>
            </w:tcBorders>
            <w:vAlign w:val="center"/>
          </w:tcPr>
          <w:p w14:paraId="6DCEE10C">
            <w:pPr>
              <w:jc w:val="center"/>
              <w:rPr>
                <w:bCs/>
                <w:sz w:val="24"/>
                <w:highlight w:val="none"/>
              </w:rPr>
            </w:pPr>
          </w:p>
        </w:tc>
        <w:tc>
          <w:tcPr>
            <w:tcW w:w="702" w:type="dxa"/>
            <w:tcBorders>
              <w:top w:val="single" w:color="auto" w:sz="4" w:space="0"/>
              <w:left w:val="single" w:color="auto" w:sz="4" w:space="0"/>
              <w:bottom w:val="single" w:color="auto" w:sz="4" w:space="0"/>
              <w:right w:val="single" w:color="auto" w:sz="4" w:space="0"/>
            </w:tcBorders>
            <w:vAlign w:val="center"/>
          </w:tcPr>
          <w:p w14:paraId="266EE29C">
            <w:pPr>
              <w:jc w:val="center"/>
              <w:rPr>
                <w:bCs/>
                <w:sz w:val="24"/>
                <w:highlight w:val="none"/>
              </w:rPr>
            </w:pPr>
          </w:p>
        </w:tc>
        <w:tc>
          <w:tcPr>
            <w:tcW w:w="702" w:type="dxa"/>
            <w:tcBorders>
              <w:top w:val="single" w:color="auto" w:sz="4" w:space="0"/>
              <w:left w:val="single" w:color="auto" w:sz="4" w:space="0"/>
              <w:bottom w:val="single" w:color="auto" w:sz="4" w:space="0"/>
              <w:right w:val="single" w:color="auto" w:sz="4" w:space="0"/>
            </w:tcBorders>
            <w:vAlign w:val="center"/>
          </w:tcPr>
          <w:p w14:paraId="44D1525B">
            <w:pPr>
              <w:jc w:val="center"/>
              <w:rPr>
                <w:bCs/>
                <w:sz w:val="24"/>
                <w:highlight w:val="none"/>
              </w:rPr>
            </w:pPr>
          </w:p>
        </w:tc>
        <w:tc>
          <w:tcPr>
            <w:tcW w:w="702" w:type="dxa"/>
            <w:tcBorders>
              <w:top w:val="single" w:color="auto" w:sz="4" w:space="0"/>
              <w:left w:val="single" w:color="auto" w:sz="4" w:space="0"/>
              <w:bottom w:val="single" w:color="auto" w:sz="4" w:space="0"/>
              <w:right w:val="single" w:color="auto" w:sz="4" w:space="0"/>
            </w:tcBorders>
            <w:vAlign w:val="center"/>
          </w:tcPr>
          <w:p w14:paraId="3990D0F8">
            <w:pPr>
              <w:jc w:val="center"/>
              <w:rPr>
                <w:bCs/>
                <w:sz w:val="24"/>
                <w:highlight w:val="none"/>
              </w:rPr>
            </w:pPr>
          </w:p>
        </w:tc>
        <w:tc>
          <w:tcPr>
            <w:tcW w:w="819" w:type="dxa"/>
            <w:tcBorders>
              <w:top w:val="single" w:color="auto" w:sz="4" w:space="0"/>
              <w:left w:val="single" w:color="auto" w:sz="4" w:space="0"/>
              <w:bottom w:val="single" w:color="auto" w:sz="4" w:space="0"/>
              <w:right w:val="single" w:color="auto" w:sz="4" w:space="0"/>
            </w:tcBorders>
            <w:vAlign w:val="center"/>
          </w:tcPr>
          <w:p w14:paraId="33C33523">
            <w:pPr>
              <w:jc w:val="center"/>
              <w:rPr>
                <w:bCs/>
                <w:sz w:val="24"/>
                <w:highlight w:val="none"/>
              </w:rPr>
            </w:pPr>
          </w:p>
        </w:tc>
        <w:tc>
          <w:tcPr>
            <w:tcW w:w="702" w:type="dxa"/>
            <w:tcBorders>
              <w:top w:val="single" w:color="auto" w:sz="4" w:space="0"/>
              <w:left w:val="single" w:color="auto" w:sz="4" w:space="0"/>
              <w:bottom w:val="single" w:color="auto" w:sz="4" w:space="0"/>
              <w:right w:val="single" w:color="auto" w:sz="4" w:space="0"/>
            </w:tcBorders>
            <w:vAlign w:val="center"/>
          </w:tcPr>
          <w:p w14:paraId="437B5295">
            <w:pPr>
              <w:jc w:val="center"/>
              <w:rPr>
                <w:bCs/>
                <w:sz w:val="24"/>
                <w:highlight w:val="none"/>
              </w:rPr>
            </w:pPr>
          </w:p>
        </w:tc>
        <w:tc>
          <w:tcPr>
            <w:tcW w:w="702" w:type="dxa"/>
            <w:tcBorders>
              <w:top w:val="single" w:color="auto" w:sz="4" w:space="0"/>
              <w:left w:val="single" w:color="auto" w:sz="4" w:space="0"/>
              <w:bottom w:val="single" w:color="auto" w:sz="4" w:space="0"/>
              <w:right w:val="single" w:color="auto" w:sz="4" w:space="0"/>
            </w:tcBorders>
            <w:vAlign w:val="center"/>
          </w:tcPr>
          <w:p w14:paraId="7CDAE016">
            <w:pPr>
              <w:jc w:val="center"/>
              <w:rPr>
                <w:bCs/>
                <w:sz w:val="24"/>
                <w:highlight w:val="none"/>
              </w:rPr>
            </w:pPr>
          </w:p>
        </w:tc>
        <w:tc>
          <w:tcPr>
            <w:tcW w:w="702" w:type="dxa"/>
            <w:tcBorders>
              <w:top w:val="single" w:color="auto" w:sz="4" w:space="0"/>
              <w:left w:val="single" w:color="auto" w:sz="4" w:space="0"/>
              <w:bottom w:val="single" w:color="auto" w:sz="4" w:space="0"/>
              <w:right w:val="single" w:color="auto" w:sz="4" w:space="0"/>
            </w:tcBorders>
            <w:vAlign w:val="center"/>
          </w:tcPr>
          <w:p w14:paraId="0F98E726">
            <w:pPr>
              <w:jc w:val="center"/>
              <w:rPr>
                <w:bCs/>
                <w:sz w:val="24"/>
                <w:highlight w:val="none"/>
              </w:rPr>
            </w:pPr>
          </w:p>
        </w:tc>
        <w:tc>
          <w:tcPr>
            <w:tcW w:w="819" w:type="dxa"/>
            <w:tcBorders>
              <w:top w:val="single" w:color="auto" w:sz="4" w:space="0"/>
              <w:left w:val="single" w:color="auto" w:sz="4" w:space="0"/>
              <w:bottom w:val="single" w:color="auto" w:sz="4" w:space="0"/>
              <w:right w:val="single" w:color="auto" w:sz="4" w:space="0"/>
            </w:tcBorders>
            <w:vAlign w:val="center"/>
          </w:tcPr>
          <w:p w14:paraId="458B2DC0">
            <w:pPr>
              <w:jc w:val="center"/>
              <w:rPr>
                <w:bCs/>
                <w:sz w:val="24"/>
                <w:highlight w:val="none"/>
              </w:rPr>
            </w:pPr>
          </w:p>
        </w:tc>
        <w:tc>
          <w:tcPr>
            <w:tcW w:w="819" w:type="dxa"/>
            <w:tcBorders>
              <w:top w:val="single" w:color="auto" w:sz="4" w:space="0"/>
              <w:left w:val="single" w:color="auto" w:sz="4" w:space="0"/>
              <w:bottom w:val="single" w:color="auto" w:sz="4" w:space="0"/>
              <w:right w:val="single" w:color="auto" w:sz="4" w:space="0"/>
            </w:tcBorders>
            <w:vAlign w:val="center"/>
          </w:tcPr>
          <w:p w14:paraId="0BBBA36B">
            <w:pPr>
              <w:jc w:val="center"/>
              <w:rPr>
                <w:bCs/>
                <w:sz w:val="24"/>
                <w:highlight w:val="none"/>
              </w:rPr>
            </w:pPr>
          </w:p>
        </w:tc>
        <w:tc>
          <w:tcPr>
            <w:tcW w:w="702" w:type="dxa"/>
            <w:tcBorders>
              <w:top w:val="single" w:color="auto" w:sz="4" w:space="0"/>
              <w:left w:val="single" w:color="auto" w:sz="4" w:space="0"/>
              <w:bottom w:val="single" w:color="auto" w:sz="4" w:space="0"/>
              <w:right w:val="single" w:color="auto" w:sz="4" w:space="0"/>
            </w:tcBorders>
            <w:vAlign w:val="center"/>
          </w:tcPr>
          <w:p w14:paraId="1BF33FF3">
            <w:pPr>
              <w:jc w:val="center"/>
              <w:rPr>
                <w:bCs/>
                <w:sz w:val="24"/>
                <w:highlight w:val="none"/>
              </w:rPr>
            </w:pPr>
          </w:p>
        </w:tc>
        <w:tc>
          <w:tcPr>
            <w:tcW w:w="585" w:type="dxa"/>
            <w:tcBorders>
              <w:top w:val="single" w:color="auto" w:sz="4" w:space="0"/>
              <w:left w:val="single" w:color="auto" w:sz="4" w:space="0"/>
              <w:bottom w:val="single" w:color="auto" w:sz="4" w:space="0"/>
              <w:right w:val="single" w:color="auto" w:sz="4" w:space="0"/>
            </w:tcBorders>
            <w:vAlign w:val="center"/>
          </w:tcPr>
          <w:p w14:paraId="26E2772D">
            <w:pPr>
              <w:jc w:val="center"/>
              <w:rPr>
                <w:bCs/>
                <w:sz w:val="24"/>
                <w:highlight w:val="none"/>
              </w:rPr>
            </w:pPr>
          </w:p>
        </w:tc>
      </w:tr>
      <w:tr w14:paraId="0967F9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7" w:hRule="atLeast"/>
        </w:trPr>
        <w:tc>
          <w:tcPr>
            <w:tcW w:w="1101" w:type="dxa"/>
            <w:tcBorders>
              <w:top w:val="single" w:color="auto" w:sz="4" w:space="0"/>
              <w:left w:val="single" w:color="auto" w:sz="4" w:space="0"/>
              <w:bottom w:val="single" w:color="auto" w:sz="4" w:space="0"/>
              <w:right w:val="single" w:color="auto" w:sz="4" w:space="0"/>
            </w:tcBorders>
            <w:vAlign w:val="center"/>
          </w:tcPr>
          <w:p w14:paraId="0770B4C6">
            <w:pPr>
              <w:jc w:val="center"/>
              <w:rPr>
                <w:bCs/>
                <w:sz w:val="24"/>
                <w:highlight w:val="none"/>
              </w:rPr>
            </w:pPr>
          </w:p>
        </w:tc>
        <w:tc>
          <w:tcPr>
            <w:tcW w:w="992" w:type="dxa"/>
            <w:tcBorders>
              <w:top w:val="single" w:color="auto" w:sz="4" w:space="0"/>
              <w:left w:val="single" w:color="auto" w:sz="4" w:space="0"/>
              <w:bottom w:val="single" w:color="auto" w:sz="4" w:space="0"/>
              <w:right w:val="single" w:color="auto" w:sz="4" w:space="0"/>
            </w:tcBorders>
            <w:vAlign w:val="center"/>
          </w:tcPr>
          <w:p w14:paraId="52A5B146">
            <w:pPr>
              <w:jc w:val="center"/>
              <w:rPr>
                <w:bCs/>
                <w:sz w:val="24"/>
                <w:highlight w:val="none"/>
              </w:rPr>
            </w:pPr>
          </w:p>
        </w:tc>
        <w:tc>
          <w:tcPr>
            <w:tcW w:w="850" w:type="dxa"/>
            <w:tcBorders>
              <w:top w:val="single" w:color="auto" w:sz="4" w:space="0"/>
              <w:left w:val="single" w:color="auto" w:sz="4" w:space="0"/>
              <w:bottom w:val="single" w:color="auto" w:sz="4" w:space="0"/>
              <w:right w:val="single" w:color="auto" w:sz="4" w:space="0"/>
            </w:tcBorders>
            <w:vAlign w:val="center"/>
          </w:tcPr>
          <w:p w14:paraId="62D04938">
            <w:pPr>
              <w:jc w:val="center"/>
              <w:rPr>
                <w:bCs/>
                <w:sz w:val="24"/>
                <w:highlight w:val="none"/>
              </w:rPr>
            </w:pPr>
          </w:p>
        </w:tc>
        <w:tc>
          <w:tcPr>
            <w:tcW w:w="851" w:type="dxa"/>
            <w:tcBorders>
              <w:top w:val="single" w:color="auto" w:sz="4" w:space="0"/>
              <w:left w:val="single" w:color="auto" w:sz="4" w:space="0"/>
              <w:bottom w:val="single" w:color="auto" w:sz="4" w:space="0"/>
              <w:right w:val="single" w:color="auto" w:sz="4" w:space="0"/>
            </w:tcBorders>
            <w:vAlign w:val="center"/>
          </w:tcPr>
          <w:p w14:paraId="5037775A">
            <w:pPr>
              <w:jc w:val="center"/>
              <w:rPr>
                <w:bCs/>
                <w:sz w:val="24"/>
                <w:highlight w:val="none"/>
              </w:rPr>
            </w:pPr>
          </w:p>
        </w:tc>
        <w:tc>
          <w:tcPr>
            <w:tcW w:w="760" w:type="dxa"/>
            <w:tcBorders>
              <w:top w:val="single" w:color="auto" w:sz="4" w:space="0"/>
              <w:left w:val="single" w:color="auto" w:sz="4" w:space="0"/>
              <w:bottom w:val="single" w:color="auto" w:sz="4" w:space="0"/>
              <w:right w:val="single" w:color="auto" w:sz="4" w:space="0"/>
            </w:tcBorders>
            <w:vAlign w:val="center"/>
          </w:tcPr>
          <w:p w14:paraId="1525023E">
            <w:pPr>
              <w:jc w:val="center"/>
              <w:rPr>
                <w:bCs/>
                <w:sz w:val="24"/>
                <w:highlight w:val="none"/>
              </w:rPr>
            </w:pPr>
          </w:p>
        </w:tc>
        <w:tc>
          <w:tcPr>
            <w:tcW w:w="702" w:type="dxa"/>
            <w:tcBorders>
              <w:top w:val="single" w:color="auto" w:sz="4" w:space="0"/>
              <w:left w:val="single" w:color="auto" w:sz="4" w:space="0"/>
              <w:bottom w:val="single" w:color="auto" w:sz="4" w:space="0"/>
              <w:right w:val="single" w:color="auto" w:sz="4" w:space="0"/>
            </w:tcBorders>
            <w:vAlign w:val="center"/>
          </w:tcPr>
          <w:p w14:paraId="5CFC0241">
            <w:pPr>
              <w:jc w:val="center"/>
              <w:rPr>
                <w:bCs/>
                <w:sz w:val="24"/>
                <w:highlight w:val="none"/>
              </w:rPr>
            </w:pPr>
          </w:p>
        </w:tc>
        <w:tc>
          <w:tcPr>
            <w:tcW w:w="819" w:type="dxa"/>
            <w:tcBorders>
              <w:top w:val="single" w:color="auto" w:sz="4" w:space="0"/>
              <w:left w:val="single" w:color="auto" w:sz="4" w:space="0"/>
              <w:bottom w:val="single" w:color="auto" w:sz="4" w:space="0"/>
              <w:right w:val="single" w:color="auto" w:sz="4" w:space="0"/>
            </w:tcBorders>
            <w:vAlign w:val="center"/>
          </w:tcPr>
          <w:p w14:paraId="22CC5649">
            <w:pPr>
              <w:jc w:val="center"/>
              <w:rPr>
                <w:bCs/>
                <w:sz w:val="24"/>
                <w:highlight w:val="none"/>
              </w:rPr>
            </w:pPr>
          </w:p>
        </w:tc>
        <w:tc>
          <w:tcPr>
            <w:tcW w:w="702" w:type="dxa"/>
            <w:tcBorders>
              <w:top w:val="single" w:color="auto" w:sz="4" w:space="0"/>
              <w:left w:val="single" w:color="auto" w:sz="4" w:space="0"/>
              <w:bottom w:val="single" w:color="auto" w:sz="4" w:space="0"/>
              <w:right w:val="single" w:color="auto" w:sz="4" w:space="0"/>
            </w:tcBorders>
            <w:vAlign w:val="center"/>
          </w:tcPr>
          <w:p w14:paraId="1BD5A703">
            <w:pPr>
              <w:jc w:val="center"/>
              <w:rPr>
                <w:bCs/>
                <w:sz w:val="24"/>
                <w:highlight w:val="none"/>
              </w:rPr>
            </w:pPr>
          </w:p>
        </w:tc>
        <w:tc>
          <w:tcPr>
            <w:tcW w:w="702" w:type="dxa"/>
            <w:tcBorders>
              <w:top w:val="single" w:color="auto" w:sz="4" w:space="0"/>
              <w:left w:val="single" w:color="auto" w:sz="4" w:space="0"/>
              <w:bottom w:val="single" w:color="auto" w:sz="4" w:space="0"/>
              <w:right w:val="single" w:color="auto" w:sz="4" w:space="0"/>
            </w:tcBorders>
            <w:vAlign w:val="center"/>
          </w:tcPr>
          <w:p w14:paraId="63A779BD">
            <w:pPr>
              <w:jc w:val="center"/>
              <w:rPr>
                <w:bCs/>
                <w:sz w:val="24"/>
                <w:highlight w:val="none"/>
              </w:rPr>
            </w:pPr>
          </w:p>
        </w:tc>
        <w:tc>
          <w:tcPr>
            <w:tcW w:w="702" w:type="dxa"/>
            <w:tcBorders>
              <w:top w:val="single" w:color="auto" w:sz="4" w:space="0"/>
              <w:left w:val="single" w:color="auto" w:sz="4" w:space="0"/>
              <w:bottom w:val="single" w:color="auto" w:sz="4" w:space="0"/>
              <w:right w:val="single" w:color="auto" w:sz="4" w:space="0"/>
            </w:tcBorders>
            <w:vAlign w:val="center"/>
          </w:tcPr>
          <w:p w14:paraId="78BF0B0B">
            <w:pPr>
              <w:jc w:val="center"/>
              <w:rPr>
                <w:bCs/>
                <w:sz w:val="24"/>
                <w:highlight w:val="none"/>
              </w:rPr>
            </w:pPr>
          </w:p>
        </w:tc>
        <w:tc>
          <w:tcPr>
            <w:tcW w:w="819" w:type="dxa"/>
            <w:tcBorders>
              <w:top w:val="single" w:color="auto" w:sz="4" w:space="0"/>
              <w:left w:val="single" w:color="auto" w:sz="4" w:space="0"/>
              <w:bottom w:val="single" w:color="auto" w:sz="4" w:space="0"/>
              <w:right w:val="single" w:color="auto" w:sz="4" w:space="0"/>
            </w:tcBorders>
            <w:vAlign w:val="center"/>
          </w:tcPr>
          <w:p w14:paraId="3967731B">
            <w:pPr>
              <w:jc w:val="center"/>
              <w:rPr>
                <w:bCs/>
                <w:sz w:val="24"/>
                <w:highlight w:val="none"/>
              </w:rPr>
            </w:pPr>
          </w:p>
        </w:tc>
        <w:tc>
          <w:tcPr>
            <w:tcW w:w="702" w:type="dxa"/>
            <w:tcBorders>
              <w:top w:val="single" w:color="auto" w:sz="4" w:space="0"/>
              <w:left w:val="single" w:color="auto" w:sz="4" w:space="0"/>
              <w:bottom w:val="single" w:color="auto" w:sz="4" w:space="0"/>
              <w:right w:val="single" w:color="auto" w:sz="4" w:space="0"/>
            </w:tcBorders>
            <w:vAlign w:val="center"/>
          </w:tcPr>
          <w:p w14:paraId="460FC307">
            <w:pPr>
              <w:jc w:val="center"/>
              <w:rPr>
                <w:bCs/>
                <w:sz w:val="24"/>
                <w:highlight w:val="none"/>
              </w:rPr>
            </w:pPr>
          </w:p>
        </w:tc>
        <w:tc>
          <w:tcPr>
            <w:tcW w:w="702" w:type="dxa"/>
            <w:tcBorders>
              <w:top w:val="single" w:color="auto" w:sz="4" w:space="0"/>
              <w:left w:val="single" w:color="auto" w:sz="4" w:space="0"/>
              <w:bottom w:val="single" w:color="auto" w:sz="4" w:space="0"/>
              <w:right w:val="single" w:color="auto" w:sz="4" w:space="0"/>
            </w:tcBorders>
            <w:vAlign w:val="center"/>
          </w:tcPr>
          <w:p w14:paraId="6C2BEB6B">
            <w:pPr>
              <w:jc w:val="center"/>
              <w:rPr>
                <w:bCs/>
                <w:sz w:val="24"/>
                <w:highlight w:val="none"/>
              </w:rPr>
            </w:pPr>
          </w:p>
        </w:tc>
        <w:tc>
          <w:tcPr>
            <w:tcW w:w="702" w:type="dxa"/>
            <w:tcBorders>
              <w:top w:val="single" w:color="auto" w:sz="4" w:space="0"/>
              <w:left w:val="single" w:color="auto" w:sz="4" w:space="0"/>
              <w:bottom w:val="single" w:color="auto" w:sz="4" w:space="0"/>
              <w:right w:val="single" w:color="auto" w:sz="4" w:space="0"/>
            </w:tcBorders>
            <w:vAlign w:val="center"/>
          </w:tcPr>
          <w:p w14:paraId="5F48CDCC">
            <w:pPr>
              <w:jc w:val="center"/>
              <w:rPr>
                <w:bCs/>
                <w:sz w:val="24"/>
                <w:highlight w:val="none"/>
              </w:rPr>
            </w:pPr>
          </w:p>
        </w:tc>
        <w:tc>
          <w:tcPr>
            <w:tcW w:w="819" w:type="dxa"/>
            <w:tcBorders>
              <w:top w:val="single" w:color="auto" w:sz="4" w:space="0"/>
              <w:left w:val="single" w:color="auto" w:sz="4" w:space="0"/>
              <w:bottom w:val="single" w:color="auto" w:sz="4" w:space="0"/>
              <w:right w:val="single" w:color="auto" w:sz="4" w:space="0"/>
            </w:tcBorders>
            <w:vAlign w:val="center"/>
          </w:tcPr>
          <w:p w14:paraId="4FCC6DC8">
            <w:pPr>
              <w:jc w:val="center"/>
              <w:rPr>
                <w:bCs/>
                <w:sz w:val="24"/>
                <w:highlight w:val="none"/>
              </w:rPr>
            </w:pPr>
          </w:p>
        </w:tc>
        <w:tc>
          <w:tcPr>
            <w:tcW w:w="819" w:type="dxa"/>
            <w:tcBorders>
              <w:top w:val="single" w:color="auto" w:sz="4" w:space="0"/>
              <w:left w:val="single" w:color="auto" w:sz="4" w:space="0"/>
              <w:bottom w:val="single" w:color="auto" w:sz="4" w:space="0"/>
              <w:right w:val="single" w:color="auto" w:sz="4" w:space="0"/>
            </w:tcBorders>
            <w:vAlign w:val="center"/>
          </w:tcPr>
          <w:p w14:paraId="148F61FC">
            <w:pPr>
              <w:jc w:val="center"/>
              <w:rPr>
                <w:bCs/>
                <w:sz w:val="24"/>
                <w:highlight w:val="none"/>
              </w:rPr>
            </w:pPr>
          </w:p>
        </w:tc>
        <w:tc>
          <w:tcPr>
            <w:tcW w:w="702" w:type="dxa"/>
            <w:tcBorders>
              <w:top w:val="single" w:color="auto" w:sz="4" w:space="0"/>
              <w:left w:val="single" w:color="auto" w:sz="4" w:space="0"/>
              <w:bottom w:val="single" w:color="auto" w:sz="4" w:space="0"/>
              <w:right w:val="single" w:color="auto" w:sz="4" w:space="0"/>
            </w:tcBorders>
            <w:vAlign w:val="center"/>
          </w:tcPr>
          <w:p w14:paraId="4392E239">
            <w:pPr>
              <w:jc w:val="center"/>
              <w:rPr>
                <w:bCs/>
                <w:sz w:val="24"/>
                <w:highlight w:val="none"/>
              </w:rPr>
            </w:pPr>
          </w:p>
        </w:tc>
        <w:tc>
          <w:tcPr>
            <w:tcW w:w="585" w:type="dxa"/>
            <w:tcBorders>
              <w:top w:val="single" w:color="auto" w:sz="4" w:space="0"/>
              <w:left w:val="single" w:color="auto" w:sz="4" w:space="0"/>
              <w:bottom w:val="single" w:color="auto" w:sz="4" w:space="0"/>
              <w:right w:val="single" w:color="auto" w:sz="4" w:space="0"/>
            </w:tcBorders>
            <w:vAlign w:val="center"/>
          </w:tcPr>
          <w:p w14:paraId="0D3B3774">
            <w:pPr>
              <w:jc w:val="center"/>
              <w:rPr>
                <w:bCs/>
                <w:sz w:val="24"/>
                <w:highlight w:val="none"/>
              </w:rPr>
            </w:pPr>
          </w:p>
        </w:tc>
      </w:tr>
      <w:tr w14:paraId="2DA100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7" w:hRule="atLeast"/>
        </w:trPr>
        <w:tc>
          <w:tcPr>
            <w:tcW w:w="1101" w:type="dxa"/>
            <w:tcBorders>
              <w:top w:val="single" w:color="auto" w:sz="4" w:space="0"/>
              <w:left w:val="single" w:color="auto" w:sz="4" w:space="0"/>
              <w:bottom w:val="single" w:color="auto" w:sz="4" w:space="0"/>
              <w:right w:val="single" w:color="auto" w:sz="4" w:space="0"/>
            </w:tcBorders>
            <w:vAlign w:val="center"/>
          </w:tcPr>
          <w:p w14:paraId="7E2DAD2A">
            <w:pPr>
              <w:jc w:val="center"/>
              <w:rPr>
                <w:bCs/>
                <w:sz w:val="24"/>
                <w:highlight w:val="none"/>
              </w:rPr>
            </w:pPr>
          </w:p>
        </w:tc>
        <w:tc>
          <w:tcPr>
            <w:tcW w:w="992" w:type="dxa"/>
            <w:tcBorders>
              <w:top w:val="single" w:color="auto" w:sz="4" w:space="0"/>
              <w:left w:val="single" w:color="auto" w:sz="4" w:space="0"/>
              <w:bottom w:val="single" w:color="auto" w:sz="4" w:space="0"/>
              <w:right w:val="single" w:color="auto" w:sz="4" w:space="0"/>
            </w:tcBorders>
            <w:vAlign w:val="center"/>
          </w:tcPr>
          <w:p w14:paraId="1CA5496F">
            <w:pPr>
              <w:jc w:val="center"/>
              <w:rPr>
                <w:bCs/>
                <w:sz w:val="24"/>
                <w:highlight w:val="none"/>
              </w:rPr>
            </w:pPr>
          </w:p>
        </w:tc>
        <w:tc>
          <w:tcPr>
            <w:tcW w:w="850" w:type="dxa"/>
            <w:tcBorders>
              <w:top w:val="single" w:color="auto" w:sz="4" w:space="0"/>
              <w:left w:val="single" w:color="auto" w:sz="4" w:space="0"/>
              <w:bottom w:val="single" w:color="auto" w:sz="4" w:space="0"/>
              <w:right w:val="single" w:color="auto" w:sz="4" w:space="0"/>
            </w:tcBorders>
            <w:vAlign w:val="center"/>
          </w:tcPr>
          <w:p w14:paraId="50F57EEE">
            <w:pPr>
              <w:jc w:val="center"/>
              <w:rPr>
                <w:bCs/>
                <w:sz w:val="24"/>
                <w:highlight w:val="none"/>
              </w:rPr>
            </w:pPr>
          </w:p>
        </w:tc>
        <w:tc>
          <w:tcPr>
            <w:tcW w:w="851" w:type="dxa"/>
            <w:tcBorders>
              <w:top w:val="single" w:color="auto" w:sz="4" w:space="0"/>
              <w:left w:val="single" w:color="auto" w:sz="4" w:space="0"/>
              <w:bottom w:val="single" w:color="auto" w:sz="4" w:space="0"/>
              <w:right w:val="single" w:color="auto" w:sz="4" w:space="0"/>
            </w:tcBorders>
            <w:vAlign w:val="center"/>
          </w:tcPr>
          <w:p w14:paraId="4D263464">
            <w:pPr>
              <w:jc w:val="center"/>
              <w:rPr>
                <w:bCs/>
                <w:sz w:val="24"/>
                <w:highlight w:val="none"/>
              </w:rPr>
            </w:pPr>
          </w:p>
        </w:tc>
        <w:tc>
          <w:tcPr>
            <w:tcW w:w="760" w:type="dxa"/>
            <w:tcBorders>
              <w:top w:val="single" w:color="auto" w:sz="4" w:space="0"/>
              <w:left w:val="single" w:color="auto" w:sz="4" w:space="0"/>
              <w:bottom w:val="single" w:color="auto" w:sz="4" w:space="0"/>
              <w:right w:val="single" w:color="auto" w:sz="4" w:space="0"/>
            </w:tcBorders>
            <w:vAlign w:val="center"/>
          </w:tcPr>
          <w:p w14:paraId="43E18723">
            <w:pPr>
              <w:jc w:val="center"/>
              <w:rPr>
                <w:bCs/>
                <w:sz w:val="24"/>
                <w:highlight w:val="none"/>
              </w:rPr>
            </w:pPr>
          </w:p>
        </w:tc>
        <w:tc>
          <w:tcPr>
            <w:tcW w:w="702" w:type="dxa"/>
            <w:tcBorders>
              <w:top w:val="single" w:color="auto" w:sz="4" w:space="0"/>
              <w:left w:val="single" w:color="auto" w:sz="4" w:space="0"/>
              <w:bottom w:val="single" w:color="auto" w:sz="4" w:space="0"/>
              <w:right w:val="single" w:color="auto" w:sz="4" w:space="0"/>
            </w:tcBorders>
            <w:vAlign w:val="center"/>
          </w:tcPr>
          <w:p w14:paraId="4188D4A5">
            <w:pPr>
              <w:jc w:val="center"/>
              <w:rPr>
                <w:bCs/>
                <w:sz w:val="24"/>
                <w:highlight w:val="none"/>
              </w:rPr>
            </w:pPr>
          </w:p>
        </w:tc>
        <w:tc>
          <w:tcPr>
            <w:tcW w:w="819" w:type="dxa"/>
            <w:tcBorders>
              <w:top w:val="single" w:color="auto" w:sz="4" w:space="0"/>
              <w:left w:val="single" w:color="auto" w:sz="4" w:space="0"/>
              <w:bottom w:val="single" w:color="auto" w:sz="4" w:space="0"/>
              <w:right w:val="single" w:color="auto" w:sz="4" w:space="0"/>
            </w:tcBorders>
            <w:vAlign w:val="center"/>
          </w:tcPr>
          <w:p w14:paraId="77CB3A81">
            <w:pPr>
              <w:jc w:val="center"/>
              <w:rPr>
                <w:bCs/>
                <w:sz w:val="24"/>
                <w:highlight w:val="none"/>
              </w:rPr>
            </w:pPr>
          </w:p>
        </w:tc>
        <w:tc>
          <w:tcPr>
            <w:tcW w:w="702" w:type="dxa"/>
            <w:tcBorders>
              <w:top w:val="single" w:color="auto" w:sz="4" w:space="0"/>
              <w:left w:val="single" w:color="auto" w:sz="4" w:space="0"/>
              <w:bottom w:val="single" w:color="auto" w:sz="4" w:space="0"/>
              <w:right w:val="single" w:color="auto" w:sz="4" w:space="0"/>
            </w:tcBorders>
            <w:vAlign w:val="center"/>
          </w:tcPr>
          <w:p w14:paraId="2774C144">
            <w:pPr>
              <w:jc w:val="center"/>
              <w:rPr>
                <w:bCs/>
                <w:sz w:val="24"/>
                <w:highlight w:val="none"/>
              </w:rPr>
            </w:pPr>
          </w:p>
        </w:tc>
        <w:tc>
          <w:tcPr>
            <w:tcW w:w="702" w:type="dxa"/>
            <w:tcBorders>
              <w:top w:val="single" w:color="auto" w:sz="4" w:space="0"/>
              <w:left w:val="single" w:color="auto" w:sz="4" w:space="0"/>
              <w:bottom w:val="single" w:color="auto" w:sz="4" w:space="0"/>
              <w:right w:val="single" w:color="auto" w:sz="4" w:space="0"/>
            </w:tcBorders>
            <w:vAlign w:val="center"/>
          </w:tcPr>
          <w:p w14:paraId="24300E0B">
            <w:pPr>
              <w:jc w:val="center"/>
              <w:rPr>
                <w:bCs/>
                <w:sz w:val="24"/>
                <w:highlight w:val="none"/>
              </w:rPr>
            </w:pPr>
          </w:p>
        </w:tc>
        <w:tc>
          <w:tcPr>
            <w:tcW w:w="702" w:type="dxa"/>
            <w:tcBorders>
              <w:top w:val="single" w:color="auto" w:sz="4" w:space="0"/>
              <w:left w:val="single" w:color="auto" w:sz="4" w:space="0"/>
              <w:bottom w:val="single" w:color="auto" w:sz="4" w:space="0"/>
              <w:right w:val="single" w:color="auto" w:sz="4" w:space="0"/>
            </w:tcBorders>
            <w:vAlign w:val="center"/>
          </w:tcPr>
          <w:p w14:paraId="278C45EF">
            <w:pPr>
              <w:jc w:val="center"/>
              <w:rPr>
                <w:bCs/>
                <w:sz w:val="24"/>
                <w:highlight w:val="none"/>
              </w:rPr>
            </w:pPr>
          </w:p>
        </w:tc>
        <w:tc>
          <w:tcPr>
            <w:tcW w:w="819" w:type="dxa"/>
            <w:tcBorders>
              <w:top w:val="single" w:color="auto" w:sz="4" w:space="0"/>
              <w:left w:val="single" w:color="auto" w:sz="4" w:space="0"/>
              <w:bottom w:val="single" w:color="auto" w:sz="4" w:space="0"/>
              <w:right w:val="single" w:color="auto" w:sz="4" w:space="0"/>
            </w:tcBorders>
            <w:vAlign w:val="center"/>
          </w:tcPr>
          <w:p w14:paraId="0EA15DBE">
            <w:pPr>
              <w:jc w:val="center"/>
              <w:rPr>
                <w:bCs/>
                <w:sz w:val="24"/>
                <w:highlight w:val="none"/>
              </w:rPr>
            </w:pPr>
          </w:p>
        </w:tc>
        <w:tc>
          <w:tcPr>
            <w:tcW w:w="702" w:type="dxa"/>
            <w:tcBorders>
              <w:top w:val="single" w:color="auto" w:sz="4" w:space="0"/>
              <w:left w:val="single" w:color="auto" w:sz="4" w:space="0"/>
              <w:bottom w:val="single" w:color="auto" w:sz="4" w:space="0"/>
              <w:right w:val="single" w:color="auto" w:sz="4" w:space="0"/>
            </w:tcBorders>
            <w:vAlign w:val="center"/>
          </w:tcPr>
          <w:p w14:paraId="4CBA769E">
            <w:pPr>
              <w:jc w:val="center"/>
              <w:rPr>
                <w:bCs/>
                <w:sz w:val="24"/>
                <w:highlight w:val="none"/>
              </w:rPr>
            </w:pPr>
          </w:p>
        </w:tc>
        <w:tc>
          <w:tcPr>
            <w:tcW w:w="702" w:type="dxa"/>
            <w:tcBorders>
              <w:top w:val="single" w:color="auto" w:sz="4" w:space="0"/>
              <w:left w:val="single" w:color="auto" w:sz="4" w:space="0"/>
              <w:bottom w:val="single" w:color="auto" w:sz="4" w:space="0"/>
              <w:right w:val="single" w:color="auto" w:sz="4" w:space="0"/>
            </w:tcBorders>
            <w:vAlign w:val="center"/>
          </w:tcPr>
          <w:p w14:paraId="52285BA2">
            <w:pPr>
              <w:jc w:val="center"/>
              <w:rPr>
                <w:bCs/>
                <w:sz w:val="24"/>
                <w:highlight w:val="none"/>
              </w:rPr>
            </w:pPr>
          </w:p>
        </w:tc>
        <w:tc>
          <w:tcPr>
            <w:tcW w:w="702" w:type="dxa"/>
            <w:tcBorders>
              <w:top w:val="single" w:color="auto" w:sz="4" w:space="0"/>
              <w:left w:val="single" w:color="auto" w:sz="4" w:space="0"/>
              <w:bottom w:val="single" w:color="auto" w:sz="4" w:space="0"/>
              <w:right w:val="single" w:color="auto" w:sz="4" w:space="0"/>
            </w:tcBorders>
            <w:vAlign w:val="center"/>
          </w:tcPr>
          <w:p w14:paraId="14ABD132">
            <w:pPr>
              <w:jc w:val="center"/>
              <w:rPr>
                <w:bCs/>
                <w:sz w:val="24"/>
                <w:highlight w:val="none"/>
              </w:rPr>
            </w:pPr>
          </w:p>
        </w:tc>
        <w:tc>
          <w:tcPr>
            <w:tcW w:w="819" w:type="dxa"/>
            <w:tcBorders>
              <w:top w:val="single" w:color="auto" w:sz="4" w:space="0"/>
              <w:left w:val="single" w:color="auto" w:sz="4" w:space="0"/>
              <w:bottom w:val="single" w:color="auto" w:sz="4" w:space="0"/>
              <w:right w:val="single" w:color="auto" w:sz="4" w:space="0"/>
            </w:tcBorders>
            <w:vAlign w:val="center"/>
          </w:tcPr>
          <w:p w14:paraId="4026CA6A">
            <w:pPr>
              <w:jc w:val="center"/>
              <w:rPr>
                <w:bCs/>
                <w:sz w:val="24"/>
                <w:highlight w:val="none"/>
              </w:rPr>
            </w:pPr>
          </w:p>
        </w:tc>
        <w:tc>
          <w:tcPr>
            <w:tcW w:w="819" w:type="dxa"/>
            <w:tcBorders>
              <w:top w:val="single" w:color="auto" w:sz="4" w:space="0"/>
              <w:left w:val="single" w:color="auto" w:sz="4" w:space="0"/>
              <w:bottom w:val="single" w:color="auto" w:sz="4" w:space="0"/>
              <w:right w:val="single" w:color="auto" w:sz="4" w:space="0"/>
            </w:tcBorders>
            <w:vAlign w:val="center"/>
          </w:tcPr>
          <w:p w14:paraId="7792C9FD">
            <w:pPr>
              <w:jc w:val="center"/>
              <w:rPr>
                <w:bCs/>
                <w:sz w:val="24"/>
                <w:highlight w:val="none"/>
              </w:rPr>
            </w:pPr>
          </w:p>
        </w:tc>
        <w:tc>
          <w:tcPr>
            <w:tcW w:w="702" w:type="dxa"/>
            <w:tcBorders>
              <w:top w:val="single" w:color="auto" w:sz="4" w:space="0"/>
              <w:left w:val="single" w:color="auto" w:sz="4" w:space="0"/>
              <w:bottom w:val="single" w:color="auto" w:sz="4" w:space="0"/>
              <w:right w:val="single" w:color="auto" w:sz="4" w:space="0"/>
            </w:tcBorders>
            <w:vAlign w:val="center"/>
          </w:tcPr>
          <w:p w14:paraId="4B0F07BD">
            <w:pPr>
              <w:jc w:val="center"/>
              <w:rPr>
                <w:bCs/>
                <w:sz w:val="24"/>
                <w:highlight w:val="none"/>
              </w:rPr>
            </w:pPr>
          </w:p>
        </w:tc>
        <w:tc>
          <w:tcPr>
            <w:tcW w:w="585" w:type="dxa"/>
            <w:tcBorders>
              <w:top w:val="single" w:color="auto" w:sz="4" w:space="0"/>
              <w:left w:val="single" w:color="auto" w:sz="4" w:space="0"/>
              <w:bottom w:val="single" w:color="auto" w:sz="4" w:space="0"/>
              <w:right w:val="single" w:color="auto" w:sz="4" w:space="0"/>
            </w:tcBorders>
            <w:vAlign w:val="center"/>
          </w:tcPr>
          <w:p w14:paraId="3E6AB0C3">
            <w:pPr>
              <w:jc w:val="center"/>
              <w:rPr>
                <w:bCs/>
                <w:sz w:val="24"/>
                <w:highlight w:val="none"/>
              </w:rPr>
            </w:pPr>
          </w:p>
        </w:tc>
      </w:tr>
      <w:tr w14:paraId="314059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trPr>
        <w:tc>
          <w:tcPr>
            <w:tcW w:w="14031" w:type="dxa"/>
            <w:gridSpan w:val="18"/>
            <w:tcBorders>
              <w:top w:val="single" w:color="auto" w:sz="4" w:space="0"/>
              <w:left w:val="single" w:color="auto" w:sz="4" w:space="0"/>
              <w:bottom w:val="single" w:color="auto" w:sz="4" w:space="0"/>
              <w:right w:val="single" w:color="auto" w:sz="4" w:space="0"/>
            </w:tcBorders>
            <w:vAlign w:val="center"/>
          </w:tcPr>
          <w:p w14:paraId="411C5F34">
            <w:pPr>
              <w:rPr>
                <w:bCs/>
                <w:sz w:val="24"/>
                <w:highlight w:val="none"/>
              </w:rPr>
            </w:pPr>
            <w:r>
              <w:rPr>
                <w:rFonts w:hint="eastAsia" w:ascii="宋体" w:hAnsi="宋体" w:cs="宋体"/>
                <w:bCs/>
                <w:sz w:val="24"/>
                <w:highlight w:val="none"/>
              </w:rPr>
              <w:t>物资总金额（大写人民币）：                                                （</w:t>
            </w:r>
            <w:r>
              <w:rPr>
                <w:rFonts w:hint="eastAsia" w:ascii="宋体" w:hAnsi="宋体" w:cs="宋体"/>
                <w:bCs/>
                <w:spacing w:val="-4"/>
                <w:sz w:val="24"/>
                <w:highlight w:val="none"/>
              </w:rPr>
              <w:t>小写</w:t>
            </w:r>
            <w:r>
              <w:rPr>
                <w:rFonts w:hint="eastAsia" w:ascii="宋体" w:hAnsi="宋体" w:cs="宋体"/>
                <w:bCs/>
                <w:sz w:val="24"/>
                <w:highlight w:val="none"/>
              </w:rPr>
              <w:t>）</w:t>
            </w:r>
            <w:r>
              <w:rPr>
                <w:rFonts w:hint="eastAsia" w:ascii="宋体" w:hAnsi="宋体" w:cs="宋体"/>
                <w:bCs/>
                <w:spacing w:val="-4"/>
                <w:sz w:val="24"/>
                <w:highlight w:val="none"/>
              </w:rPr>
              <w:t>¥</w:t>
            </w:r>
            <w:r>
              <w:rPr>
                <w:rFonts w:hint="eastAsia" w:ascii="宋体" w:hAnsi="宋体" w:cs="宋体"/>
                <w:bCs/>
                <w:sz w:val="24"/>
                <w:highlight w:val="none"/>
              </w:rPr>
              <w:t xml:space="preserve">                </w:t>
            </w:r>
          </w:p>
        </w:tc>
      </w:tr>
      <w:tr w14:paraId="3F8268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trPr>
        <w:tc>
          <w:tcPr>
            <w:tcW w:w="14031" w:type="dxa"/>
            <w:gridSpan w:val="18"/>
            <w:tcBorders>
              <w:top w:val="single" w:color="auto" w:sz="4" w:space="0"/>
              <w:left w:val="single" w:color="auto" w:sz="4" w:space="0"/>
              <w:bottom w:val="single" w:color="auto" w:sz="4" w:space="0"/>
              <w:right w:val="single" w:color="auto" w:sz="4" w:space="0"/>
            </w:tcBorders>
            <w:vAlign w:val="center"/>
          </w:tcPr>
          <w:p w14:paraId="7AFC9796">
            <w:pPr>
              <w:spacing w:before="120" w:beforeLines="50" w:after="120" w:afterLines="50"/>
              <w:rPr>
                <w:rFonts w:ascii="宋体" w:hAnsi="宋体"/>
                <w:bCs/>
                <w:sz w:val="24"/>
                <w:highlight w:val="none"/>
              </w:rPr>
            </w:pPr>
            <w:r>
              <w:rPr>
                <w:rFonts w:ascii="宋体" w:hAnsi="宋体"/>
                <w:bCs/>
                <w:sz w:val="24"/>
                <w:highlight w:val="none"/>
              </w:rPr>
              <w:t>说明</w:t>
            </w:r>
            <w:r>
              <w:rPr>
                <w:rFonts w:hint="eastAsia" w:ascii="宋体" w:hAnsi="宋体"/>
                <w:bCs/>
                <w:sz w:val="24"/>
                <w:highlight w:val="none"/>
              </w:rPr>
              <w:t>：</w:t>
            </w:r>
            <w:r>
              <w:rPr>
                <w:rFonts w:ascii="宋体" w:hAnsi="宋体"/>
                <w:bCs/>
                <w:sz w:val="24"/>
                <w:highlight w:val="none"/>
              </w:rPr>
              <w:t>1.项5=项6×项4</w:t>
            </w:r>
          </w:p>
          <w:p w14:paraId="2304BF8E">
            <w:pPr>
              <w:spacing w:before="120" w:beforeLines="50" w:after="120" w:afterLines="50"/>
              <w:ind w:firstLine="480" w:firstLineChars="200"/>
              <w:rPr>
                <w:rFonts w:ascii="宋体" w:hAnsi="宋体"/>
                <w:bCs/>
                <w:sz w:val="28"/>
                <w:szCs w:val="28"/>
                <w:highlight w:val="none"/>
              </w:rPr>
            </w:pPr>
            <w:r>
              <w:rPr>
                <w:rFonts w:ascii="宋体" w:hAnsi="宋体"/>
                <w:bCs/>
                <w:sz w:val="24"/>
                <w:highlight w:val="none"/>
              </w:rPr>
              <w:t xml:space="preserve"> 2.项6=项7+项8+项9+项10+项11+项12+项13+项14+项15+项16+项17+项18</w:t>
            </w:r>
          </w:p>
        </w:tc>
      </w:tr>
    </w:tbl>
    <w:p w14:paraId="28AA7EC5">
      <w:pPr>
        <w:spacing w:before="240" w:beforeLines="100" w:after="120" w:afterLines="50"/>
        <w:rPr>
          <w:bCs/>
          <w:highlight w:val="none"/>
        </w:rPr>
      </w:pPr>
      <w:r>
        <w:rPr>
          <w:rFonts w:hint="eastAsia"/>
          <w:bCs/>
          <w:sz w:val="28"/>
          <w:szCs w:val="28"/>
          <w:highlight w:val="none"/>
        </w:rPr>
        <w:t>报价供应商全称：（盖章）</w:t>
      </w:r>
      <w:r>
        <w:rPr>
          <w:bCs/>
          <w:sz w:val="28"/>
          <w:szCs w:val="28"/>
          <w:highlight w:val="none"/>
        </w:rPr>
        <w:t xml:space="preserve">                                   </w:t>
      </w:r>
      <w:r>
        <w:rPr>
          <w:rFonts w:hint="eastAsia"/>
          <w:bCs/>
          <w:sz w:val="28"/>
          <w:szCs w:val="28"/>
          <w:highlight w:val="none"/>
        </w:rPr>
        <w:t>法定代表人（或授权代表）：（签字）</w:t>
      </w:r>
    </w:p>
    <w:p w14:paraId="28D14908">
      <w:pPr>
        <w:spacing w:before="120" w:beforeLines="50" w:after="120" w:afterLines="50"/>
        <w:ind w:firstLine="560" w:firstLineChars="200"/>
        <w:rPr>
          <w:bCs/>
          <w:sz w:val="28"/>
          <w:szCs w:val="28"/>
          <w:highlight w:val="none"/>
        </w:rPr>
      </w:pPr>
    </w:p>
    <w:p w14:paraId="15B25251">
      <w:pPr>
        <w:spacing w:before="120" w:beforeLines="50" w:after="120" w:afterLines="50"/>
        <w:ind w:firstLine="640" w:firstLineChars="200"/>
        <w:jc w:val="center"/>
        <w:rPr>
          <w:bCs/>
          <w:sz w:val="28"/>
          <w:szCs w:val="28"/>
          <w:highlight w:val="none"/>
        </w:rPr>
      </w:pPr>
      <w:r>
        <w:rPr>
          <w:bCs/>
          <w:sz w:val="32"/>
          <w:szCs w:val="32"/>
          <w:highlight w:val="none"/>
        </w:rPr>
        <w:t xml:space="preserve">                                                                  </w:t>
      </w:r>
      <w:r>
        <w:rPr>
          <w:bCs/>
          <w:sz w:val="28"/>
          <w:szCs w:val="28"/>
          <w:highlight w:val="none"/>
          <w:u w:val="single"/>
        </w:rPr>
        <w:t xml:space="preserve">   </w:t>
      </w:r>
      <w:r>
        <w:rPr>
          <w:rFonts w:hint="eastAsia"/>
          <w:bCs/>
          <w:sz w:val="28"/>
          <w:szCs w:val="28"/>
          <w:highlight w:val="none"/>
        </w:rPr>
        <w:t>年</w:t>
      </w:r>
      <w:r>
        <w:rPr>
          <w:bCs/>
          <w:sz w:val="28"/>
          <w:szCs w:val="28"/>
          <w:highlight w:val="none"/>
          <w:u w:val="single"/>
        </w:rPr>
        <w:t xml:space="preserve">   </w:t>
      </w:r>
      <w:r>
        <w:rPr>
          <w:rFonts w:hint="eastAsia"/>
          <w:bCs/>
          <w:sz w:val="28"/>
          <w:szCs w:val="28"/>
          <w:highlight w:val="none"/>
        </w:rPr>
        <w:t>月</w:t>
      </w:r>
      <w:r>
        <w:rPr>
          <w:bCs/>
          <w:sz w:val="28"/>
          <w:szCs w:val="28"/>
          <w:highlight w:val="none"/>
          <w:u w:val="single"/>
        </w:rPr>
        <w:t xml:space="preserve">   </w:t>
      </w:r>
      <w:r>
        <w:rPr>
          <w:rFonts w:hint="eastAsia"/>
          <w:bCs/>
          <w:sz w:val="28"/>
          <w:szCs w:val="28"/>
          <w:highlight w:val="none"/>
        </w:rPr>
        <w:t>日</w:t>
      </w:r>
    </w:p>
    <w:p w14:paraId="682CCF13">
      <w:pPr>
        <w:widowControl/>
        <w:spacing w:before="120" w:beforeLines="50" w:after="120" w:afterLines="50"/>
        <w:jc w:val="left"/>
        <w:rPr>
          <w:bCs/>
          <w:sz w:val="28"/>
          <w:szCs w:val="28"/>
          <w:highlight w:val="none"/>
        </w:rPr>
        <w:sectPr>
          <w:pgSz w:w="16838" w:h="11906" w:orient="landscape"/>
          <w:pgMar w:top="1418" w:right="1134" w:bottom="1418" w:left="1418" w:header="851" w:footer="851" w:gutter="0"/>
          <w:pgNumType w:fmt="decimal"/>
          <w:cols w:space="720" w:num="1"/>
        </w:sectPr>
      </w:pPr>
    </w:p>
    <w:p w14:paraId="0B78EE40">
      <w:pPr>
        <w:pStyle w:val="6"/>
        <w:spacing w:before="120" w:beforeLines="50" w:after="120" w:afterLines="50" w:line="560" w:lineRule="exact"/>
        <w:rPr>
          <w:b w:val="0"/>
          <w:bCs w:val="0"/>
          <w:highlight w:val="none"/>
        </w:rPr>
      </w:pPr>
      <w:bookmarkStart w:id="568" w:name="_Toc8089"/>
      <w:bookmarkStart w:id="569" w:name="_Toc17649"/>
      <w:bookmarkStart w:id="570" w:name="_Toc20843"/>
      <w:bookmarkStart w:id="571" w:name="_Toc437"/>
      <w:bookmarkStart w:id="572" w:name="_Toc32421"/>
      <w:bookmarkStart w:id="573" w:name="_Toc112768459"/>
      <w:bookmarkStart w:id="574" w:name="_Toc5803"/>
      <w:r>
        <w:rPr>
          <w:rFonts w:hint="eastAsia"/>
          <w:b w:val="0"/>
          <w:bCs w:val="0"/>
          <w:highlight w:val="none"/>
        </w:rPr>
        <w:t>※附件1-3 物资材料、部件、工具价格明细表</w:t>
      </w:r>
      <w:bookmarkEnd w:id="568"/>
      <w:bookmarkEnd w:id="569"/>
      <w:bookmarkEnd w:id="570"/>
    </w:p>
    <w:p w14:paraId="7D88DD7D">
      <w:pPr>
        <w:spacing w:before="120" w:beforeLines="50" w:after="120" w:afterLines="50" w:line="560" w:lineRule="exact"/>
        <w:jc w:val="center"/>
        <w:rPr>
          <w:rFonts w:ascii="黑体" w:hAnsi="黑体" w:eastAsia="黑体" w:cs="黑体"/>
          <w:sz w:val="36"/>
          <w:szCs w:val="36"/>
          <w:highlight w:val="none"/>
          <w:lang w:val="zh-CN"/>
        </w:rPr>
      </w:pPr>
      <w:r>
        <w:rPr>
          <w:rFonts w:hint="eastAsia" w:ascii="黑体" w:hAnsi="黑体" w:eastAsia="黑体" w:cs="黑体"/>
          <w:sz w:val="36"/>
          <w:szCs w:val="36"/>
          <w:highlight w:val="none"/>
          <w:lang w:val="zh-CN"/>
        </w:rPr>
        <w:t>物资材料、部件、工具价格明细表</w:t>
      </w:r>
    </w:p>
    <w:p w14:paraId="128E9BF3">
      <w:pPr>
        <w:autoSpaceDE w:val="0"/>
        <w:autoSpaceDN w:val="0"/>
        <w:adjustRightInd w:val="0"/>
        <w:jc w:val="left"/>
        <w:rPr>
          <w:rFonts w:eastAsia="华文中宋"/>
          <w:sz w:val="28"/>
          <w:szCs w:val="28"/>
          <w:highlight w:val="none"/>
          <w:lang w:val="zh-CN"/>
        </w:rPr>
      </w:pPr>
      <w:r>
        <w:rPr>
          <w:rFonts w:hint="eastAsia"/>
          <w:sz w:val="28"/>
          <w:szCs w:val="28"/>
          <w:highlight w:val="none"/>
        </w:rPr>
        <w:t>项目名称：</w:t>
      </w:r>
      <w:r>
        <w:rPr>
          <w:sz w:val="28"/>
          <w:szCs w:val="28"/>
          <w:highlight w:val="none"/>
          <w:u w:val="single"/>
        </w:rPr>
        <w:t xml:space="preserve">          </w:t>
      </w:r>
      <w:r>
        <w:rPr>
          <w:sz w:val="28"/>
          <w:szCs w:val="28"/>
          <w:highlight w:val="none"/>
        </w:rPr>
        <w:t xml:space="preserve">     </w:t>
      </w:r>
      <w:r>
        <w:rPr>
          <w:rFonts w:hint="eastAsia"/>
          <w:sz w:val="28"/>
          <w:szCs w:val="28"/>
          <w:highlight w:val="none"/>
        </w:rPr>
        <w:t>项目编号：</w:t>
      </w:r>
      <w:r>
        <w:rPr>
          <w:sz w:val="28"/>
          <w:szCs w:val="28"/>
          <w:highlight w:val="none"/>
          <w:u w:val="single"/>
        </w:rPr>
        <w:t xml:space="preserve">          </w:t>
      </w:r>
      <w:r>
        <w:rPr>
          <w:sz w:val="28"/>
          <w:szCs w:val="28"/>
          <w:highlight w:val="none"/>
        </w:rPr>
        <w:t xml:space="preserve">   </w:t>
      </w:r>
      <w:r>
        <w:rPr>
          <w:rFonts w:hint="eastAsia"/>
          <w:sz w:val="28"/>
          <w:szCs w:val="28"/>
          <w:highlight w:val="none"/>
        </w:rPr>
        <w:t>包号：</w:t>
      </w:r>
      <w:r>
        <w:rPr>
          <w:sz w:val="28"/>
          <w:szCs w:val="28"/>
          <w:highlight w:val="none"/>
          <w:u w:val="single"/>
        </w:rPr>
        <w:t xml:space="preserve">          </w:t>
      </w:r>
    </w:p>
    <w:tbl>
      <w:tblPr>
        <w:tblStyle w:val="42"/>
        <w:tblW w:w="5000" w:type="pct"/>
        <w:tblInd w:w="0" w:type="dxa"/>
        <w:tblLayout w:type="autofit"/>
        <w:tblCellMar>
          <w:top w:w="0" w:type="dxa"/>
          <w:left w:w="108" w:type="dxa"/>
          <w:bottom w:w="0" w:type="dxa"/>
          <w:right w:w="108" w:type="dxa"/>
        </w:tblCellMar>
      </w:tblPr>
      <w:tblGrid>
        <w:gridCol w:w="790"/>
        <w:gridCol w:w="1589"/>
        <w:gridCol w:w="857"/>
        <w:gridCol w:w="1116"/>
        <w:gridCol w:w="1058"/>
        <w:gridCol w:w="1219"/>
        <w:gridCol w:w="789"/>
        <w:gridCol w:w="947"/>
        <w:gridCol w:w="1205"/>
      </w:tblGrid>
      <w:tr w14:paraId="669BB82B">
        <w:tblPrEx>
          <w:tblCellMar>
            <w:top w:w="0" w:type="dxa"/>
            <w:left w:w="108" w:type="dxa"/>
            <w:bottom w:w="0" w:type="dxa"/>
            <w:right w:w="108" w:type="dxa"/>
          </w:tblCellMar>
        </w:tblPrEx>
        <w:trPr>
          <w:cantSplit/>
          <w:trHeight w:val="616" w:hRule="atLeast"/>
        </w:trPr>
        <w:tc>
          <w:tcPr>
            <w:tcW w:w="413" w:type="pct"/>
            <w:vMerge w:val="restart"/>
            <w:tcBorders>
              <w:top w:val="single" w:color="auto" w:sz="4" w:space="0"/>
              <w:left w:val="single" w:color="auto" w:sz="8" w:space="0"/>
              <w:bottom w:val="single" w:color="auto" w:sz="4" w:space="0"/>
              <w:right w:val="single" w:color="auto" w:sz="4" w:space="0"/>
            </w:tcBorders>
            <w:vAlign w:val="center"/>
          </w:tcPr>
          <w:p w14:paraId="58FBA991">
            <w:pPr>
              <w:widowControl/>
              <w:jc w:val="center"/>
              <w:rPr>
                <w:rFonts w:ascii="宋体" w:hAnsi="宋体" w:cs="宋体"/>
                <w:sz w:val="24"/>
                <w:highlight w:val="none"/>
              </w:rPr>
            </w:pPr>
            <w:r>
              <w:rPr>
                <w:rFonts w:hint="eastAsia" w:ascii="宋体" w:hAnsi="宋体" w:cs="宋体"/>
                <w:sz w:val="24"/>
                <w:highlight w:val="none"/>
              </w:rPr>
              <w:t>序号</w:t>
            </w:r>
          </w:p>
        </w:tc>
        <w:tc>
          <w:tcPr>
            <w:tcW w:w="830" w:type="pct"/>
            <w:vMerge w:val="restart"/>
            <w:tcBorders>
              <w:top w:val="single" w:color="auto" w:sz="4" w:space="0"/>
              <w:left w:val="single" w:color="auto" w:sz="4" w:space="0"/>
              <w:bottom w:val="single" w:color="auto" w:sz="4" w:space="0"/>
              <w:right w:val="single" w:color="auto" w:sz="4" w:space="0"/>
            </w:tcBorders>
            <w:vAlign w:val="center"/>
          </w:tcPr>
          <w:p w14:paraId="427B8375">
            <w:pPr>
              <w:widowControl/>
              <w:jc w:val="center"/>
              <w:rPr>
                <w:rFonts w:ascii="宋体" w:hAnsi="宋体" w:cs="宋体"/>
                <w:sz w:val="24"/>
                <w:highlight w:val="none"/>
              </w:rPr>
            </w:pPr>
            <w:r>
              <w:rPr>
                <w:rFonts w:hint="eastAsia" w:ascii="宋体" w:hAnsi="宋体" w:cs="宋体"/>
                <w:sz w:val="24"/>
                <w:highlight w:val="none"/>
              </w:rPr>
              <w:t>项目</w:t>
            </w:r>
          </w:p>
        </w:tc>
        <w:tc>
          <w:tcPr>
            <w:tcW w:w="448" w:type="pct"/>
            <w:vMerge w:val="restart"/>
            <w:tcBorders>
              <w:top w:val="single" w:color="auto" w:sz="4" w:space="0"/>
              <w:left w:val="single" w:color="auto" w:sz="4" w:space="0"/>
              <w:bottom w:val="single" w:color="auto" w:sz="4" w:space="0"/>
              <w:right w:val="single" w:color="auto" w:sz="4" w:space="0"/>
            </w:tcBorders>
            <w:vAlign w:val="center"/>
          </w:tcPr>
          <w:p w14:paraId="515E63E4">
            <w:pPr>
              <w:widowControl/>
              <w:jc w:val="center"/>
              <w:rPr>
                <w:rFonts w:ascii="宋体" w:hAnsi="宋体" w:cs="宋体"/>
                <w:sz w:val="24"/>
                <w:highlight w:val="none"/>
              </w:rPr>
            </w:pPr>
            <w:r>
              <w:rPr>
                <w:rFonts w:hint="eastAsia" w:ascii="宋体" w:hAnsi="宋体" w:cs="宋体"/>
                <w:sz w:val="24"/>
                <w:highlight w:val="none"/>
              </w:rPr>
              <w:t>规格</w:t>
            </w:r>
          </w:p>
          <w:p w14:paraId="60BDFB78">
            <w:pPr>
              <w:widowControl/>
              <w:jc w:val="center"/>
              <w:rPr>
                <w:rFonts w:ascii="宋体" w:hAnsi="宋体" w:cs="宋体"/>
                <w:sz w:val="24"/>
                <w:highlight w:val="none"/>
              </w:rPr>
            </w:pPr>
            <w:r>
              <w:rPr>
                <w:rFonts w:hint="eastAsia" w:ascii="宋体" w:hAnsi="宋体" w:cs="宋体"/>
                <w:sz w:val="24"/>
                <w:highlight w:val="none"/>
              </w:rPr>
              <w:t>型号</w:t>
            </w:r>
          </w:p>
        </w:tc>
        <w:tc>
          <w:tcPr>
            <w:tcW w:w="583" w:type="pct"/>
            <w:vMerge w:val="restart"/>
            <w:tcBorders>
              <w:top w:val="single" w:color="auto" w:sz="4" w:space="0"/>
              <w:left w:val="single" w:color="auto" w:sz="4" w:space="0"/>
              <w:bottom w:val="single" w:color="000000" w:sz="4" w:space="0"/>
              <w:right w:val="single" w:color="auto" w:sz="4" w:space="0"/>
            </w:tcBorders>
            <w:vAlign w:val="center"/>
          </w:tcPr>
          <w:p w14:paraId="20C51234">
            <w:pPr>
              <w:widowControl/>
              <w:jc w:val="center"/>
              <w:rPr>
                <w:rFonts w:ascii="宋体" w:hAnsi="宋体" w:cs="宋体"/>
                <w:sz w:val="24"/>
                <w:highlight w:val="none"/>
              </w:rPr>
            </w:pPr>
            <w:r>
              <w:rPr>
                <w:rFonts w:hint="eastAsia" w:ascii="宋体" w:hAnsi="宋体" w:cs="宋体"/>
                <w:sz w:val="24"/>
                <w:highlight w:val="none"/>
              </w:rPr>
              <w:t>执行</w:t>
            </w:r>
          </w:p>
          <w:p w14:paraId="6764C2C0">
            <w:pPr>
              <w:widowControl/>
              <w:jc w:val="center"/>
              <w:rPr>
                <w:rFonts w:ascii="宋体" w:hAnsi="宋体" w:cs="宋体"/>
                <w:sz w:val="24"/>
                <w:highlight w:val="none"/>
              </w:rPr>
            </w:pPr>
            <w:r>
              <w:rPr>
                <w:rFonts w:hint="eastAsia" w:ascii="宋体" w:hAnsi="宋体" w:cs="宋体"/>
                <w:sz w:val="24"/>
                <w:highlight w:val="none"/>
              </w:rPr>
              <w:t>标准</w:t>
            </w:r>
          </w:p>
        </w:tc>
        <w:tc>
          <w:tcPr>
            <w:tcW w:w="553" w:type="pct"/>
            <w:vMerge w:val="restart"/>
            <w:tcBorders>
              <w:top w:val="single" w:color="auto" w:sz="4" w:space="0"/>
              <w:left w:val="single" w:color="auto" w:sz="4" w:space="0"/>
              <w:bottom w:val="single" w:color="auto" w:sz="4" w:space="0"/>
              <w:right w:val="single" w:color="auto" w:sz="4" w:space="0"/>
            </w:tcBorders>
            <w:vAlign w:val="center"/>
          </w:tcPr>
          <w:p w14:paraId="0F098682">
            <w:pPr>
              <w:widowControl/>
              <w:jc w:val="center"/>
              <w:rPr>
                <w:rFonts w:ascii="宋体" w:hAnsi="宋体" w:cs="宋体"/>
                <w:sz w:val="24"/>
                <w:highlight w:val="none"/>
              </w:rPr>
            </w:pPr>
            <w:r>
              <w:rPr>
                <w:rFonts w:hint="eastAsia" w:ascii="宋体" w:hAnsi="宋体" w:cs="宋体"/>
                <w:sz w:val="24"/>
                <w:highlight w:val="none"/>
              </w:rPr>
              <w:t>计量</w:t>
            </w:r>
          </w:p>
          <w:p w14:paraId="7D9D9CF8">
            <w:pPr>
              <w:widowControl/>
              <w:jc w:val="center"/>
              <w:rPr>
                <w:rFonts w:ascii="宋体" w:hAnsi="宋体" w:cs="宋体"/>
                <w:sz w:val="24"/>
                <w:highlight w:val="none"/>
              </w:rPr>
            </w:pPr>
            <w:r>
              <w:rPr>
                <w:rFonts w:hint="eastAsia" w:ascii="宋体" w:hAnsi="宋体" w:cs="宋体"/>
                <w:sz w:val="24"/>
                <w:highlight w:val="none"/>
              </w:rPr>
              <w:t>单位</w:t>
            </w:r>
          </w:p>
        </w:tc>
        <w:tc>
          <w:tcPr>
            <w:tcW w:w="637" w:type="pct"/>
            <w:vMerge w:val="restart"/>
            <w:tcBorders>
              <w:top w:val="single" w:color="auto" w:sz="4" w:space="0"/>
              <w:left w:val="single" w:color="auto" w:sz="4" w:space="0"/>
              <w:bottom w:val="single" w:color="auto" w:sz="4" w:space="0"/>
              <w:right w:val="single" w:color="auto" w:sz="4" w:space="0"/>
            </w:tcBorders>
            <w:vAlign w:val="center"/>
          </w:tcPr>
          <w:p w14:paraId="4307352D">
            <w:pPr>
              <w:widowControl/>
              <w:jc w:val="center"/>
              <w:rPr>
                <w:rFonts w:ascii="宋体" w:hAnsi="宋体" w:cs="宋体"/>
                <w:sz w:val="24"/>
                <w:highlight w:val="none"/>
              </w:rPr>
            </w:pPr>
            <w:r>
              <w:rPr>
                <w:rFonts w:hint="eastAsia" w:ascii="宋体" w:hAnsi="宋体" w:cs="宋体"/>
                <w:sz w:val="24"/>
                <w:highlight w:val="none"/>
              </w:rPr>
              <w:t>定额/消耗数量</w:t>
            </w:r>
          </w:p>
        </w:tc>
        <w:tc>
          <w:tcPr>
            <w:tcW w:w="412" w:type="pct"/>
            <w:vMerge w:val="restart"/>
            <w:tcBorders>
              <w:top w:val="single" w:color="auto" w:sz="4" w:space="0"/>
              <w:left w:val="single" w:color="auto" w:sz="4" w:space="0"/>
              <w:bottom w:val="single" w:color="auto" w:sz="4" w:space="0"/>
              <w:right w:val="single" w:color="auto" w:sz="4" w:space="0"/>
            </w:tcBorders>
            <w:vAlign w:val="center"/>
          </w:tcPr>
          <w:p w14:paraId="5FA817D8">
            <w:pPr>
              <w:widowControl/>
              <w:jc w:val="center"/>
              <w:rPr>
                <w:rFonts w:ascii="宋体" w:hAnsi="宋体" w:cs="宋体"/>
                <w:sz w:val="24"/>
                <w:highlight w:val="none"/>
              </w:rPr>
            </w:pPr>
            <w:r>
              <w:rPr>
                <w:rFonts w:hint="eastAsia" w:ascii="宋体" w:hAnsi="宋体" w:cs="宋体"/>
                <w:sz w:val="24"/>
                <w:highlight w:val="none"/>
              </w:rPr>
              <w:t>单价(元)</w:t>
            </w:r>
          </w:p>
        </w:tc>
        <w:tc>
          <w:tcPr>
            <w:tcW w:w="495" w:type="pct"/>
            <w:vMerge w:val="restart"/>
            <w:tcBorders>
              <w:top w:val="single" w:color="auto" w:sz="4" w:space="0"/>
              <w:left w:val="single" w:color="auto" w:sz="4" w:space="0"/>
              <w:bottom w:val="single" w:color="auto" w:sz="4" w:space="0"/>
              <w:right w:val="single" w:color="auto" w:sz="4" w:space="0"/>
            </w:tcBorders>
            <w:vAlign w:val="center"/>
          </w:tcPr>
          <w:p w14:paraId="57552A83">
            <w:pPr>
              <w:widowControl/>
              <w:jc w:val="center"/>
              <w:rPr>
                <w:rFonts w:ascii="宋体" w:hAnsi="宋体" w:cs="宋体"/>
                <w:sz w:val="24"/>
                <w:highlight w:val="none"/>
              </w:rPr>
            </w:pPr>
            <w:r>
              <w:rPr>
                <w:rFonts w:hint="eastAsia" w:ascii="宋体" w:hAnsi="宋体" w:cs="宋体"/>
                <w:sz w:val="24"/>
                <w:highlight w:val="none"/>
              </w:rPr>
              <w:t>金额(元)</w:t>
            </w:r>
          </w:p>
        </w:tc>
        <w:tc>
          <w:tcPr>
            <w:tcW w:w="629" w:type="pct"/>
            <w:vMerge w:val="restart"/>
            <w:tcBorders>
              <w:top w:val="single" w:color="auto" w:sz="4" w:space="0"/>
              <w:left w:val="single" w:color="auto" w:sz="4" w:space="0"/>
              <w:bottom w:val="single" w:color="000000" w:sz="4" w:space="0"/>
              <w:right w:val="single" w:color="auto" w:sz="8" w:space="0"/>
            </w:tcBorders>
            <w:vAlign w:val="center"/>
          </w:tcPr>
          <w:p w14:paraId="2016A17B">
            <w:pPr>
              <w:widowControl/>
              <w:jc w:val="center"/>
              <w:rPr>
                <w:rFonts w:ascii="宋体" w:hAnsi="宋体" w:cs="宋体"/>
                <w:sz w:val="24"/>
                <w:highlight w:val="none"/>
              </w:rPr>
            </w:pPr>
            <w:r>
              <w:rPr>
                <w:rFonts w:hint="eastAsia" w:ascii="宋体" w:hAnsi="宋体" w:cs="宋体"/>
                <w:sz w:val="24"/>
                <w:highlight w:val="none"/>
              </w:rPr>
              <w:t>产地或生产企业</w:t>
            </w:r>
          </w:p>
        </w:tc>
      </w:tr>
      <w:tr w14:paraId="2521FE2B">
        <w:tblPrEx>
          <w:tblCellMar>
            <w:top w:w="0" w:type="dxa"/>
            <w:left w:w="108" w:type="dxa"/>
            <w:bottom w:w="0" w:type="dxa"/>
            <w:right w:w="108" w:type="dxa"/>
          </w:tblCellMar>
        </w:tblPrEx>
        <w:trPr>
          <w:cantSplit/>
          <w:trHeight w:val="388" w:hRule="atLeast"/>
        </w:trPr>
        <w:tc>
          <w:tcPr>
            <w:tcW w:w="413" w:type="pct"/>
            <w:vMerge w:val="continue"/>
            <w:tcBorders>
              <w:top w:val="single" w:color="auto" w:sz="4" w:space="0"/>
              <w:left w:val="single" w:color="auto" w:sz="8" w:space="0"/>
              <w:bottom w:val="single" w:color="auto" w:sz="4" w:space="0"/>
              <w:right w:val="single" w:color="auto" w:sz="4" w:space="0"/>
            </w:tcBorders>
            <w:vAlign w:val="center"/>
          </w:tcPr>
          <w:p w14:paraId="088CBE65">
            <w:pPr>
              <w:widowControl/>
              <w:jc w:val="left"/>
              <w:rPr>
                <w:sz w:val="24"/>
                <w:highlight w:val="none"/>
              </w:rPr>
            </w:pPr>
          </w:p>
        </w:tc>
        <w:tc>
          <w:tcPr>
            <w:tcW w:w="830" w:type="pct"/>
            <w:vMerge w:val="continue"/>
            <w:tcBorders>
              <w:top w:val="single" w:color="auto" w:sz="4" w:space="0"/>
              <w:left w:val="single" w:color="auto" w:sz="4" w:space="0"/>
              <w:bottom w:val="single" w:color="auto" w:sz="4" w:space="0"/>
              <w:right w:val="single" w:color="auto" w:sz="4" w:space="0"/>
            </w:tcBorders>
            <w:vAlign w:val="center"/>
          </w:tcPr>
          <w:p w14:paraId="21CF3750">
            <w:pPr>
              <w:widowControl/>
              <w:jc w:val="left"/>
              <w:rPr>
                <w:sz w:val="24"/>
                <w:highlight w:val="none"/>
              </w:rPr>
            </w:pPr>
          </w:p>
        </w:tc>
        <w:tc>
          <w:tcPr>
            <w:tcW w:w="448" w:type="pct"/>
            <w:vMerge w:val="continue"/>
            <w:tcBorders>
              <w:top w:val="single" w:color="auto" w:sz="4" w:space="0"/>
              <w:left w:val="single" w:color="auto" w:sz="4" w:space="0"/>
              <w:bottom w:val="single" w:color="auto" w:sz="4" w:space="0"/>
              <w:right w:val="single" w:color="auto" w:sz="4" w:space="0"/>
            </w:tcBorders>
            <w:vAlign w:val="center"/>
          </w:tcPr>
          <w:p w14:paraId="210C76FF">
            <w:pPr>
              <w:widowControl/>
              <w:jc w:val="left"/>
              <w:rPr>
                <w:sz w:val="24"/>
                <w:highlight w:val="none"/>
              </w:rPr>
            </w:pPr>
          </w:p>
        </w:tc>
        <w:tc>
          <w:tcPr>
            <w:tcW w:w="583" w:type="pct"/>
            <w:vMerge w:val="continue"/>
            <w:tcBorders>
              <w:top w:val="single" w:color="auto" w:sz="4" w:space="0"/>
              <w:left w:val="single" w:color="auto" w:sz="4" w:space="0"/>
              <w:bottom w:val="single" w:color="000000" w:sz="4" w:space="0"/>
              <w:right w:val="single" w:color="auto" w:sz="4" w:space="0"/>
            </w:tcBorders>
            <w:vAlign w:val="center"/>
          </w:tcPr>
          <w:p w14:paraId="5881DC01">
            <w:pPr>
              <w:widowControl/>
              <w:jc w:val="left"/>
              <w:rPr>
                <w:sz w:val="24"/>
                <w:highlight w:val="none"/>
              </w:rPr>
            </w:pPr>
          </w:p>
        </w:tc>
        <w:tc>
          <w:tcPr>
            <w:tcW w:w="553" w:type="pct"/>
            <w:vMerge w:val="continue"/>
            <w:tcBorders>
              <w:top w:val="single" w:color="auto" w:sz="4" w:space="0"/>
              <w:left w:val="single" w:color="auto" w:sz="4" w:space="0"/>
              <w:bottom w:val="single" w:color="auto" w:sz="4" w:space="0"/>
              <w:right w:val="single" w:color="auto" w:sz="4" w:space="0"/>
            </w:tcBorders>
            <w:vAlign w:val="center"/>
          </w:tcPr>
          <w:p w14:paraId="3EFEE658">
            <w:pPr>
              <w:widowControl/>
              <w:jc w:val="left"/>
              <w:rPr>
                <w:sz w:val="24"/>
                <w:highlight w:val="none"/>
              </w:rPr>
            </w:pPr>
          </w:p>
        </w:tc>
        <w:tc>
          <w:tcPr>
            <w:tcW w:w="637" w:type="pct"/>
            <w:vMerge w:val="continue"/>
            <w:tcBorders>
              <w:top w:val="single" w:color="auto" w:sz="4" w:space="0"/>
              <w:left w:val="single" w:color="auto" w:sz="4" w:space="0"/>
              <w:bottom w:val="single" w:color="auto" w:sz="4" w:space="0"/>
              <w:right w:val="single" w:color="auto" w:sz="4" w:space="0"/>
            </w:tcBorders>
            <w:vAlign w:val="center"/>
          </w:tcPr>
          <w:p w14:paraId="20E228C8">
            <w:pPr>
              <w:widowControl/>
              <w:jc w:val="left"/>
              <w:rPr>
                <w:sz w:val="24"/>
                <w:highlight w:val="none"/>
              </w:rPr>
            </w:pPr>
          </w:p>
        </w:tc>
        <w:tc>
          <w:tcPr>
            <w:tcW w:w="412" w:type="pct"/>
            <w:vMerge w:val="continue"/>
            <w:tcBorders>
              <w:top w:val="single" w:color="auto" w:sz="4" w:space="0"/>
              <w:left w:val="single" w:color="auto" w:sz="4" w:space="0"/>
              <w:bottom w:val="single" w:color="auto" w:sz="4" w:space="0"/>
              <w:right w:val="single" w:color="auto" w:sz="4" w:space="0"/>
            </w:tcBorders>
            <w:vAlign w:val="center"/>
          </w:tcPr>
          <w:p w14:paraId="5F200CD2">
            <w:pPr>
              <w:widowControl/>
              <w:jc w:val="left"/>
              <w:rPr>
                <w:sz w:val="24"/>
                <w:highlight w:val="none"/>
              </w:rPr>
            </w:pPr>
          </w:p>
        </w:tc>
        <w:tc>
          <w:tcPr>
            <w:tcW w:w="495" w:type="pct"/>
            <w:vMerge w:val="continue"/>
            <w:tcBorders>
              <w:top w:val="single" w:color="auto" w:sz="4" w:space="0"/>
              <w:left w:val="single" w:color="auto" w:sz="4" w:space="0"/>
              <w:bottom w:val="single" w:color="auto" w:sz="4" w:space="0"/>
              <w:right w:val="single" w:color="auto" w:sz="4" w:space="0"/>
            </w:tcBorders>
            <w:vAlign w:val="center"/>
          </w:tcPr>
          <w:p w14:paraId="403EAECE">
            <w:pPr>
              <w:widowControl/>
              <w:jc w:val="left"/>
              <w:rPr>
                <w:sz w:val="24"/>
                <w:highlight w:val="none"/>
              </w:rPr>
            </w:pPr>
          </w:p>
        </w:tc>
        <w:tc>
          <w:tcPr>
            <w:tcW w:w="629" w:type="pct"/>
            <w:vMerge w:val="continue"/>
            <w:tcBorders>
              <w:top w:val="single" w:color="auto" w:sz="4" w:space="0"/>
              <w:left w:val="single" w:color="auto" w:sz="4" w:space="0"/>
              <w:bottom w:val="single" w:color="000000" w:sz="4" w:space="0"/>
              <w:right w:val="single" w:color="auto" w:sz="8" w:space="0"/>
            </w:tcBorders>
            <w:vAlign w:val="center"/>
          </w:tcPr>
          <w:p w14:paraId="754342E6">
            <w:pPr>
              <w:widowControl/>
              <w:jc w:val="left"/>
              <w:rPr>
                <w:sz w:val="24"/>
                <w:highlight w:val="none"/>
              </w:rPr>
            </w:pPr>
          </w:p>
        </w:tc>
      </w:tr>
      <w:tr w14:paraId="221E8EC8">
        <w:tblPrEx>
          <w:tblCellMar>
            <w:top w:w="0" w:type="dxa"/>
            <w:left w:w="108" w:type="dxa"/>
            <w:bottom w:w="0" w:type="dxa"/>
            <w:right w:w="108" w:type="dxa"/>
          </w:tblCellMar>
        </w:tblPrEx>
        <w:trPr>
          <w:trHeight w:val="454" w:hRule="atLeast"/>
        </w:trPr>
        <w:tc>
          <w:tcPr>
            <w:tcW w:w="413" w:type="pct"/>
            <w:tcBorders>
              <w:top w:val="nil"/>
              <w:left w:val="single" w:color="auto" w:sz="8" w:space="0"/>
              <w:bottom w:val="single" w:color="auto" w:sz="2" w:space="0"/>
              <w:right w:val="single" w:color="auto" w:sz="4" w:space="0"/>
            </w:tcBorders>
            <w:vAlign w:val="center"/>
          </w:tcPr>
          <w:p w14:paraId="28F49A49">
            <w:pPr>
              <w:widowControl/>
              <w:jc w:val="center"/>
              <w:rPr>
                <w:sz w:val="24"/>
                <w:highlight w:val="none"/>
              </w:rPr>
            </w:pPr>
            <w:r>
              <w:rPr>
                <w:rFonts w:hint="eastAsia"/>
                <w:sz w:val="24"/>
                <w:highlight w:val="none"/>
              </w:rPr>
              <w:t>一</w:t>
            </w:r>
          </w:p>
        </w:tc>
        <w:tc>
          <w:tcPr>
            <w:tcW w:w="830" w:type="pct"/>
            <w:tcBorders>
              <w:top w:val="nil"/>
              <w:left w:val="nil"/>
              <w:bottom w:val="single" w:color="auto" w:sz="2" w:space="0"/>
              <w:right w:val="single" w:color="auto" w:sz="4" w:space="0"/>
            </w:tcBorders>
            <w:vAlign w:val="center"/>
          </w:tcPr>
          <w:p w14:paraId="7B973C51">
            <w:pPr>
              <w:widowControl/>
              <w:jc w:val="left"/>
              <w:rPr>
                <w:sz w:val="24"/>
                <w:highlight w:val="none"/>
              </w:rPr>
            </w:pPr>
            <w:r>
              <w:rPr>
                <w:rFonts w:hint="eastAsia"/>
                <w:sz w:val="24"/>
                <w:highlight w:val="none"/>
              </w:rPr>
              <w:t>直接材料费</w:t>
            </w:r>
          </w:p>
        </w:tc>
        <w:tc>
          <w:tcPr>
            <w:tcW w:w="448" w:type="pct"/>
            <w:tcBorders>
              <w:top w:val="nil"/>
              <w:left w:val="nil"/>
              <w:bottom w:val="single" w:color="auto" w:sz="2" w:space="0"/>
              <w:right w:val="single" w:color="auto" w:sz="4" w:space="0"/>
            </w:tcBorders>
            <w:vAlign w:val="center"/>
          </w:tcPr>
          <w:p w14:paraId="6E6D9559">
            <w:pPr>
              <w:widowControl/>
              <w:jc w:val="center"/>
              <w:rPr>
                <w:sz w:val="24"/>
                <w:highlight w:val="none"/>
              </w:rPr>
            </w:pPr>
          </w:p>
        </w:tc>
        <w:tc>
          <w:tcPr>
            <w:tcW w:w="583" w:type="pct"/>
            <w:tcBorders>
              <w:top w:val="nil"/>
              <w:left w:val="nil"/>
              <w:bottom w:val="single" w:color="auto" w:sz="2" w:space="0"/>
              <w:right w:val="single" w:color="auto" w:sz="4" w:space="0"/>
            </w:tcBorders>
            <w:vAlign w:val="center"/>
          </w:tcPr>
          <w:p w14:paraId="27AC0571">
            <w:pPr>
              <w:widowControl/>
              <w:jc w:val="center"/>
              <w:rPr>
                <w:sz w:val="24"/>
                <w:highlight w:val="none"/>
              </w:rPr>
            </w:pPr>
          </w:p>
        </w:tc>
        <w:tc>
          <w:tcPr>
            <w:tcW w:w="553" w:type="pct"/>
            <w:tcBorders>
              <w:top w:val="nil"/>
              <w:left w:val="nil"/>
              <w:bottom w:val="single" w:color="auto" w:sz="2" w:space="0"/>
              <w:right w:val="single" w:color="auto" w:sz="4" w:space="0"/>
            </w:tcBorders>
            <w:vAlign w:val="center"/>
          </w:tcPr>
          <w:p w14:paraId="5E211271">
            <w:pPr>
              <w:widowControl/>
              <w:jc w:val="center"/>
              <w:rPr>
                <w:sz w:val="24"/>
                <w:highlight w:val="none"/>
              </w:rPr>
            </w:pPr>
          </w:p>
        </w:tc>
        <w:tc>
          <w:tcPr>
            <w:tcW w:w="637" w:type="pct"/>
            <w:tcBorders>
              <w:top w:val="nil"/>
              <w:left w:val="nil"/>
              <w:bottom w:val="single" w:color="auto" w:sz="2" w:space="0"/>
              <w:right w:val="single" w:color="auto" w:sz="4" w:space="0"/>
            </w:tcBorders>
            <w:vAlign w:val="center"/>
          </w:tcPr>
          <w:p w14:paraId="2145CF12">
            <w:pPr>
              <w:widowControl/>
              <w:jc w:val="center"/>
              <w:rPr>
                <w:sz w:val="24"/>
                <w:highlight w:val="none"/>
              </w:rPr>
            </w:pPr>
          </w:p>
        </w:tc>
        <w:tc>
          <w:tcPr>
            <w:tcW w:w="412" w:type="pct"/>
            <w:tcBorders>
              <w:top w:val="nil"/>
              <w:left w:val="nil"/>
              <w:bottom w:val="single" w:color="auto" w:sz="2" w:space="0"/>
              <w:right w:val="single" w:color="auto" w:sz="4" w:space="0"/>
            </w:tcBorders>
            <w:vAlign w:val="center"/>
          </w:tcPr>
          <w:p w14:paraId="1A998460">
            <w:pPr>
              <w:widowControl/>
              <w:jc w:val="center"/>
              <w:rPr>
                <w:sz w:val="24"/>
                <w:highlight w:val="none"/>
              </w:rPr>
            </w:pPr>
          </w:p>
        </w:tc>
        <w:tc>
          <w:tcPr>
            <w:tcW w:w="495" w:type="pct"/>
            <w:tcBorders>
              <w:top w:val="nil"/>
              <w:left w:val="nil"/>
              <w:bottom w:val="single" w:color="auto" w:sz="2" w:space="0"/>
              <w:right w:val="single" w:color="auto" w:sz="4" w:space="0"/>
            </w:tcBorders>
            <w:vAlign w:val="center"/>
          </w:tcPr>
          <w:p w14:paraId="432D6A1A">
            <w:pPr>
              <w:widowControl/>
              <w:jc w:val="center"/>
              <w:rPr>
                <w:sz w:val="24"/>
                <w:highlight w:val="none"/>
              </w:rPr>
            </w:pPr>
          </w:p>
        </w:tc>
        <w:tc>
          <w:tcPr>
            <w:tcW w:w="630" w:type="pct"/>
            <w:tcBorders>
              <w:top w:val="nil"/>
              <w:left w:val="nil"/>
              <w:bottom w:val="single" w:color="auto" w:sz="2" w:space="0"/>
              <w:right w:val="single" w:color="auto" w:sz="8" w:space="0"/>
            </w:tcBorders>
            <w:vAlign w:val="center"/>
          </w:tcPr>
          <w:p w14:paraId="1951F6C6">
            <w:pPr>
              <w:widowControl/>
              <w:jc w:val="center"/>
              <w:rPr>
                <w:sz w:val="24"/>
                <w:highlight w:val="none"/>
              </w:rPr>
            </w:pPr>
          </w:p>
        </w:tc>
      </w:tr>
      <w:tr w14:paraId="0C20E027">
        <w:tblPrEx>
          <w:tblCellMar>
            <w:top w:w="0" w:type="dxa"/>
            <w:left w:w="108" w:type="dxa"/>
            <w:bottom w:w="0" w:type="dxa"/>
            <w:right w:w="108" w:type="dxa"/>
          </w:tblCellMar>
        </w:tblPrEx>
        <w:trPr>
          <w:trHeight w:val="454" w:hRule="atLeast"/>
        </w:trPr>
        <w:tc>
          <w:tcPr>
            <w:tcW w:w="413" w:type="pct"/>
            <w:tcBorders>
              <w:top w:val="single" w:color="auto" w:sz="2" w:space="0"/>
              <w:left w:val="single" w:color="auto" w:sz="8" w:space="0"/>
              <w:bottom w:val="single" w:color="auto" w:sz="4" w:space="0"/>
              <w:right w:val="single" w:color="auto" w:sz="4" w:space="0"/>
            </w:tcBorders>
            <w:vAlign w:val="center"/>
          </w:tcPr>
          <w:p w14:paraId="555460D5">
            <w:pPr>
              <w:jc w:val="center"/>
              <w:rPr>
                <w:rFonts w:ascii="宋体" w:hAnsi="宋体"/>
                <w:sz w:val="24"/>
                <w:highlight w:val="none"/>
              </w:rPr>
            </w:pPr>
            <w:r>
              <w:rPr>
                <w:rFonts w:ascii="宋体" w:hAnsi="宋体"/>
                <w:sz w:val="24"/>
                <w:highlight w:val="none"/>
              </w:rPr>
              <w:t>1</w:t>
            </w:r>
          </w:p>
        </w:tc>
        <w:tc>
          <w:tcPr>
            <w:tcW w:w="830" w:type="pct"/>
            <w:tcBorders>
              <w:top w:val="single" w:color="auto" w:sz="2" w:space="0"/>
              <w:left w:val="nil"/>
              <w:bottom w:val="single" w:color="auto" w:sz="4" w:space="0"/>
              <w:right w:val="single" w:color="auto" w:sz="4" w:space="0"/>
            </w:tcBorders>
            <w:vAlign w:val="center"/>
          </w:tcPr>
          <w:p w14:paraId="446BAD21">
            <w:pPr>
              <w:jc w:val="left"/>
              <w:rPr>
                <w:sz w:val="24"/>
                <w:highlight w:val="none"/>
              </w:rPr>
            </w:pPr>
          </w:p>
        </w:tc>
        <w:tc>
          <w:tcPr>
            <w:tcW w:w="448" w:type="pct"/>
            <w:tcBorders>
              <w:top w:val="single" w:color="auto" w:sz="2" w:space="0"/>
              <w:left w:val="nil"/>
              <w:bottom w:val="single" w:color="auto" w:sz="4" w:space="0"/>
              <w:right w:val="single" w:color="auto" w:sz="4" w:space="0"/>
            </w:tcBorders>
            <w:vAlign w:val="center"/>
          </w:tcPr>
          <w:p w14:paraId="76E25DAB">
            <w:pPr>
              <w:jc w:val="center"/>
              <w:rPr>
                <w:sz w:val="24"/>
                <w:highlight w:val="none"/>
              </w:rPr>
            </w:pPr>
          </w:p>
        </w:tc>
        <w:tc>
          <w:tcPr>
            <w:tcW w:w="583" w:type="pct"/>
            <w:tcBorders>
              <w:top w:val="single" w:color="auto" w:sz="2" w:space="0"/>
              <w:left w:val="nil"/>
              <w:bottom w:val="single" w:color="auto" w:sz="4" w:space="0"/>
              <w:right w:val="single" w:color="auto" w:sz="4" w:space="0"/>
            </w:tcBorders>
            <w:vAlign w:val="center"/>
          </w:tcPr>
          <w:p w14:paraId="0C479522">
            <w:pPr>
              <w:jc w:val="center"/>
              <w:rPr>
                <w:sz w:val="24"/>
                <w:highlight w:val="none"/>
              </w:rPr>
            </w:pPr>
          </w:p>
        </w:tc>
        <w:tc>
          <w:tcPr>
            <w:tcW w:w="553" w:type="pct"/>
            <w:tcBorders>
              <w:top w:val="single" w:color="auto" w:sz="2" w:space="0"/>
              <w:left w:val="nil"/>
              <w:bottom w:val="single" w:color="auto" w:sz="4" w:space="0"/>
              <w:right w:val="single" w:color="auto" w:sz="4" w:space="0"/>
            </w:tcBorders>
            <w:vAlign w:val="center"/>
          </w:tcPr>
          <w:p w14:paraId="1BB292B5">
            <w:pPr>
              <w:jc w:val="center"/>
              <w:rPr>
                <w:sz w:val="24"/>
                <w:highlight w:val="none"/>
              </w:rPr>
            </w:pPr>
          </w:p>
        </w:tc>
        <w:tc>
          <w:tcPr>
            <w:tcW w:w="637" w:type="pct"/>
            <w:tcBorders>
              <w:top w:val="single" w:color="auto" w:sz="2" w:space="0"/>
              <w:left w:val="nil"/>
              <w:bottom w:val="single" w:color="auto" w:sz="4" w:space="0"/>
              <w:right w:val="single" w:color="auto" w:sz="4" w:space="0"/>
            </w:tcBorders>
            <w:vAlign w:val="center"/>
          </w:tcPr>
          <w:p w14:paraId="0FEEF052">
            <w:pPr>
              <w:jc w:val="center"/>
              <w:rPr>
                <w:sz w:val="24"/>
                <w:highlight w:val="none"/>
              </w:rPr>
            </w:pPr>
          </w:p>
        </w:tc>
        <w:tc>
          <w:tcPr>
            <w:tcW w:w="412" w:type="pct"/>
            <w:tcBorders>
              <w:top w:val="single" w:color="auto" w:sz="2" w:space="0"/>
              <w:left w:val="nil"/>
              <w:bottom w:val="single" w:color="auto" w:sz="4" w:space="0"/>
              <w:right w:val="single" w:color="auto" w:sz="4" w:space="0"/>
            </w:tcBorders>
            <w:vAlign w:val="center"/>
          </w:tcPr>
          <w:p w14:paraId="5254A7B6">
            <w:pPr>
              <w:jc w:val="center"/>
              <w:rPr>
                <w:sz w:val="24"/>
                <w:highlight w:val="none"/>
              </w:rPr>
            </w:pPr>
          </w:p>
        </w:tc>
        <w:tc>
          <w:tcPr>
            <w:tcW w:w="495" w:type="pct"/>
            <w:tcBorders>
              <w:top w:val="single" w:color="auto" w:sz="2" w:space="0"/>
              <w:left w:val="nil"/>
              <w:bottom w:val="single" w:color="auto" w:sz="4" w:space="0"/>
              <w:right w:val="single" w:color="auto" w:sz="4" w:space="0"/>
            </w:tcBorders>
            <w:vAlign w:val="center"/>
          </w:tcPr>
          <w:p w14:paraId="7CAF2161">
            <w:pPr>
              <w:jc w:val="center"/>
              <w:rPr>
                <w:sz w:val="24"/>
                <w:highlight w:val="none"/>
              </w:rPr>
            </w:pPr>
          </w:p>
        </w:tc>
        <w:tc>
          <w:tcPr>
            <w:tcW w:w="630" w:type="pct"/>
            <w:tcBorders>
              <w:top w:val="single" w:color="auto" w:sz="2" w:space="0"/>
              <w:left w:val="nil"/>
              <w:bottom w:val="single" w:color="auto" w:sz="4" w:space="0"/>
              <w:right w:val="single" w:color="auto" w:sz="8" w:space="0"/>
            </w:tcBorders>
            <w:vAlign w:val="center"/>
          </w:tcPr>
          <w:p w14:paraId="79858C3A">
            <w:pPr>
              <w:jc w:val="center"/>
              <w:rPr>
                <w:sz w:val="24"/>
                <w:highlight w:val="none"/>
              </w:rPr>
            </w:pPr>
          </w:p>
        </w:tc>
      </w:tr>
      <w:tr w14:paraId="59F94B61">
        <w:tblPrEx>
          <w:tblCellMar>
            <w:top w:w="0" w:type="dxa"/>
            <w:left w:w="108" w:type="dxa"/>
            <w:bottom w:w="0" w:type="dxa"/>
            <w:right w:w="108" w:type="dxa"/>
          </w:tblCellMar>
        </w:tblPrEx>
        <w:trPr>
          <w:trHeight w:val="454" w:hRule="atLeast"/>
        </w:trPr>
        <w:tc>
          <w:tcPr>
            <w:tcW w:w="413" w:type="pct"/>
            <w:tcBorders>
              <w:top w:val="nil"/>
              <w:left w:val="single" w:color="auto" w:sz="8" w:space="0"/>
              <w:bottom w:val="single" w:color="auto" w:sz="4" w:space="0"/>
              <w:right w:val="single" w:color="auto" w:sz="4" w:space="0"/>
            </w:tcBorders>
            <w:vAlign w:val="center"/>
          </w:tcPr>
          <w:p w14:paraId="6E5241C2">
            <w:pPr>
              <w:widowControl/>
              <w:jc w:val="center"/>
              <w:rPr>
                <w:rFonts w:ascii="宋体" w:hAnsi="宋体"/>
                <w:sz w:val="24"/>
                <w:highlight w:val="none"/>
              </w:rPr>
            </w:pPr>
            <w:r>
              <w:rPr>
                <w:rFonts w:ascii="宋体" w:hAnsi="宋体"/>
                <w:sz w:val="24"/>
                <w:highlight w:val="none"/>
              </w:rPr>
              <w:t>2</w:t>
            </w:r>
          </w:p>
        </w:tc>
        <w:tc>
          <w:tcPr>
            <w:tcW w:w="830" w:type="pct"/>
            <w:tcBorders>
              <w:top w:val="nil"/>
              <w:left w:val="nil"/>
              <w:bottom w:val="single" w:color="auto" w:sz="4" w:space="0"/>
              <w:right w:val="single" w:color="auto" w:sz="4" w:space="0"/>
            </w:tcBorders>
            <w:vAlign w:val="center"/>
          </w:tcPr>
          <w:p w14:paraId="360FB639">
            <w:pPr>
              <w:widowControl/>
              <w:jc w:val="left"/>
              <w:rPr>
                <w:sz w:val="24"/>
                <w:highlight w:val="none"/>
              </w:rPr>
            </w:pPr>
          </w:p>
        </w:tc>
        <w:tc>
          <w:tcPr>
            <w:tcW w:w="448" w:type="pct"/>
            <w:tcBorders>
              <w:top w:val="nil"/>
              <w:left w:val="nil"/>
              <w:bottom w:val="single" w:color="auto" w:sz="4" w:space="0"/>
              <w:right w:val="single" w:color="auto" w:sz="4" w:space="0"/>
            </w:tcBorders>
            <w:vAlign w:val="center"/>
          </w:tcPr>
          <w:p w14:paraId="39BD0513">
            <w:pPr>
              <w:widowControl/>
              <w:jc w:val="center"/>
              <w:rPr>
                <w:sz w:val="24"/>
                <w:highlight w:val="none"/>
              </w:rPr>
            </w:pPr>
          </w:p>
        </w:tc>
        <w:tc>
          <w:tcPr>
            <w:tcW w:w="583" w:type="pct"/>
            <w:tcBorders>
              <w:top w:val="nil"/>
              <w:left w:val="nil"/>
              <w:bottom w:val="single" w:color="auto" w:sz="4" w:space="0"/>
              <w:right w:val="single" w:color="auto" w:sz="4" w:space="0"/>
            </w:tcBorders>
            <w:vAlign w:val="center"/>
          </w:tcPr>
          <w:p w14:paraId="28649B8B">
            <w:pPr>
              <w:widowControl/>
              <w:jc w:val="center"/>
              <w:rPr>
                <w:sz w:val="24"/>
                <w:highlight w:val="none"/>
              </w:rPr>
            </w:pPr>
          </w:p>
        </w:tc>
        <w:tc>
          <w:tcPr>
            <w:tcW w:w="553" w:type="pct"/>
            <w:tcBorders>
              <w:top w:val="nil"/>
              <w:left w:val="nil"/>
              <w:bottom w:val="single" w:color="auto" w:sz="4" w:space="0"/>
              <w:right w:val="single" w:color="auto" w:sz="4" w:space="0"/>
            </w:tcBorders>
            <w:vAlign w:val="center"/>
          </w:tcPr>
          <w:p w14:paraId="523B90ED">
            <w:pPr>
              <w:widowControl/>
              <w:jc w:val="center"/>
              <w:rPr>
                <w:sz w:val="24"/>
                <w:highlight w:val="none"/>
              </w:rPr>
            </w:pPr>
          </w:p>
        </w:tc>
        <w:tc>
          <w:tcPr>
            <w:tcW w:w="637" w:type="pct"/>
            <w:tcBorders>
              <w:top w:val="nil"/>
              <w:left w:val="nil"/>
              <w:bottom w:val="single" w:color="auto" w:sz="4" w:space="0"/>
              <w:right w:val="single" w:color="auto" w:sz="4" w:space="0"/>
            </w:tcBorders>
            <w:vAlign w:val="center"/>
          </w:tcPr>
          <w:p w14:paraId="3C005D0B">
            <w:pPr>
              <w:widowControl/>
              <w:jc w:val="center"/>
              <w:rPr>
                <w:sz w:val="24"/>
                <w:highlight w:val="none"/>
              </w:rPr>
            </w:pPr>
          </w:p>
        </w:tc>
        <w:tc>
          <w:tcPr>
            <w:tcW w:w="412" w:type="pct"/>
            <w:tcBorders>
              <w:top w:val="nil"/>
              <w:left w:val="nil"/>
              <w:bottom w:val="single" w:color="auto" w:sz="4" w:space="0"/>
              <w:right w:val="single" w:color="auto" w:sz="4" w:space="0"/>
            </w:tcBorders>
            <w:vAlign w:val="center"/>
          </w:tcPr>
          <w:p w14:paraId="75ABA5BC">
            <w:pPr>
              <w:widowControl/>
              <w:jc w:val="center"/>
              <w:rPr>
                <w:sz w:val="24"/>
                <w:highlight w:val="none"/>
              </w:rPr>
            </w:pPr>
          </w:p>
        </w:tc>
        <w:tc>
          <w:tcPr>
            <w:tcW w:w="495" w:type="pct"/>
            <w:tcBorders>
              <w:top w:val="nil"/>
              <w:left w:val="nil"/>
              <w:bottom w:val="single" w:color="auto" w:sz="4" w:space="0"/>
              <w:right w:val="single" w:color="auto" w:sz="4" w:space="0"/>
            </w:tcBorders>
            <w:vAlign w:val="center"/>
          </w:tcPr>
          <w:p w14:paraId="34736CB5">
            <w:pPr>
              <w:widowControl/>
              <w:jc w:val="center"/>
              <w:rPr>
                <w:sz w:val="24"/>
                <w:highlight w:val="none"/>
              </w:rPr>
            </w:pPr>
          </w:p>
        </w:tc>
        <w:tc>
          <w:tcPr>
            <w:tcW w:w="630" w:type="pct"/>
            <w:tcBorders>
              <w:top w:val="nil"/>
              <w:left w:val="nil"/>
              <w:bottom w:val="single" w:color="auto" w:sz="4" w:space="0"/>
              <w:right w:val="single" w:color="auto" w:sz="8" w:space="0"/>
            </w:tcBorders>
            <w:vAlign w:val="center"/>
          </w:tcPr>
          <w:p w14:paraId="59A6D55E">
            <w:pPr>
              <w:widowControl/>
              <w:jc w:val="center"/>
              <w:rPr>
                <w:sz w:val="24"/>
                <w:highlight w:val="none"/>
              </w:rPr>
            </w:pPr>
          </w:p>
        </w:tc>
      </w:tr>
      <w:tr w14:paraId="60EAD53C">
        <w:tblPrEx>
          <w:tblCellMar>
            <w:top w:w="0" w:type="dxa"/>
            <w:left w:w="108" w:type="dxa"/>
            <w:bottom w:w="0" w:type="dxa"/>
            <w:right w:w="108" w:type="dxa"/>
          </w:tblCellMar>
        </w:tblPrEx>
        <w:trPr>
          <w:trHeight w:val="454" w:hRule="atLeast"/>
        </w:trPr>
        <w:tc>
          <w:tcPr>
            <w:tcW w:w="413" w:type="pct"/>
            <w:tcBorders>
              <w:top w:val="nil"/>
              <w:left w:val="single" w:color="auto" w:sz="8" w:space="0"/>
              <w:bottom w:val="single" w:color="auto" w:sz="4" w:space="0"/>
              <w:right w:val="single" w:color="auto" w:sz="4" w:space="0"/>
            </w:tcBorders>
            <w:vAlign w:val="center"/>
          </w:tcPr>
          <w:p w14:paraId="70FD9E50">
            <w:pPr>
              <w:widowControl/>
              <w:jc w:val="center"/>
              <w:rPr>
                <w:sz w:val="24"/>
                <w:highlight w:val="none"/>
              </w:rPr>
            </w:pPr>
          </w:p>
        </w:tc>
        <w:tc>
          <w:tcPr>
            <w:tcW w:w="830" w:type="pct"/>
            <w:tcBorders>
              <w:top w:val="nil"/>
              <w:left w:val="nil"/>
              <w:bottom w:val="single" w:color="auto" w:sz="4" w:space="0"/>
              <w:right w:val="single" w:color="auto" w:sz="4" w:space="0"/>
            </w:tcBorders>
            <w:vAlign w:val="center"/>
          </w:tcPr>
          <w:p w14:paraId="2D695BC0">
            <w:pPr>
              <w:widowControl/>
              <w:jc w:val="left"/>
              <w:rPr>
                <w:sz w:val="24"/>
                <w:highlight w:val="none"/>
              </w:rPr>
            </w:pPr>
            <w:r>
              <w:rPr>
                <w:sz w:val="24"/>
                <w:highlight w:val="none"/>
              </w:rPr>
              <w:t>……</w:t>
            </w:r>
          </w:p>
        </w:tc>
        <w:tc>
          <w:tcPr>
            <w:tcW w:w="448" w:type="pct"/>
            <w:tcBorders>
              <w:top w:val="nil"/>
              <w:left w:val="nil"/>
              <w:bottom w:val="single" w:color="auto" w:sz="4" w:space="0"/>
              <w:right w:val="single" w:color="auto" w:sz="4" w:space="0"/>
            </w:tcBorders>
            <w:vAlign w:val="center"/>
          </w:tcPr>
          <w:p w14:paraId="1E70816B">
            <w:pPr>
              <w:widowControl/>
              <w:jc w:val="center"/>
              <w:rPr>
                <w:sz w:val="24"/>
                <w:highlight w:val="none"/>
              </w:rPr>
            </w:pPr>
          </w:p>
        </w:tc>
        <w:tc>
          <w:tcPr>
            <w:tcW w:w="583" w:type="pct"/>
            <w:tcBorders>
              <w:top w:val="nil"/>
              <w:left w:val="nil"/>
              <w:bottom w:val="single" w:color="auto" w:sz="4" w:space="0"/>
              <w:right w:val="single" w:color="auto" w:sz="4" w:space="0"/>
            </w:tcBorders>
            <w:vAlign w:val="center"/>
          </w:tcPr>
          <w:p w14:paraId="2357D963">
            <w:pPr>
              <w:widowControl/>
              <w:jc w:val="center"/>
              <w:rPr>
                <w:sz w:val="24"/>
                <w:highlight w:val="none"/>
              </w:rPr>
            </w:pPr>
          </w:p>
        </w:tc>
        <w:tc>
          <w:tcPr>
            <w:tcW w:w="553" w:type="pct"/>
            <w:tcBorders>
              <w:top w:val="nil"/>
              <w:left w:val="nil"/>
              <w:bottom w:val="single" w:color="auto" w:sz="4" w:space="0"/>
              <w:right w:val="single" w:color="auto" w:sz="4" w:space="0"/>
            </w:tcBorders>
            <w:vAlign w:val="center"/>
          </w:tcPr>
          <w:p w14:paraId="6F9B821A">
            <w:pPr>
              <w:widowControl/>
              <w:jc w:val="center"/>
              <w:rPr>
                <w:sz w:val="24"/>
                <w:highlight w:val="none"/>
              </w:rPr>
            </w:pPr>
          </w:p>
        </w:tc>
        <w:tc>
          <w:tcPr>
            <w:tcW w:w="637" w:type="pct"/>
            <w:tcBorders>
              <w:top w:val="nil"/>
              <w:left w:val="nil"/>
              <w:bottom w:val="single" w:color="auto" w:sz="4" w:space="0"/>
              <w:right w:val="single" w:color="auto" w:sz="4" w:space="0"/>
            </w:tcBorders>
            <w:vAlign w:val="center"/>
          </w:tcPr>
          <w:p w14:paraId="25C7DF4F">
            <w:pPr>
              <w:widowControl/>
              <w:jc w:val="center"/>
              <w:rPr>
                <w:sz w:val="24"/>
                <w:highlight w:val="none"/>
              </w:rPr>
            </w:pPr>
          </w:p>
        </w:tc>
        <w:tc>
          <w:tcPr>
            <w:tcW w:w="412" w:type="pct"/>
            <w:tcBorders>
              <w:top w:val="nil"/>
              <w:left w:val="nil"/>
              <w:bottom w:val="single" w:color="auto" w:sz="4" w:space="0"/>
              <w:right w:val="single" w:color="auto" w:sz="4" w:space="0"/>
            </w:tcBorders>
            <w:vAlign w:val="center"/>
          </w:tcPr>
          <w:p w14:paraId="3A3F2EF6">
            <w:pPr>
              <w:widowControl/>
              <w:jc w:val="center"/>
              <w:rPr>
                <w:sz w:val="24"/>
                <w:highlight w:val="none"/>
              </w:rPr>
            </w:pPr>
          </w:p>
        </w:tc>
        <w:tc>
          <w:tcPr>
            <w:tcW w:w="495" w:type="pct"/>
            <w:tcBorders>
              <w:top w:val="nil"/>
              <w:left w:val="nil"/>
              <w:bottom w:val="single" w:color="auto" w:sz="4" w:space="0"/>
              <w:right w:val="single" w:color="auto" w:sz="4" w:space="0"/>
            </w:tcBorders>
            <w:vAlign w:val="center"/>
          </w:tcPr>
          <w:p w14:paraId="550CC3A9">
            <w:pPr>
              <w:widowControl/>
              <w:jc w:val="center"/>
              <w:rPr>
                <w:sz w:val="24"/>
                <w:highlight w:val="none"/>
              </w:rPr>
            </w:pPr>
          </w:p>
        </w:tc>
        <w:tc>
          <w:tcPr>
            <w:tcW w:w="630" w:type="pct"/>
            <w:tcBorders>
              <w:top w:val="nil"/>
              <w:left w:val="nil"/>
              <w:bottom w:val="single" w:color="auto" w:sz="4" w:space="0"/>
              <w:right w:val="single" w:color="auto" w:sz="8" w:space="0"/>
            </w:tcBorders>
            <w:vAlign w:val="center"/>
          </w:tcPr>
          <w:p w14:paraId="28E85FE1">
            <w:pPr>
              <w:widowControl/>
              <w:jc w:val="center"/>
              <w:rPr>
                <w:sz w:val="24"/>
                <w:highlight w:val="none"/>
              </w:rPr>
            </w:pPr>
          </w:p>
        </w:tc>
      </w:tr>
      <w:tr w14:paraId="267BF588">
        <w:tblPrEx>
          <w:tblCellMar>
            <w:top w:w="0" w:type="dxa"/>
            <w:left w:w="108" w:type="dxa"/>
            <w:bottom w:w="0" w:type="dxa"/>
            <w:right w:w="108" w:type="dxa"/>
          </w:tblCellMar>
        </w:tblPrEx>
        <w:trPr>
          <w:trHeight w:val="454" w:hRule="atLeast"/>
        </w:trPr>
        <w:tc>
          <w:tcPr>
            <w:tcW w:w="413" w:type="pct"/>
            <w:tcBorders>
              <w:top w:val="nil"/>
              <w:left w:val="single" w:color="auto" w:sz="8" w:space="0"/>
              <w:bottom w:val="single" w:color="auto" w:sz="4" w:space="0"/>
              <w:right w:val="single" w:color="auto" w:sz="4" w:space="0"/>
            </w:tcBorders>
            <w:vAlign w:val="center"/>
          </w:tcPr>
          <w:p w14:paraId="5C22551D">
            <w:pPr>
              <w:widowControl/>
              <w:jc w:val="center"/>
              <w:rPr>
                <w:sz w:val="24"/>
                <w:highlight w:val="none"/>
              </w:rPr>
            </w:pPr>
            <w:r>
              <w:rPr>
                <w:rFonts w:hint="eastAsia"/>
                <w:sz w:val="24"/>
                <w:highlight w:val="none"/>
              </w:rPr>
              <w:t>二</w:t>
            </w:r>
          </w:p>
        </w:tc>
        <w:tc>
          <w:tcPr>
            <w:tcW w:w="830" w:type="pct"/>
            <w:tcBorders>
              <w:top w:val="nil"/>
              <w:left w:val="nil"/>
              <w:bottom w:val="single" w:color="auto" w:sz="4" w:space="0"/>
              <w:right w:val="single" w:color="auto" w:sz="4" w:space="0"/>
            </w:tcBorders>
            <w:vAlign w:val="center"/>
          </w:tcPr>
          <w:p w14:paraId="1DB802C0">
            <w:pPr>
              <w:widowControl/>
              <w:jc w:val="left"/>
              <w:rPr>
                <w:sz w:val="24"/>
                <w:highlight w:val="none"/>
              </w:rPr>
            </w:pPr>
            <w:r>
              <w:rPr>
                <w:rFonts w:hint="eastAsia"/>
                <w:sz w:val="24"/>
                <w:highlight w:val="none"/>
              </w:rPr>
              <w:t>外购成件费</w:t>
            </w:r>
          </w:p>
        </w:tc>
        <w:tc>
          <w:tcPr>
            <w:tcW w:w="448" w:type="pct"/>
            <w:tcBorders>
              <w:top w:val="nil"/>
              <w:left w:val="nil"/>
              <w:bottom w:val="single" w:color="auto" w:sz="4" w:space="0"/>
              <w:right w:val="single" w:color="auto" w:sz="4" w:space="0"/>
            </w:tcBorders>
            <w:vAlign w:val="center"/>
          </w:tcPr>
          <w:p w14:paraId="1382D574">
            <w:pPr>
              <w:widowControl/>
              <w:jc w:val="center"/>
              <w:rPr>
                <w:sz w:val="24"/>
                <w:highlight w:val="none"/>
              </w:rPr>
            </w:pPr>
          </w:p>
        </w:tc>
        <w:tc>
          <w:tcPr>
            <w:tcW w:w="583" w:type="pct"/>
            <w:tcBorders>
              <w:top w:val="nil"/>
              <w:left w:val="nil"/>
              <w:bottom w:val="single" w:color="auto" w:sz="4" w:space="0"/>
              <w:right w:val="single" w:color="auto" w:sz="4" w:space="0"/>
            </w:tcBorders>
            <w:vAlign w:val="center"/>
          </w:tcPr>
          <w:p w14:paraId="2ACCCE85">
            <w:pPr>
              <w:widowControl/>
              <w:jc w:val="center"/>
              <w:rPr>
                <w:sz w:val="24"/>
                <w:highlight w:val="none"/>
              </w:rPr>
            </w:pPr>
          </w:p>
        </w:tc>
        <w:tc>
          <w:tcPr>
            <w:tcW w:w="553" w:type="pct"/>
            <w:tcBorders>
              <w:top w:val="nil"/>
              <w:left w:val="nil"/>
              <w:bottom w:val="single" w:color="auto" w:sz="4" w:space="0"/>
              <w:right w:val="single" w:color="auto" w:sz="4" w:space="0"/>
            </w:tcBorders>
            <w:vAlign w:val="center"/>
          </w:tcPr>
          <w:p w14:paraId="261C728A">
            <w:pPr>
              <w:widowControl/>
              <w:jc w:val="center"/>
              <w:rPr>
                <w:sz w:val="24"/>
                <w:highlight w:val="none"/>
              </w:rPr>
            </w:pPr>
          </w:p>
        </w:tc>
        <w:tc>
          <w:tcPr>
            <w:tcW w:w="637" w:type="pct"/>
            <w:tcBorders>
              <w:top w:val="nil"/>
              <w:left w:val="nil"/>
              <w:bottom w:val="single" w:color="auto" w:sz="4" w:space="0"/>
              <w:right w:val="single" w:color="auto" w:sz="4" w:space="0"/>
            </w:tcBorders>
            <w:vAlign w:val="center"/>
          </w:tcPr>
          <w:p w14:paraId="3F0E00BD">
            <w:pPr>
              <w:widowControl/>
              <w:jc w:val="center"/>
              <w:rPr>
                <w:sz w:val="24"/>
                <w:highlight w:val="none"/>
              </w:rPr>
            </w:pPr>
          </w:p>
        </w:tc>
        <w:tc>
          <w:tcPr>
            <w:tcW w:w="412" w:type="pct"/>
            <w:tcBorders>
              <w:top w:val="nil"/>
              <w:left w:val="nil"/>
              <w:bottom w:val="single" w:color="auto" w:sz="4" w:space="0"/>
              <w:right w:val="single" w:color="auto" w:sz="4" w:space="0"/>
            </w:tcBorders>
            <w:vAlign w:val="center"/>
          </w:tcPr>
          <w:p w14:paraId="66198F61">
            <w:pPr>
              <w:widowControl/>
              <w:jc w:val="center"/>
              <w:rPr>
                <w:sz w:val="24"/>
                <w:highlight w:val="none"/>
              </w:rPr>
            </w:pPr>
          </w:p>
        </w:tc>
        <w:tc>
          <w:tcPr>
            <w:tcW w:w="495" w:type="pct"/>
            <w:tcBorders>
              <w:top w:val="nil"/>
              <w:left w:val="nil"/>
              <w:bottom w:val="single" w:color="auto" w:sz="4" w:space="0"/>
              <w:right w:val="single" w:color="auto" w:sz="4" w:space="0"/>
            </w:tcBorders>
            <w:vAlign w:val="center"/>
          </w:tcPr>
          <w:p w14:paraId="26B5FCFA">
            <w:pPr>
              <w:widowControl/>
              <w:jc w:val="center"/>
              <w:rPr>
                <w:sz w:val="24"/>
                <w:highlight w:val="none"/>
              </w:rPr>
            </w:pPr>
          </w:p>
        </w:tc>
        <w:tc>
          <w:tcPr>
            <w:tcW w:w="630" w:type="pct"/>
            <w:tcBorders>
              <w:top w:val="nil"/>
              <w:left w:val="nil"/>
              <w:bottom w:val="single" w:color="auto" w:sz="4" w:space="0"/>
              <w:right w:val="single" w:color="auto" w:sz="8" w:space="0"/>
            </w:tcBorders>
            <w:vAlign w:val="center"/>
          </w:tcPr>
          <w:p w14:paraId="5D319513">
            <w:pPr>
              <w:widowControl/>
              <w:jc w:val="center"/>
              <w:rPr>
                <w:sz w:val="24"/>
                <w:highlight w:val="none"/>
              </w:rPr>
            </w:pPr>
          </w:p>
        </w:tc>
      </w:tr>
      <w:tr w14:paraId="3F97CF9B">
        <w:tblPrEx>
          <w:tblCellMar>
            <w:top w:w="0" w:type="dxa"/>
            <w:left w:w="108" w:type="dxa"/>
            <w:bottom w:w="0" w:type="dxa"/>
            <w:right w:w="108" w:type="dxa"/>
          </w:tblCellMar>
        </w:tblPrEx>
        <w:trPr>
          <w:trHeight w:val="454" w:hRule="atLeast"/>
        </w:trPr>
        <w:tc>
          <w:tcPr>
            <w:tcW w:w="413" w:type="pct"/>
            <w:tcBorders>
              <w:top w:val="nil"/>
              <w:left w:val="single" w:color="auto" w:sz="8" w:space="0"/>
              <w:bottom w:val="single" w:color="auto" w:sz="4" w:space="0"/>
              <w:right w:val="single" w:color="auto" w:sz="4" w:space="0"/>
            </w:tcBorders>
            <w:vAlign w:val="center"/>
          </w:tcPr>
          <w:p w14:paraId="3D9E2C5C">
            <w:pPr>
              <w:widowControl/>
              <w:jc w:val="center"/>
              <w:rPr>
                <w:sz w:val="24"/>
                <w:highlight w:val="none"/>
              </w:rPr>
            </w:pPr>
          </w:p>
        </w:tc>
        <w:tc>
          <w:tcPr>
            <w:tcW w:w="830" w:type="pct"/>
            <w:tcBorders>
              <w:top w:val="nil"/>
              <w:left w:val="nil"/>
              <w:bottom w:val="single" w:color="auto" w:sz="4" w:space="0"/>
              <w:right w:val="single" w:color="auto" w:sz="4" w:space="0"/>
            </w:tcBorders>
            <w:vAlign w:val="center"/>
          </w:tcPr>
          <w:p w14:paraId="08B5ECD4">
            <w:pPr>
              <w:widowControl/>
              <w:jc w:val="left"/>
              <w:rPr>
                <w:sz w:val="24"/>
                <w:highlight w:val="none"/>
              </w:rPr>
            </w:pPr>
          </w:p>
        </w:tc>
        <w:tc>
          <w:tcPr>
            <w:tcW w:w="448" w:type="pct"/>
            <w:tcBorders>
              <w:top w:val="nil"/>
              <w:left w:val="nil"/>
              <w:bottom w:val="single" w:color="auto" w:sz="4" w:space="0"/>
              <w:right w:val="single" w:color="auto" w:sz="4" w:space="0"/>
            </w:tcBorders>
            <w:vAlign w:val="center"/>
          </w:tcPr>
          <w:p w14:paraId="06F7F45A">
            <w:pPr>
              <w:widowControl/>
              <w:jc w:val="center"/>
              <w:rPr>
                <w:sz w:val="24"/>
                <w:highlight w:val="none"/>
              </w:rPr>
            </w:pPr>
          </w:p>
        </w:tc>
        <w:tc>
          <w:tcPr>
            <w:tcW w:w="583" w:type="pct"/>
            <w:tcBorders>
              <w:top w:val="nil"/>
              <w:left w:val="nil"/>
              <w:bottom w:val="single" w:color="auto" w:sz="4" w:space="0"/>
              <w:right w:val="single" w:color="auto" w:sz="4" w:space="0"/>
            </w:tcBorders>
            <w:vAlign w:val="center"/>
          </w:tcPr>
          <w:p w14:paraId="1966A82C">
            <w:pPr>
              <w:widowControl/>
              <w:jc w:val="center"/>
              <w:rPr>
                <w:sz w:val="24"/>
                <w:highlight w:val="none"/>
              </w:rPr>
            </w:pPr>
          </w:p>
        </w:tc>
        <w:tc>
          <w:tcPr>
            <w:tcW w:w="553" w:type="pct"/>
            <w:tcBorders>
              <w:top w:val="nil"/>
              <w:left w:val="nil"/>
              <w:bottom w:val="single" w:color="auto" w:sz="4" w:space="0"/>
              <w:right w:val="single" w:color="auto" w:sz="4" w:space="0"/>
            </w:tcBorders>
            <w:vAlign w:val="center"/>
          </w:tcPr>
          <w:p w14:paraId="567BE119">
            <w:pPr>
              <w:widowControl/>
              <w:jc w:val="center"/>
              <w:rPr>
                <w:sz w:val="24"/>
                <w:highlight w:val="none"/>
              </w:rPr>
            </w:pPr>
          </w:p>
        </w:tc>
        <w:tc>
          <w:tcPr>
            <w:tcW w:w="637" w:type="pct"/>
            <w:tcBorders>
              <w:top w:val="nil"/>
              <w:left w:val="nil"/>
              <w:bottom w:val="single" w:color="auto" w:sz="4" w:space="0"/>
              <w:right w:val="single" w:color="auto" w:sz="4" w:space="0"/>
            </w:tcBorders>
            <w:vAlign w:val="center"/>
          </w:tcPr>
          <w:p w14:paraId="05E1D3F9">
            <w:pPr>
              <w:widowControl/>
              <w:jc w:val="center"/>
              <w:rPr>
                <w:sz w:val="24"/>
                <w:highlight w:val="none"/>
              </w:rPr>
            </w:pPr>
          </w:p>
        </w:tc>
        <w:tc>
          <w:tcPr>
            <w:tcW w:w="412" w:type="pct"/>
            <w:tcBorders>
              <w:top w:val="nil"/>
              <w:left w:val="nil"/>
              <w:bottom w:val="single" w:color="auto" w:sz="4" w:space="0"/>
              <w:right w:val="single" w:color="auto" w:sz="4" w:space="0"/>
            </w:tcBorders>
            <w:vAlign w:val="center"/>
          </w:tcPr>
          <w:p w14:paraId="6C2DB883">
            <w:pPr>
              <w:widowControl/>
              <w:jc w:val="center"/>
              <w:rPr>
                <w:sz w:val="24"/>
                <w:highlight w:val="none"/>
              </w:rPr>
            </w:pPr>
          </w:p>
        </w:tc>
        <w:tc>
          <w:tcPr>
            <w:tcW w:w="495" w:type="pct"/>
            <w:tcBorders>
              <w:top w:val="nil"/>
              <w:left w:val="nil"/>
              <w:bottom w:val="single" w:color="auto" w:sz="4" w:space="0"/>
              <w:right w:val="single" w:color="auto" w:sz="4" w:space="0"/>
            </w:tcBorders>
            <w:vAlign w:val="center"/>
          </w:tcPr>
          <w:p w14:paraId="4ABBEA59">
            <w:pPr>
              <w:widowControl/>
              <w:jc w:val="center"/>
              <w:rPr>
                <w:sz w:val="24"/>
                <w:highlight w:val="none"/>
              </w:rPr>
            </w:pPr>
          </w:p>
        </w:tc>
        <w:tc>
          <w:tcPr>
            <w:tcW w:w="630" w:type="pct"/>
            <w:tcBorders>
              <w:top w:val="nil"/>
              <w:left w:val="nil"/>
              <w:bottom w:val="single" w:color="auto" w:sz="4" w:space="0"/>
              <w:right w:val="single" w:color="auto" w:sz="8" w:space="0"/>
            </w:tcBorders>
            <w:vAlign w:val="center"/>
          </w:tcPr>
          <w:p w14:paraId="54EEB20D">
            <w:pPr>
              <w:widowControl/>
              <w:jc w:val="center"/>
              <w:rPr>
                <w:sz w:val="24"/>
                <w:highlight w:val="none"/>
              </w:rPr>
            </w:pPr>
          </w:p>
        </w:tc>
      </w:tr>
      <w:tr w14:paraId="5ADB7C8A">
        <w:tblPrEx>
          <w:tblCellMar>
            <w:top w:w="0" w:type="dxa"/>
            <w:left w:w="108" w:type="dxa"/>
            <w:bottom w:w="0" w:type="dxa"/>
            <w:right w:w="108" w:type="dxa"/>
          </w:tblCellMar>
        </w:tblPrEx>
        <w:trPr>
          <w:trHeight w:val="454" w:hRule="atLeast"/>
        </w:trPr>
        <w:tc>
          <w:tcPr>
            <w:tcW w:w="413" w:type="pct"/>
            <w:tcBorders>
              <w:top w:val="nil"/>
              <w:left w:val="single" w:color="auto" w:sz="8" w:space="0"/>
              <w:bottom w:val="single" w:color="auto" w:sz="4" w:space="0"/>
              <w:right w:val="single" w:color="auto" w:sz="4" w:space="0"/>
            </w:tcBorders>
            <w:vAlign w:val="center"/>
          </w:tcPr>
          <w:p w14:paraId="350A9925">
            <w:pPr>
              <w:widowControl/>
              <w:jc w:val="center"/>
              <w:rPr>
                <w:sz w:val="24"/>
                <w:highlight w:val="none"/>
              </w:rPr>
            </w:pPr>
          </w:p>
        </w:tc>
        <w:tc>
          <w:tcPr>
            <w:tcW w:w="830" w:type="pct"/>
            <w:tcBorders>
              <w:top w:val="nil"/>
              <w:left w:val="nil"/>
              <w:bottom w:val="single" w:color="auto" w:sz="4" w:space="0"/>
              <w:right w:val="single" w:color="auto" w:sz="4" w:space="0"/>
            </w:tcBorders>
            <w:vAlign w:val="center"/>
          </w:tcPr>
          <w:p w14:paraId="2FE0862C">
            <w:pPr>
              <w:widowControl/>
              <w:jc w:val="left"/>
              <w:rPr>
                <w:sz w:val="24"/>
                <w:highlight w:val="none"/>
              </w:rPr>
            </w:pPr>
          </w:p>
        </w:tc>
        <w:tc>
          <w:tcPr>
            <w:tcW w:w="448" w:type="pct"/>
            <w:tcBorders>
              <w:top w:val="nil"/>
              <w:left w:val="nil"/>
              <w:bottom w:val="single" w:color="auto" w:sz="4" w:space="0"/>
              <w:right w:val="single" w:color="auto" w:sz="4" w:space="0"/>
            </w:tcBorders>
            <w:vAlign w:val="center"/>
          </w:tcPr>
          <w:p w14:paraId="01252C1B">
            <w:pPr>
              <w:widowControl/>
              <w:jc w:val="center"/>
              <w:rPr>
                <w:sz w:val="24"/>
                <w:highlight w:val="none"/>
              </w:rPr>
            </w:pPr>
          </w:p>
        </w:tc>
        <w:tc>
          <w:tcPr>
            <w:tcW w:w="583" w:type="pct"/>
            <w:tcBorders>
              <w:top w:val="nil"/>
              <w:left w:val="nil"/>
              <w:bottom w:val="single" w:color="auto" w:sz="4" w:space="0"/>
              <w:right w:val="single" w:color="auto" w:sz="4" w:space="0"/>
            </w:tcBorders>
            <w:vAlign w:val="center"/>
          </w:tcPr>
          <w:p w14:paraId="04EB9F13">
            <w:pPr>
              <w:widowControl/>
              <w:jc w:val="center"/>
              <w:rPr>
                <w:sz w:val="24"/>
                <w:highlight w:val="none"/>
              </w:rPr>
            </w:pPr>
          </w:p>
        </w:tc>
        <w:tc>
          <w:tcPr>
            <w:tcW w:w="553" w:type="pct"/>
            <w:tcBorders>
              <w:top w:val="nil"/>
              <w:left w:val="nil"/>
              <w:bottom w:val="single" w:color="auto" w:sz="4" w:space="0"/>
              <w:right w:val="single" w:color="auto" w:sz="4" w:space="0"/>
            </w:tcBorders>
            <w:vAlign w:val="center"/>
          </w:tcPr>
          <w:p w14:paraId="23CBF54F">
            <w:pPr>
              <w:widowControl/>
              <w:jc w:val="center"/>
              <w:rPr>
                <w:sz w:val="24"/>
                <w:highlight w:val="none"/>
              </w:rPr>
            </w:pPr>
          </w:p>
        </w:tc>
        <w:tc>
          <w:tcPr>
            <w:tcW w:w="637" w:type="pct"/>
            <w:tcBorders>
              <w:top w:val="nil"/>
              <w:left w:val="nil"/>
              <w:bottom w:val="single" w:color="auto" w:sz="4" w:space="0"/>
              <w:right w:val="single" w:color="auto" w:sz="4" w:space="0"/>
            </w:tcBorders>
            <w:vAlign w:val="center"/>
          </w:tcPr>
          <w:p w14:paraId="1380AD85">
            <w:pPr>
              <w:widowControl/>
              <w:jc w:val="center"/>
              <w:rPr>
                <w:sz w:val="24"/>
                <w:highlight w:val="none"/>
              </w:rPr>
            </w:pPr>
          </w:p>
        </w:tc>
        <w:tc>
          <w:tcPr>
            <w:tcW w:w="412" w:type="pct"/>
            <w:tcBorders>
              <w:top w:val="nil"/>
              <w:left w:val="nil"/>
              <w:bottom w:val="single" w:color="auto" w:sz="4" w:space="0"/>
              <w:right w:val="single" w:color="auto" w:sz="4" w:space="0"/>
            </w:tcBorders>
            <w:vAlign w:val="center"/>
          </w:tcPr>
          <w:p w14:paraId="1466A4D4">
            <w:pPr>
              <w:widowControl/>
              <w:jc w:val="center"/>
              <w:rPr>
                <w:sz w:val="24"/>
                <w:highlight w:val="none"/>
              </w:rPr>
            </w:pPr>
          </w:p>
        </w:tc>
        <w:tc>
          <w:tcPr>
            <w:tcW w:w="495" w:type="pct"/>
            <w:tcBorders>
              <w:top w:val="nil"/>
              <w:left w:val="nil"/>
              <w:bottom w:val="single" w:color="auto" w:sz="4" w:space="0"/>
              <w:right w:val="single" w:color="auto" w:sz="4" w:space="0"/>
            </w:tcBorders>
            <w:vAlign w:val="center"/>
          </w:tcPr>
          <w:p w14:paraId="09CBDC56">
            <w:pPr>
              <w:widowControl/>
              <w:jc w:val="center"/>
              <w:rPr>
                <w:sz w:val="24"/>
                <w:highlight w:val="none"/>
              </w:rPr>
            </w:pPr>
          </w:p>
        </w:tc>
        <w:tc>
          <w:tcPr>
            <w:tcW w:w="630" w:type="pct"/>
            <w:tcBorders>
              <w:top w:val="nil"/>
              <w:left w:val="nil"/>
              <w:bottom w:val="single" w:color="auto" w:sz="4" w:space="0"/>
              <w:right w:val="single" w:color="auto" w:sz="8" w:space="0"/>
            </w:tcBorders>
            <w:vAlign w:val="center"/>
          </w:tcPr>
          <w:p w14:paraId="6AC73C76">
            <w:pPr>
              <w:widowControl/>
              <w:jc w:val="center"/>
              <w:rPr>
                <w:sz w:val="24"/>
                <w:highlight w:val="none"/>
              </w:rPr>
            </w:pPr>
          </w:p>
        </w:tc>
      </w:tr>
      <w:tr w14:paraId="143D65AD">
        <w:tblPrEx>
          <w:tblCellMar>
            <w:top w:w="0" w:type="dxa"/>
            <w:left w:w="108" w:type="dxa"/>
            <w:bottom w:w="0" w:type="dxa"/>
            <w:right w:w="108" w:type="dxa"/>
          </w:tblCellMar>
        </w:tblPrEx>
        <w:trPr>
          <w:trHeight w:val="454" w:hRule="atLeast"/>
        </w:trPr>
        <w:tc>
          <w:tcPr>
            <w:tcW w:w="413" w:type="pct"/>
            <w:tcBorders>
              <w:top w:val="nil"/>
              <w:left w:val="single" w:color="auto" w:sz="8" w:space="0"/>
              <w:bottom w:val="single" w:color="auto" w:sz="4" w:space="0"/>
              <w:right w:val="single" w:color="auto" w:sz="4" w:space="0"/>
            </w:tcBorders>
            <w:vAlign w:val="center"/>
          </w:tcPr>
          <w:p w14:paraId="3CD11F8E">
            <w:pPr>
              <w:widowControl/>
              <w:jc w:val="center"/>
              <w:rPr>
                <w:sz w:val="24"/>
                <w:highlight w:val="none"/>
              </w:rPr>
            </w:pPr>
          </w:p>
        </w:tc>
        <w:tc>
          <w:tcPr>
            <w:tcW w:w="830" w:type="pct"/>
            <w:tcBorders>
              <w:top w:val="nil"/>
              <w:left w:val="nil"/>
              <w:bottom w:val="single" w:color="auto" w:sz="4" w:space="0"/>
              <w:right w:val="single" w:color="auto" w:sz="4" w:space="0"/>
            </w:tcBorders>
            <w:vAlign w:val="center"/>
          </w:tcPr>
          <w:p w14:paraId="0A6E8479">
            <w:pPr>
              <w:widowControl/>
              <w:jc w:val="left"/>
              <w:rPr>
                <w:sz w:val="24"/>
                <w:highlight w:val="none"/>
              </w:rPr>
            </w:pPr>
            <w:r>
              <w:rPr>
                <w:sz w:val="24"/>
                <w:highlight w:val="none"/>
              </w:rPr>
              <w:t>……</w:t>
            </w:r>
          </w:p>
        </w:tc>
        <w:tc>
          <w:tcPr>
            <w:tcW w:w="448" w:type="pct"/>
            <w:tcBorders>
              <w:top w:val="nil"/>
              <w:left w:val="nil"/>
              <w:bottom w:val="single" w:color="auto" w:sz="4" w:space="0"/>
              <w:right w:val="single" w:color="auto" w:sz="4" w:space="0"/>
            </w:tcBorders>
            <w:vAlign w:val="center"/>
          </w:tcPr>
          <w:p w14:paraId="58AD617D">
            <w:pPr>
              <w:widowControl/>
              <w:jc w:val="center"/>
              <w:rPr>
                <w:sz w:val="24"/>
                <w:highlight w:val="none"/>
              </w:rPr>
            </w:pPr>
          </w:p>
        </w:tc>
        <w:tc>
          <w:tcPr>
            <w:tcW w:w="583" w:type="pct"/>
            <w:tcBorders>
              <w:top w:val="nil"/>
              <w:left w:val="nil"/>
              <w:bottom w:val="single" w:color="auto" w:sz="4" w:space="0"/>
              <w:right w:val="single" w:color="auto" w:sz="4" w:space="0"/>
            </w:tcBorders>
            <w:vAlign w:val="center"/>
          </w:tcPr>
          <w:p w14:paraId="673982F9">
            <w:pPr>
              <w:widowControl/>
              <w:jc w:val="center"/>
              <w:rPr>
                <w:sz w:val="24"/>
                <w:highlight w:val="none"/>
              </w:rPr>
            </w:pPr>
          </w:p>
        </w:tc>
        <w:tc>
          <w:tcPr>
            <w:tcW w:w="553" w:type="pct"/>
            <w:tcBorders>
              <w:top w:val="nil"/>
              <w:left w:val="nil"/>
              <w:bottom w:val="single" w:color="auto" w:sz="4" w:space="0"/>
              <w:right w:val="single" w:color="auto" w:sz="4" w:space="0"/>
            </w:tcBorders>
            <w:vAlign w:val="center"/>
          </w:tcPr>
          <w:p w14:paraId="3B251AFE">
            <w:pPr>
              <w:widowControl/>
              <w:jc w:val="center"/>
              <w:rPr>
                <w:sz w:val="24"/>
                <w:highlight w:val="none"/>
              </w:rPr>
            </w:pPr>
          </w:p>
        </w:tc>
        <w:tc>
          <w:tcPr>
            <w:tcW w:w="637" w:type="pct"/>
            <w:tcBorders>
              <w:top w:val="nil"/>
              <w:left w:val="nil"/>
              <w:bottom w:val="single" w:color="auto" w:sz="4" w:space="0"/>
              <w:right w:val="single" w:color="auto" w:sz="4" w:space="0"/>
            </w:tcBorders>
            <w:vAlign w:val="center"/>
          </w:tcPr>
          <w:p w14:paraId="1F90F0E6">
            <w:pPr>
              <w:widowControl/>
              <w:jc w:val="center"/>
              <w:rPr>
                <w:sz w:val="24"/>
                <w:highlight w:val="none"/>
              </w:rPr>
            </w:pPr>
          </w:p>
        </w:tc>
        <w:tc>
          <w:tcPr>
            <w:tcW w:w="412" w:type="pct"/>
            <w:tcBorders>
              <w:top w:val="nil"/>
              <w:left w:val="nil"/>
              <w:bottom w:val="single" w:color="auto" w:sz="4" w:space="0"/>
              <w:right w:val="single" w:color="auto" w:sz="4" w:space="0"/>
            </w:tcBorders>
            <w:vAlign w:val="center"/>
          </w:tcPr>
          <w:p w14:paraId="327617B4">
            <w:pPr>
              <w:widowControl/>
              <w:jc w:val="center"/>
              <w:rPr>
                <w:sz w:val="24"/>
                <w:highlight w:val="none"/>
              </w:rPr>
            </w:pPr>
          </w:p>
        </w:tc>
        <w:tc>
          <w:tcPr>
            <w:tcW w:w="495" w:type="pct"/>
            <w:tcBorders>
              <w:top w:val="nil"/>
              <w:left w:val="nil"/>
              <w:bottom w:val="single" w:color="auto" w:sz="4" w:space="0"/>
              <w:right w:val="single" w:color="auto" w:sz="4" w:space="0"/>
            </w:tcBorders>
            <w:vAlign w:val="center"/>
          </w:tcPr>
          <w:p w14:paraId="556B6D23">
            <w:pPr>
              <w:widowControl/>
              <w:jc w:val="center"/>
              <w:rPr>
                <w:sz w:val="24"/>
                <w:highlight w:val="none"/>
              </w:rPr>
            </w:pPr>
          </w:p>
        </w:tc>
        <w:tc>
          <w:tcPr>
            <w:tcW w:w="630" w:type="pct"/>
            <w:tcBorders>
              <w:top w:val="nil"/>
              <w:left w:val="nil"/>
              <w:bottom w:val="single" w:color="auto" w:sz="4" w:space="0"/>
              <w:right w:val="single" w:color="auto" w:sz="8" w:space="0"/>
            </w:tcBorders>
            <w:vAlign w:val="center"/>
          </w:tcPr>
          <w:p w14:paraId="1E1E36C7">
            <w:pPr>
              <w:widowControl/>
              <w:jc w:val="center"/>
              <w:rPr>
                <w:sz w:val="24"/>
                <w:highlight w:val="none"/>
              </w:rPr>
            </w:pPr>
          </w:p>
        </w:tc>
      </w:tr>
      <w:tr w14:paraId="20E369AB">
        <w:tblPrEx>
          <w:tblCellMar>
            <w:top w:w="0" w:type="dxa"/>
            <w:left w:w="108" w:type="dxa"/>
            <w:bottom w:w="0" w:type="dxa"/>
            <w:right w:w="108" w:type="dxa"/>
          </w:tblCellMar>
        </w:tblPrEx>
        <w:trPr>
          <w:trHeight w:val="454" w:hRule="atLeast"/>
        </w:trPr>
        <w:tc>
          <w:tcPr>
            <w:tcW w:w="413" w:type="pct"/>
            <w:tcBorders>
              <w:top w:val="nil"/>
              <w:left w:val="single" w:color="auto" w:sz="8" w:space="0"/>
              <w:bottom w:val="single" w:color="auto" w:sz="4" w:space="0"/>
              <w:right w:val="single" w:color="auto" w:sz="4" w:space="0"/>
            </w:tcBorders>
            <w:vAlign w:val="center"/>
          </w:tcPr>
          <w:p w14:paraId="68F06EC2">
            <w:pPr>
              <w:widowControl/>
              <w:jc w:val="center"/>
              <w:rPr>
                <w:sz w:val="24"/>
                <w:highlight w:val="none"/>
              </w:rPr>
            </w:pPr>
            <w:r>
              <w:rPr>
                <w:rFonts w:hint="eastAsia"/>
                <w:sz w:val="24"/>
                <w:highlight w:val="none"/>
              </w:rPr>
              <w:t>三</w:t>
            </w:r>
          </w:p>
        </w:tc>
        <w:tc>
          <w:tcPr>
            <w:tcW w:w="830" w:type="pct"/>
            <w:tcBorders>
              <w:top w:val="nil"/>
              <w:left w:val="nil"/>
              <w:bottom w:val="single" w:color="auto" w:sz="4" w:space="0"/>
              <w:right w:val="single" w:color="auto" w:sz="4" w:space="0"/>
            </w:tcBorders>
            <w:vAlign w:val="center"/>
          </w:tcPr>
          <w:p w14:paraId="74FE30C8">
            <w:pPr>
              <w:widowControl/>
              <w:jc w:val="left"/>
              <w:rPr>
                <w:sz w:val="24"/>
                <w:highlight w:val="none"/>
              </w:rPr>
            </w:pPr>
            <w:r>
              <w:rPr>
                <w:rFonts w:hint="eastAsia"/>
                <w:sz w:val="24"/>
                <w:highlight w:val="none"/>
              </w:rPr>
              <w:t>备件工具费</w:t>
            </w:r>
          </w:p>
        </w:tc>
        <w:tc>
          <w:tcPr>
            <w:tcW w:w="448" w:type="pct"/>
            <w:tcBorders>
              <w:top w:val="nil"/>
              <w:left w:val="nil"/>
              <w:bottom w:val="single" w:color="auto" w:sz="4" w:space="0"/>
              <w:right w:val="single" w:color="auto" w:sz="4" w:space="0"/>
            </w:tcBorders>
            <w:vAlign w:val="center"/>
          </w:tcPr>
          <w:p w14:paraId="5AC5104F">
            <w:pPr>
              <w:widowControl/>
              <w:jc w:val="center"/>
              <w:rPr>
                <w:sz w:val="24"/>
                <w:highlight w:val="none"/>
              </w:rPr>
            </w:pPr>
          </w:p>
        </w:tc>
        <w:tc>
          <w:tcPr>
            <w:tcW w:w="583" w:type="pct"/>
            <w:tcBorders>
              <w:top w:val="nil"/>
              <w:left w:val="nil"/>
              <w:bottom w:val="single" w:color="auto" w:sz="4" w:space="0"/>
              <w:right w:val="single" w:color="auto" w:sz="4" w:space="0"/>
            </w:tcBorders>
            <w:vAlign w:val="center"/>
          </w:tcPr>
          <w:p w14:paraId="3C203A68">
            <w:pPr>
              <w:widowControl/>
              <w:jc w:val="center"/>
              <w:rPr>
                <w:sz w:val="24"/>
                <w:highlight w:val="none"/>
              </w:rPr>
            </w:pPr>
          </w:p>
        </w:tc>
        <w:tc>
          <w:tcPr>
            <w:tcW w:w="553" w:type="pct"/>
            <w:tcBorders>
              <w:top w:val="nil"/>
              <w:left w:val="nil"/>
              <w:bottom w:val="single" w:color="auto" w:sz="4" w:space="0"/>
              <w:right w:val="single" w:color="auto" w:sz="4" w:space="0"/>
            </w:tcBorders>
            <w:vAlign w:val="center"/>
          </w:tcPr>
          <w:p w14:paraId="01CC0A8D">
            <w:pPr>
              <w:widowControl/>
              <w:jc w:val="center"/>
              <w:rPr>
                <w:sz w:val="24"/>
                <w:highlight w:val="none"/>
              </w:rPr>
            </w:pPr>
          </w:p>
        </w:tc>
        <w:tc>
          <w:tcPr>
            <w:tcW w:w="637" w:type="pct"/>
            <w:tcBorders>
              <w:top w:val="nil"/>
              <w:left w:val="nil"/>
              <w:bottom w:val="single" w:color="auto" w:sz="4" w:space="0"/>
              <w:right w:val="single" w:color="auto" w:sz="4" w:space="0"/>
            </w:tcBorders>
            <w:vAlign w:val="center"/>
          </w:tcPr>
          <w:p w14:paraId="0A390C5E">
            <w:pPr>
              <w:widowControl/>
              <w:jc w:val="center"/>
              <w:rPr>
                <w:sz w:val="24"/>
                <w:highlight w:val="none"/>
              </w:rPr>
            </w:pPr>
          </w:p>
        </w:tc>
        <w:tc>
          <w:tcPr>
            <w:tcW w:w="412" w:type="pct"/>
            <w:tcBorders>
              <w:top w:val="nil"/>
              <w:left w:val="nil"/>
              <w:bottom w:val="single" w:color="auto" w:sz="4" w:space="0"/>
              <w:right w:val="single" w:color="auto" w:sz="4" w:space="0"/>
            </w:tcBorders>
            <w:vAlign w:val="center"/>
          </w:tcPr>
          <w:p w14:paraId="27AAE452">
            <w:pPr>
              <w:widowControl/>
              <w:jc w:val="center"/>
              <w:rPr>
                <w:sz w:val="24"/>
                <w:highlight w:val="none"/>
              </w:rPr>
            </w:pPr>
          </w:p>
        </w:tc>
        <w:tc>
          <w:tcPr>
            <w:tcW w:w="495" w:type="pct"/>
            <w:tcBorders>
              <w:top w:val="nil"/>
              <w:left w:val="nil"/>
              <w:bottom w:val="single" w:color="auto" w:sz="4" w:space="0"/>
              <w:right w:val="single" w:color="auto" w:sz="4" w:space="0"/>
            </w:tcBorders>
            <w:vAlign w:val="center"/>
          </w:tcPr>
          <w:p w14:paraId="2ECFDD7B">
            <w:pPr>
              <w:widowControl/>
              <w:jc w:val="center"/>
              <w:rPr>
                <w:sz w:val="24"/>
                <w:highlight w:val="none"/>
              </w:rPr>
            </w:pPr>
          </w:p>
        </w:tc>
        <w:tc>
          <w:tcPr>
            <w:tcW w:w="630" w:type="pct"/>
            <w:tcBorders>
              <w:top w:val="nil"/>
              <w:left w:val="nil"/>
              <w:bottom w:val="single" w:color="auto" w:sz="4" w:space="0"/>
              <w:right w:val="single" w:color="auto" w:sz="8" w:space="0"/>
            </w:tcBorders>
            <w:vAlign w:val="center"/>
          </w:tcPr>
          <w:p w14:paraId="1C39D889">
            <w:pPr>
              <w:widowControl/>
              <w:jc w:val="center"/>
              <w:rPr>
                <w:sz w:val="24"/>
                <w:highlight w:val="none"/>
              </w:rPr>
            </w:pPr>
          </w:p>
        </w:tc>
      </w:tr>
      <w:tr w14:paraId="6682CCD0">
        <w:tblPrEx>
          <w:tblCellMar>
            <w:top w:w="0" w:type="dxa"/>
            <w:left w:w="108" w:type="dxa"/>
            <w:bottom w:w="0" w:type="dxa"/>
            <w:right w:w="108" w:type="dxa"/>
          </w:tblCellMar>
        </w:tblPrEx>
        <w:trPr>
          <w:trHeight w:val="454" w:hRule="atLeast"/>
        </w:trPr>
        <w:tc>
          <w:tcPr>
            <w:tcW w:w="413" w:type="pct"/>
            <w:tcBorders>
              <w:top w:val="nil"/>
              <w:left w:val="single" w:color="auto" w:sz="8" w:space="0"/>
              <w:bottom w:val="single" w:color="auto" w:sz="4" w:space="0"/>
              <w:right w:val="single" w:color="auto" w:sz="4" w:space="0"/>
            </w:tcBorders>
            <w:vAlign w:val="center"/>
          </w:tcPr>
          <w:p w14:paraId="5BDD1077">
            <w:pPr>
              <w:widowControl/>
              <w:jc w:val="center"/>
              <w:rPr>
                <w:sz w:val="24"/>
                <w:highlight w:val="none"/>
              </w:rPr>
            </w:pPr>
          </w:p>
        </w:tc>
        <w:tc>
          <w:tcPr>
            <w:tcW w:w="830" w:type="pct"/>
            <w:tcBorders>
              <w:top w:val="nil"/>
              <w:left w:val="nil"/>
              <w:bottom w:val="single" w:color="auto" w:sz="4" w:space="0"/>
              <w:right w:val="single" w:color="auto" w:sz="4" w:space="0"/>
            </w:tcBorders>
            <w:vAlign w:val="center"/>
          </w:tcPr>
          <w:p w14:paraId="5BCCB641">
            <w:pPr>
              <w:widowControl/>
              <w:jc w:val="left"/>
              <w:rPr>
                <w:sz w:val="24"/>
                <w:highlight w:val="none"/>
              </w:rPr>
            </w:pPr>
            <w:r>
              <w:rPr>
                <w:sz w:val="24"/>
                <w:highlight w:val="none"/>
              </w:rPr>
              <w:t>……</w:t>
            </w:r>
          </w:p>
        </w:tc>
        <w:tc>
          <w:tcPr>
            <w:tcW w:w="448" w:type="pct"/>
            <w:tcBorders>
              <w:top w:val="nil"/>
              <w:left w:val="nil"/>
              <w:bottom w:val="single" w:color="auto" w:sz="4" w:space="0"/>
              <w:right w:val="single" w:color="auto" w:sz="4" w:space="0"/>
            </w:tcBorders>
            <w:vAlign w:val="center"/>
          </w:tcPr>
          <w:p w14:paraId="3369226B">
            <w:pPr>
              <w:widowControl/>
              <w:jc w:val="center"/>
              <w:rPr>
                <w:sz w:val="24"/>
                <w:highlight w:val="none"/>
              </w:rPr>
            </w:pPr>
          </w:p>
        </w:tc>
        <w:tc>
          <w:tcPr>
            <w:tcW w:w="583" w:type="pct"/>
            <w:tcBorders>
              <w:top w:val="nil"/>
              <w:left w:val="nil"/>
              <w:bottom w:val="single" w:color="auto" w:sz="4" w:space="0"/>
              <w:right w:val="single" w:color="auto" w:sz="4" w:space="0"/>
            </w:tcBorders>
            <w:vAlign w:val="center"/>
          </w:tcPr>
          <w:p w14:paraId="5A2C5436">
            <w:pPr>
              <w:widowControl/>
              <w:jc w:val="center"/>
              <w:rPr>
                <w:sz w:val="24"/>
                <w:highlight w:val="none"/>
              </w:rPr>
            </w:pPr>
          </w:p>
        </w:tc>
        <w:tc>
          <w:tcPr>
            <w:tcW w:w="553" w:type="pct"/>
            <w:tcBorders>
              <w:top w:val="nil"/>
              <w:left w:val="nil"/>
              <w:bottom w:val="single" w:color="auto" w:sz="4" w:space="0"/>
              <w:right w:val="single" w:color="auto" w:sz="4" w:space="0"/>
            </w:tcBorders>
            <w:vAlign w:val="center"/>
          </w:tcPr>
          <w:p w14:paraId="3A0C62FC">
            <w:pPr>
              <w:widowControl/>
              <w:jc w:val="center"/>
              <w:rPr>
                <w:sz w:val="24"/>
                <w:highlight w:val="none"/>
              </w:rPr>
            </w:pPr>
          </w:p>
        </w:tc>
        <w:tc>
          <w:tcPr>
            <w:tcW w:w="637" w:type="pct"/>
            <w:tcBorders>
              <w:top w:val="nil"/>
              <w:left w:val="nil"/>
              <w:bottom w:val="single" w:color="auto" w:sz="4" w:space="0"/>
              <w:right w:val="single" w:color="auto" w:sz="4" w:space="0"/>
            </w:tcBorders>
            <w:vAlign w:val="center"/>
          </w:tcPr>
          <w:p w14:paraId="0E9FC142">
            <w:pPr>
              <w:widowControl/>
              <w:jc w:val="center"/>
              <w:rPr>
                <w:sz w:val="24"/>
                <w:highlight w:val="none"/>
              </w:rPr>
            </w:pPr>
          </w:p>
        </w:tc>
        <w:tc>
          <w:tcPr>
            <w:tcW w:w="412" w:type="pct"/>
            <w:tcBorders>
              <w:top w:val="nil"/>
              <w:left w:val="nil"/>
              <w:bottom w:val="single" w:color="auto" w:sz="4" w:space="0"/>
              <w:right w:val="single" w:color="auto" w:sz="4" w:space="0"/>
            </w:tcBorders>
            <w:vAlign w:val="center"/>
          </w:tcPr>
          <w:p w14:paraId="73AC1BB0">
            <w:pPr>
              <w:widowControl/>
              <w:jc w:val="center"/>
              <w:rPr>
                <w:sz w:val="24"/>
                <w:highlight w:val="none"/>
              </w:rPr>
            </w:pPr>
          </w:p>
        </w:tc>
        <w:tc>
          <w:tcPr>
            <w:tcW w:w="495" w:type="pct"/>
            <w:tcBorders>
              <w:top w:val="nil"/>
              <w:left w:val="nil"/>
              <w:bottom w:val="single" w:color="auto" w:sz="4" w:space="0"/>
              <w:right w:val="single" w:color="auto" w:sz="4" w:space="0"/>
            </w:tcBorders>
            <w:vAlign w:val="center"/>
          </w:tcPr>
          <w:p w14:paraId="6125F81C">
            <w:pPr>
              <w:widowControl/>
              <w:jc w:val="center"/>
              <w:rPr>
                <w:sz w:val="24"/>
                <w:highlight w:val="none"/>
              </w:rPr>
            </w:pPr>
          </w:p>
        </w:tc>
        <w:tc>
          <w:tcPr>
            <w:tcW w:w="630" w:type="pct"/>
            <w:tcBorders>
              <w:top w:val="nil"/>
              <w:left w:val="nil"/>
              <w:bottom w:val="single" w:color="auto" w:sz="4" w:space="0"/>
              <w:right w:val="single" w:color="auto" w:sz="8" w:space="0"/>
            </w:tcBorders>
            <w:vAlign w:val="center"/>
          </w:tcPr>
          <w:p w14:paraId="43690E09">
            <w:pPr>
              <w:widowControl/>
              <w:jc w:val="center"/>
              <w:rPr>
                <w:sz w:val="24"/>
                <w:highlight w:val="none"/>
              </w:rPr>
            </w:pPr>
          </w:p>
        </w:tc>
      </w:tr>
      <w:tr w14:paraId="4641F340">
        <w:tblPrEx>
          <w:tblCellMar>
            <w:top w:w="0" w:type="dxa"/>
            <w:left w:w="108" w:type="dxa"/>
            <w:bottom w:w="0" w:type="dxa"/>
            <w:right w:w="108" w:type="dxa"/>
          </w:tblCellMar>
        </w:tblPrEx>
        <w:trPr>
          <w:trHeight w:val="454" w:hRule="atLeast"/>
        </w:trPr>
        <w:tc>
          <w:tcPr>
            <w:tcW w:w="1" w:type="pct"/>
            <w:gridSpan w:val="2"/>
            <w:tcBorders>
              <w:top w:val="single" w:color="auto" w:sz="4" w:space="0"/>
              <w:left w:val="single" w:color="auto" w:sz="4" w:space="0"/>
              <w:bottom w:val="single" w:color="auto" w:sz="4" w:space="0"/>
              <w:right w:val="single" w:color="auto" w:sz="4" w:space="0"/>
            </w:tcBorders>
            <w:vAlign w:val="center"/>
          </w:tcPr>
          <w:p w14:paraId="42A016E8">
            <w:pPr>
              <w:widowControl/>
              <w:jc w:val="center"/>
              <w:rPr>
                <w:sz w:val="24"/>
                <w:highlight w:val="none"/>
              </w:rPr>
            </w:pPr>
            <w:r>
              <w:rPr>
                <w:rFonts w:hint="eastAsia"/>
                <w:sz w:val="24"/>
                <w:highlight w:val="none"/>
              </w:rPr>
              <w:t>合计</w:t>
            </w:r>
          </w:p>
        </w:tc>
        <w:tc>
          <w:tcPr>
            <w:tcW w:w="448" w:type="pct"/>
            <w:tcBorders>
              <w:top w:val="single" w:color="auto" w:sz="4" w:space="0"/>
              <w:left w:val="nil"/>
              <w:bottom w:val="single" w:color="auto" w:sz="4" w:space="0"/>
              <w:right w:val="single" w:color="auto" w:sz="4" w:space="0"/>
            </w:tcBorders>
            <w:vAlign w:val="center"/>
          </w:tcPr>
          <w:p w14:paraId="0FB7C5A3">
            <w:pPr>
              <w:widowControl/>
              <w:jc w:val="center"/>
              <w:rPr>
                <w:sz w:val="24"/>
                <w:highlight w:val="none"/>
              </w:rPr>
            </w:pPr>
          </w:p>
        </w:tc>
        <w:tc>
          <w:tcPr>
            <w:tcW w:w="583" w:type="pct"/>
            <w:tcBorders>
              <w:top w:val="single" w:color="auto" w:sz="4" w:space="0"/>
              <w:left w:val="nil"/>
              <w:bottom w:val="single" w:color="auto" w:sz="4" w:space="0"/>
              <w:right w:val="single" w:color="auto" w:sz="4" w:space="0"/>
            </w:tcBorders>
            <w:vAlign w:val="center"/>
          </w:tcPr>
          <w:p w14:paraId="6AA7B790">
            <w:pPr>
              <w:widowControl/>
              <w:jc w:val="center"/>
              <w:rPr>
                <w:sz w:val="24"/>
                <w:highlight w:val="none"/>
              </w:rPr>
            </w:pPr>
          </w:p>
        </w:tc>
        <w:tc>
          <w:tcPr>
            <w:tcW w:w="553" w:type="pct"/>
            <w:tcBorders>
              <w:top w:val="single" w:color="auto" w:sz="4" w:space="0"/>
              <w:left w:val="nil"/>
              <w:bottom w:val="single" w:color="auto" w:sz="4" w:space="0"/>
              <w:right w:val="single" w:color="auto" w:sz="4" w:space="0"/>
            </w:tcBorders>
            <w:vAlign w:val="center"/>
          </w:tcPr>
          <w:p w14:paraId="5F11435C">
            <w:pPr>
              <w:widowControl/>
              <w:jc w:val="center"/>
              <w:rPr>
                <w:sz w:val="24"/>
                <w:highlight w:val="none"/>
              </w:rPr>
            </w:pPr>
          </w:p>
        </w:tc>
        <w:tc>
          <w:tcPr>
            <w:tcW w:w="637" w:type="pct"/>
            <w:tcBorders>
              <w:top w:val="single" w:color="auto" w:sz="4" w:space="0"/>
              <w:left w:val="nil"/>
              <w:bottom w:val="single" w:color="auto" w:sz="4" w:space="0"/>
              <w:right w:val="single" w:color="auto" w:sz="4" w:space="0"/>
            </w:tcBorders>
            <w:vAlign w:val="center"/>
          </w:tcPr>
          <w:p w14:paraId="178D38A9">
            <w:pPr>
              <w:widowControl/>
              <w:jc w:val="center"/>
              <w:rPr>
                <w:sz w:val="24"/>
                <w:highlight w:val="none"/>
              </w:rPr>
            </w:pPr>
          </w:p>
        </w:tc>
        <w:tc>
          <w:tcPr>
            <w:tcW w:w="412" w:type="pct"/>
            <w:tcBorders>
              <w:top w:val="single" w:color="auto" w:sz="4" w:space="0"/>
              <w:left w:val="nil"/>
              <w:bottom w:val="single" w:color="auto" w:sz="4" w:space="0"/>
              <w:right w:val="single" w:color="auto" w:sz="4" w:space="0"/>
            </w:tcBorders>
            <w:vAlign w:val="center"/>
          </w:tcPr>
          <w:p w14:paraId="25CB988B">
            <w:pPr>
              <w:widowControl/>
              <w:jc w:val="center"/>
              <w:rPr>
                <w:sz w:val="24"/>
                <w:highlight w:val="none"/>
              </w:rPr>
            </w:pPr>
          </w:p>
        </w:tc>
        <w:tc>
          <w:tcPr>
            <w:tcW w:w="495" w:type="pct"/>
            <w:tcBorders>
              <w:top w:val="single" w:color="auto" w:sz="4" w:space="0"/>
              <w:left w:val="nil"/>
              <w:bottom w:val="single" w:color="auto" w:sz="4" w:space="0"/>
              <w:right w:val="single" w:color="auto" w:sz="4" w:space="0"/>
            </w:tcBorders>
            <w:vAlign w:val="center"/>
          </w:tcPr>
          <w:p w14:paraId="3677D640">
            <w:pPr>
              <w:widowControl/>
              <w:jc w:val="center"/>
              <w:rPr>
                <w:sz w:val="24"/>
                <w:highlight w:val="none"/>
              </w:rPr>
            </w:pPr>
          </w:p>
        </w:tc>
        <w:tc>
          <w:tcPr>
            <w:tcW w:w="630" w:type="pct"/>
            <w:tcBorders>
              <w:top w:val="single" w:color="auto" w:sz="4" w:space="0"/>
              <w:left w:val="nil"/>
              <w:bottom w:val="single" w:color="auto" w:sz="4" w:space="0"/>
              <w:right w:val="single" w:color="auto" w:sz="4" w:space="0"/>
            </w:tcBorders>
            <w:vAlign w:val="center"/>
          </w:tcPr>
          <w:p w14:paraId="3E374D17">
            <w:pPr>
              <w:widowControl/>
              <w:jc w:val="center"/>
              <w:rPr>
                <w:sz w:val="24"/>
                <w:highlight w:val="none"/>
              </w:rPr>
            </w:pPr>
          </w:p>
        </w:tc>
      </w:tr>
      <w:tr w14:paraId="513DF539">
        <w:tblPrEx>
          <w:tblCellMar>
            <w:top w:w="0" w:type="dxa"/>
            <w:left w:w="108" w:type="dxa"/>
            <w:bottom w:w="0" w:type="dxa"/>
            <w:right w:w="108" w:type="dxa"/>
          </w:tblCellMar>
        </w:tblPrEx>
        <w:trPr>
          <w:trHeight w:val="454" w:hRule="atLeast"/>
        </w:trPr>
        <w:tc>
          <w:tcPr>
            <w:tcW w:w="1" w:type="pct"/>
            <w:gridSpan w:val="9"/>
            <w:tcBorders>
              <w:top w:val="single" w:color="auto" w:sz="4" w:space="0"/>
              <w:left w:val="single" w:color="auto" w:sz="4" w:space="0"/>
              <w:bottom w:val="single" w:color="auto" w:sz="4" w:space="0"/>
              <w:right w:val="single" w:color="auto" w:sz="4" w:space="0"/>
            </w:tcBorders>
            <w:vAlign w:val="center"/>
          </w:tcPr>
          <w:p w14:paraId="41536E73">
            <w:pPr>
              <w:widowControl/>
              <w:jc w:val="left"/>
              <w:rPr>
                <w:sz w:val="24"/>
                <w:highlight w:val="none"/>
              </w:rPr>
            </w:pPr>
            <w:r>
              <w:rPr>
                <w:rFonts w:hint="eastAsia"/>
                <w:sz w:val="24"/>
                <w:highlight w:val="none"/>
              </w:rPr>
              <w:t>说明：以一套物资的所用材料为基本单位，项目填列直接材料明细。</w:t>
            </w:r>
          </w:p>
        </w:tc>
      </w:tr>
    </w:tbl>
    <w:p w14:paraId="109096B0">
      <w:pPr>
        <w:rPr>
          <w:sz w:val="28"/>
          <w:szCs w:val="28"/>
          <w:highlight w:val="none"/>
          <w:lang w:val="zh-CN"/>
        </w:rPr>
      </w:pPr>
    </w:p>
    <w:p w14:paraId="59AB1671">
      <w:pPr>
        <w:pStyle w:val="17"/>
        <w:rPr>
          <w:sz w:val="28"/>
          <w:szCs w:val="28"/>
          <w:highlight w:val="none"/>
          <w:lang w:val="zh-CN"/>
        </w:rPr>
      </w:pPr>
    </w:p>
    <w:p w14:paraId="6B85EB72">
      <w:pPr>
        <w:rPr>
          <w:sz w:val="28"/>
          <w:szCs w:val="28"/>
          <w:highlight w:val="none"/>
          <w:lang w:val="zh-CN"/>
        </w:rPr>
      </w:pPr>
    </w:p>
    <w:p w14:paraId="056F2980">
      <w:pPr>
        <w:ind w:firstLine="560" w:firstLineChars="200"/>
        <w:jc w:val="left"/>
        <w:rPr>
          <w:sz w:val="28"/>
          <w:szCs w:val="28"/>
          <w:highlight w:val="none"/>
        </w:rPr>
      </w:pPr>
      <w:r>
        <w:rPr>
          <w:sz w:val="28"/>
          <w:szCs w:val="28"/>
          <w:highlight w:val="none"/>
        </w:rPr>
        <w:br w:type="page"/>
      </w:r>
    </w:p>
    <w:p w14:paraId="50041024">
      <w:pPr>
        <w:pStyle w:val="6"/>
        <w:spacing w:before="120" w:beforeLines="50" w:after="120" w:afterLines="50" w:line="560" w:lineRule="exact"/>
        <w:rPr>
          <w:b w:val="0"/>
          <w:bCs w:val="0"/>
          <w:highlight w:val="none"/>
        </w:rPr>
      </w:pPr>
      <w:bookmarkStart w:id="575" w:name="_Toc14107"/>
      <w:bookmarkStart w:id="576" w:name="_Toc16147"/>
      <w:bookmarkStart w:id="577" w:name="_Toc32592"/>
      <w:bookmarkStart w:id="578" w:name="_Toc11700"/>
      <w:bookmarkStart w:id="579" w:name="_Toc24431"/>
      <w:r>
        <w:rPr>
          <w:rFonts w:hint="eastAsia"/>
          <w:b w:val="0"/>
          <w:bCs w:val="0"/>
          <w:highlight w:val="none"/>
        </w:rPr>
        <w:t>※附件</w:t>
      </w:r>
      <w:r>
        <w:rPr>
          <w:b w:val="0"/>
          <w:bCs w:val="0"/>
          <w:highlight w:val="none"/>
        </w:rPr>
        <w:t>1-4</w:t>
      </w:r>
      <w:r>
        <w:rPr>
          <w:rFonts w:hint="eastAsia"/>
          <w:b w:val="0"/>
          <w:bCs w:val="0"/>
          <w:highlight w:val="none"/>
        </w:rPr>
        <w:t xml:space="preserve"> 其他与价格有关的</w:t>
      </w:r>
      <w:r>
        <w:rPr>
          <w:rFonts w:hint="eastAsia" w:ascii="宋体" w:hAnsi="宋体"/>
          <w:b w:val="0"/>
          <w:highlight w:val="none"/>
        </w:rPr>
        <w:t>材料</w:t>
      </w:r>
      <w:r>
        <w:rPr>
          <w:rFonts w:hint="eastAsia"/>
          <w:b w:val="0"/>
          <w:bCs w:val="0"/>
          <w:highlight w:val="none"/>
        </w:rPr>
        <w:t>、文件</w:t>
      </w:r>
      <w:bookmarkEnd w:id="575"/>
      <w:bookmarkEnd w:id="576"/>
      <w:bookmarkEnd w:id="577"/>
      <w:bookmarkEnd w:id="578"/>
      <w:bookmarkEnd w:id="579"/>
    </w:p>
    <w:p w14:paraId="60CF388B">
      <w:pPr>
        <w:spacing w:before="120" w:beforeLines="50" w:after="120" w:afterLines="50" w:line="560" w:lineRule="exact"/>
        <w:jc w:val="center"/>
        <w:rPr>
          <w:sz w:val="36"/>
          <w:szCs w:val="36"/>
          <w:highlight w:val="none"/>
          <w:lang w:val="zh-CN"/>
        </w:rPr>
      </w:pPr>
      <w:r>
        <w:rPr>
          <w:rFonts w:hint="eastAsia" w:ascii="黑体" w:hAnsi="黑体" w:eastAsia="黑体" w:cs="黑体"/>
          <w:sz w:val="36"/>
          <w:szCs w:val="36"/>
          <w:highlight w:val="none"/>
        </w:rPr>
        <w:t>其他与价格有关的材料、文件</w:t>
      </w:r>
    </w:p>
    <w:p w14:paraId="5EF3F5BC">
      <w:pPr>
        <w:spacing w:line="360" w:lineRule="auto"/>
        <w:jc w:val="center"/>
        <w:rPr>
          <w:sz w:val="28"/>
          <w:szCs w:val="28"/>
          <w:highlight w:val="none"/>
          <w:lang w:val="zh-CN"/>
        </w:rPr>
      </w:pPr>
      <w:r>
        <w:rPr>
          <w:rFonts w:hint="eastAsia"/>
          <w:sz w:val="28"/>
          <w:szCs w:val="28"/>
          <w:highlight w:val="none"/>
          <w:lang w:val="zh-CN"/>
        </w:rPr>
        <w:t>（由报价供应商根据项目需求自行拟定）</w:t>
      </w:r>
    </w:p>
    <w:p w14:paraId="2132E5DC">
      <w:pPr>
        <w:rPr>
          <w:sz w:val="28"/>
          <w:szCs w:val="28"/>
          <w:highlight w:val="none"/>
          <w:lang w:val="zh-CN"/>
        </w:rPr>
      </w:pPr>
    </w:p>
    <w:p w14:paraId="7748AF5E">
      <w:pPr>
        <w:pStyle w:val="17"/>
        <w:rPr>
          <w:sz w:val="28"/>
          <w:szCs w:val="28"/>
          <w:highlight w:val="none"/>
          <w:lang w:val="zh-CN"/>
        </w:rPr>
      </w:pPr>
    </w:p>
    <w:p w14:paraId="333A0A7F">
      <w:pPr>
        <w:rPr>
          <w:sz w:val="28"/>
          <w:szCs w:val="28"/>
          <w:highlight w:val="none"/>
          <w:lang w:val="zh-CN"/>
        </w:rPr>
      </w:pPr>
    </w:p>
    <w:p w14:paraId="058206B0">
      <w:pPr>
        <w:rPr>
          <w:rFonts w:hint="eastAsia"/>
          <w:highlight w:val="none"/>
        </w:rPr>
      </w:pPr>
      <w:r>
        <w:rPr>
          <w:rFonts w:hint="eastAsia"/>
          <w:highlight w:val="none"/>
        </w:rPr>
        <w:br w:type="page"/>
      </w:r>
    </w:p>
    <w:p w14:paraId="7AC1AA81">
      <w:pPr>
        <w:rPr>
          <w:rFonts w:hint="eastAsia"/>
          <w:highlight w:val="none"/>
        </w:rPr>
      </w:pPr>
    </w:p>
    <w:p w14:paraId="0422543A">
      <w:pPr>
        <w:pStyle w:val="6"/>
        <w:keepNext/>
        <w:keepLines/>
        <w:pageBreakBefore w:val="0"/>
        <w:widowControl w:val="0"/>
        <w:kinsoku/>
        <w:wordWrap/>
        <w:overflowPunct/>
        <w:topLinePunct w:val="0"/>
        <w:autoSpaceDE/>
        <w:autoSpaceDN/>
        <w:bidi w:val="0"/>
        <w:adjustRightInd/>
        <w:snapToGrid/>
        <w:spacing w:before="195" w:after="195" w:line="240" w:lineRule="auto"/>
        <w:textAlignment w:val="auto"/>
        <w:rPr>
          <w:rFonts w:hint="default"/>
          <w:b w:val="0"/>
          <w:bCs/>
          <w:highlight w:val="none"/>
          <w:lang w:val="en-US"/>
        </w:rPr>
      </w:pPr>
      <w:r>
        <w:rPr>
          <w:rFonts w:hint="eastAsia"/>
          <w:b w:val="0"/>
          <w:bCs/>
          <w:highlight w:val="none"/>
        </w:rPr>
        <w:t>附件1-</w:t>
      </w:r>
      <w:r>
        <w:rPr>
          <w:rFonts w:hint="eastAsia"/>
          <w:b w:val="0"/>
          <w:bCs/>
          <w:highlight w:val="none"/>
          <w:lang w:val="en-US" w:eastAsia="zh-CN"/>
        </w:rPr>
        <w:t>5 报价承诺书</w:t>
      </w:r>
    </w:p>
    <w:p w14:paraId="7521BB4E">
      <w:pPr>
        <w:keepNext w:val="0"/>
        <w:keepLines w:val="0"/>
        <w:pageBreakBefore w:val="0"/>
        <w:widowControl w:val="0"/>
        <w:kinsoku/>
        <w:wordWrap/>
        <w:overflowPunct/>
        <w:topLinePunct w:val="0"/>
        <w:autoSpaceDE/>
        <w:autoSpaceDN/>
        <w:bidi w:val="0"/>
        <w:adjustRightInd/>
        <w:snapToGrid/>
        <w:spacing w:before="195" w:beforeLines="50" w:after="195" w:afterLines="50" w:line="560" w:lineRule="exact"/>
        <w:jc w:val="center"/>
        <w:textAlignment w:val="auto"/>
        <w:rPr>
          <w:rFonts w:hint="eastAsia" w:ascii="黑体" w:hAnsi="黑体" w:eastAsia="黑体" w:cs="黑体"/>
          <w:b w:val="0"/>
          <w:bCs/>
          <w:sz w:val="36"/>
          <w:szCs w:val="36"/>
          <w:highlight w:val="none"/>
          <w:lang w:val="zh-CN"/>
        </w:rPr>
      </w:pPr>
      <w:r>
        <w:rPr>
          <w:rFonts w:hint="eastAsia" w:ascii="黑体" w:hAnsi="黑体" w:eastAsia="黑体" w:cs="黑体"/>
          <w:b w:val="0"/>
          <w:bCs/>
          <w:sz w:val="36"/>
          <w:szCs w:val="36"/>
          <w:highlight w:val="none"/>
          <w:lang w:val="zh-CN"/>
        </w:rPr>
        <w:t>报价承诺书</w:t>
      </w:r>
    </w:p>
    <w:p w14:paraId="1DA912E0">
      <w:pPr>
        <w:spacing w:line="360" w:lineRule="auto"/>
        <w:jc w:val="left"/>
        <w:rPr>
          <w:rFonts w:hint="eastAsia" w:eastAsia="宋体"/>
          <w:b w:val="0"/>
          <w:bCs/>
          <w:sz w:val="28"/>
          <w:szCs w:val="28"/>
          <w:highlight w:val="none"/>
          <w:lang w:val="zh-CN"/>
        </w:rPr>
      </w:pPr>
      <w:r>
        <w:rPr>
          <w:rFonts w:hint="eastAsia" w:eastAsia="宋体"/>
          <w:b w:val="0"/>
          <w:bCs/>
          <w:sz w:val="28"/>
          <w:szCs w:val="28"/>
          <w:highlight w:val="none"/>
          <w:u w:val="single"/>
          <w:lang w:val="zh-CN"/>
        </w:rPr>
        <w:t xml:space="preserve">  </w:t>
      </w:r>
      <w:r>
        <w:rPr>
          <w:rFonts w:hint="eastAsia" w:eastAsia="宋体"/>
          <w:b w:val="0"/>
          <w:bCs/>
          <w:sz w:val="28"/>
          <w:szCs w:val="28"/>
          <w:highlight w:val="none"/>
          <w:u w:val="single"/>
          <w:lang w:val="en-US" w:eastAsia="zh-CN"/>
        </w:rPr>
        <w:t xml:space="preserve">   </w:t>
      </w:r>
      <w:r>
        <w:rPr>
          <w:rFonts w:hint="eastAsia" w:eastAsia="宋体"/>
          <w:b w:val="0"/>
          <w:bCs/>
          <w:sz w:val="28"/>
          <w:szCs w:val="28"/>
          <w:highlight w:val="none"/>
          <w:lang w:val="zh-CN"/>
        </w:rPr>
        <w:t>致：</w:t>
      </w:r>
    </w:p>
    <w:p w14:paraId="30F92957">
      <w:pPr>
        <w:spacing w:line="360" w:lineRule="auto"/>
        <w:ind w:firstLine="560" w:firstLineChars="200"/>
        <w:jc w:val="left"/>
        <w:rPr>
          <w:rFonts w:hint="eastAsia" w:eastAsia="宋体"/>
          <w:b w:val="0"/>
          <w:bCs/>
          <w:sz w:val="28"/>
          <w:szCs w:val="28"/>
          <w:highlight w:val="none"/>
          <w:lang w:val="zh-CN"/>
        </w:rPr>
      </w:pPr>
      <w:r>
        <w:rPr>
          <w:rFonts w:hint="eastAsia" w:eastAsia="宋体"/>
          <w:b w:val="0"/>
          <w:bCs/>
          <w:sz w:val="28"/>
          <w:szCs w:val="28"/>
          <w:highlight w:val="none"/>
          <w:lang w:val="en-US" w:eastAsia="zh-CN"/>
        </w:rPr>
        <w:t xml:space="preserve"> </w:t>
      </w:r>
      <w:r>
        <w:rPr>
          <w:rFonts w:hint="eastAsia" w:eastAsia="宋体"/>
          <w:b w:val="0"/>
          <w:bCs/>
          <w:sz w:val="28"/>
          <w:szCs w:val="28"/>
          <w:highlight w:val="none"/>
          <w:lang w:val="zh-CN"/>
        </w:rPr>
        <w:t>本单位郑重承诺，在本项目的采购过程中，本单位提供的供应商报价为市场公允价格，且价格不高于国内同级单位最低中标（成交）价，不存在任何价格虚高、显失公允或欺诈等不诚信情况。若后续贵单位发现本单位存在上述价格虚高或偏离市场价格、欺诈等不诚信行为的，本单位自愿承担由此带来的一切后果。</w:t>
      </w:r>
    </w:p>
    <w:p w14:paraId="6655AFD6">
      <w:pPr>
        <w:ind w:firstLine="5331" w:firstLineChars="1904"/>
        <w:rPr>
          <w:sz w:val="28"/>
          <w:szCs w:val="28"/>
          <w:highlight w:val="none"/>
        </w:rPr>
      </w:pPr>
    </w:p>
    <w:p w14:paraId="72E6EE9A">
      <w:pPr>
        <w:spacing w:line="360" w:lineRule="auto"/>
        <w:ind w:firstLine="4200" w:firstLineChars="1500"/>
        <w:jc w:val="left"/>
        <w:rPr>
          <w:rFonts w:hint="eastAsia" w:eastAsia="宋体"/>
          <w:b w:val="0"/>
          <w:bCs/>
          <w:sz w:val="28"/>
          <w:szCs w:val="28"/>
          <w:highlight w:val="none"/>
          <w:lang w:val="zh-CN"/>
        </w:rPr>
      </w:pPr>
    </w:p>
    <w:p w14:paraId="1D8ACD8E">
      <w:pPr>
        <w:spacing w:line="360" w:lineRule="auto"/>
        <w:ind w:firstLine="4200" w:firstLineChars="1500"/>
        <w:jc w:val="left"/>
        <w:rPr>
          <w:rFonts w:hint="eastAsia" w:eastAsia="宋体"/>
          <w:b w:val="0"/>
          <w:bCs/>
          <w:sz w:val="28"/>
          <w:szCs w:val="28"/>
          <w:highlight w:val="none"/>
          <w:lang w:val="zh-CN"/>
        </w:rPr>
      </w:pPr>
    </w:p>
    <w:p w14:paraId="7066A57A">
      <w:pPr>
        <w:spacing w:line="360" w:lineRule="auto"/>
        <w:ind w:firstLine="4200" w:firstLineChars="1500"/>
        <w:jc w:val="left"/>
        <w:rPr>
          <w:rFonts w:hint="eastAsia" w:eastAsia="宋体"/>
          <w:b w:val="0"/>
          <w:bCs/>
          <w:sz w:val="28"/>
          <w:szCs w:val="28"/>
          <w:highlight w:val="none"/>
          <w:lang w:val="zh-CN"/>
        </w:rPr>
      </w:pPr>
    </w:p>
    <w:p w14:paraId="5932A32F">
      <w:pPr>
        <w:spacing w:line="360" w:lineRule="auto"/>
        <w:ind w:firstLine="4200" w:firstLineChars="1500"/>
        <w:jc w:val="left"/>
        <w:rPr>
          <w:rFonts w:hint="eastAsia" w:eastAsia="宋体"/>
          <w:b w:val="0"/>
          <w:bCs/>
          <w:sz w:val="28"/>
          <w:szCs w:val="28"/>
          <w:highlight w:val="none"/>
          <w:lang w:val="zh-CN"/>
        </w:rPr>
      </w:pPr>
    </w:p>
    <w:p w14:paraId="010D9CEC">
      <w:pPr>
        <w:spacing w:line="360" w:lineRule="auto"/>
        <w:ind w:firstLine="4200" w:firstLineChars="1500"/>
        <w:jc w:val="left"/>
        <w:rPr>
          <w:rFonts w:hint="eastAsia" w:eastAsia="宋体"/>
          <w:b w:val="0"/>
          <w:bCs/>
          <w:sz w:val="28"/>
          <w:szCs w:val="28"/>
          <w:highlight w:val="none"/>
          <w:lang w:val="zh-CN"/>
        </w:rPr>
      </w:pPr>
      <w:r>
        <w:rPr>
          <w:rFonts w:hint="eastAsia"/>
          <w:b w:val="0"/>
          <w:bCs/>
          <w:sz w:val="28"/>
          <w:szCs w:val="28"/>
          <w:highlight w:val="none"/>
          <w:lang w:val="en-US" w:eastAsia="zh-CN"/>
        </w:rPr>
        <w:t>报价</w:t>
      </w:r>
      <w:r>
        <w:rPr>
          <w:rFonts w:hint="eastAsia" w:eastAsia="宋体"/>
          <w:b w:val="0"/>
          <w:bCs/>
          <w:sz w:val="28"/>
          <w:szCs w:val="28"/>
          <w:highlight w:val="none"/>
          <w:lang w:val="zh-CN"/>
        </w:rPr>
        <w:t>人全称</w:t>
      </w:r>
      <w:r>
        <w:rPr>
          <w:rFonts w:hint="eastAsia" w:eastAsia="宋体"/>
          <w:b w:val="0"/>
          <w:bCs/>
          <w:sz w:val="28"/>
          <w:szCs w:val="28"/>
          <w:highlight w:val="none"/>
          <w:u w:val="single"/>
          <w:lang w:val="zh-CN"/>
        </w:rPr>
        <w:t xml:space="preserve">：           </w:t>
      </w:r>
      <w:r>
        <w:rPr>
          <w:rFonts w:hint="eastAsia" w:eastAsia="宋体"/>
          <w:b w:val="0"/>
          <w:bCs/>
          <w:sz w:val="28"/>
          <w:szCs w:val="28"/>
          <w:highlight w:val="none"/>
          <w:lang w:val="zh-CN"/>
        </w:rPr>
        <w:t>（盖章）</w:t>
      </w:r>
    </w:p>
    <w:p w14:paraId="39FB9C7F">
      <w:pPr>
        <w:spacing w:line="360" w:lineRule="auto"/>
        <w:ind w:firstLine="2240" w:firstLineChars="800"/>
        <w:jc w:val="left"/>
        <w:rPr>
          <w:rFonts w:hint="eastAsia" w:eastAsia="宋体"/>
          <w:b w:val="0"/>
          <w:bCs/>
          <w:sz w:val="28"/>
          <w:szCs w:val="28"/>
          <w:highlight w:val="none"/>
          <w:lang w:val="zh-CN"/>
        </w:rPr>
      </w:pPr>
      <w:r>
        <w:rPr>
          <w:rFonts w:hint="eastAsia" w:eastAsia="宋体"/>
          <w:b w:val="0"/>
          <w:bCs/>
          <w:sz w:val="28"/>
          <w:szCs w:val="28"/>
          <w:highlight w:val="none"/>
          <w:lang w:val="zh-CN"/>
        </w:rPr>
        <w:t>法定代表人（或授权代表）</w:t>
      </w:r>
      <w:r>
        <w:rPr>
          <w:rFonts w:hint="eastAsia" w:eastAsia="宋体"/>
          <w:b w:val="0"/>
          <w:bCs/>
          <w:sz w:val="28"/>
          <w:szCs w:val="28"/>
          <w:highlight w:val="none"/>
          <w:u w:val="single"/>
          <w:lang w:val="zh-CN"/>
        </w:rPr>
        <w:t xml:space="preserve">：     </w:t>
      </w:r>
      <w:r>
        <w:rPr>
          <w:rFonts w:hint="eastAsia"/>
          <w:b w:val="0"/>
          <w:bCs/>
          <w:sz w:val="28"/>
          <w:szCs w:val="28"/>
          <w:highlight w:val="none"/>
          <w:u w:val="single"/>
          <w:lang w:val="en-US" w:eastAsia="zh-CN"/>
        </w:rPr>
        <w:t xml:space="preserve">     </w:t>
      </w:r>
      <w:r>
        <w:rPr>
          <w:rFonts w:hint="eastAsia" w:eastAsia="宋体"/>
          <w:b w:val="0"/>
          <w:bCs/>
          <w:sz w:val="28"/>
          <w:szCs w:val="28"/>
          <w:highlight w:val="none"/>
          <w:u w:val="single"/>
          <w:lang w:val="zh-CN"/>
        </w:rPr>
        <w:t xml:space="preserve"> （</w:t>
      </w:r>
      <w:r>
        <w:rPr>
          <w:rFonts w:hint="eastAsia" w:eastAsia="宋体"/>
          <w:b w:val="0"/>
          <w:bCs/>
          <w:sz w:val="28"/>
          <w:szCs w:val="28"/>
          <w:highlight w:val="none"/>
          <w:lang w:val="zh-CN"/>
        </w:rPr>
        <w:t>签字）</w:t>
      </w:r>
    </w:p>
    <w:p w14:paraId="50E1698C">
      <w:pPr>
        <w:spacing w:line="360" w:lineRule="auto"/>
        <w:ind w:firstLine="5040" w:firstLineChars="1800"/>
        <w:jc w:val="left"/>
        <w:rPr>
          <w:rFonts w:hint="eastAsia" w:eastAsia="宋体"/>
          <w:b w:val="0"/>
          <w:bCs/>
          <w:sz w:val="28"/>
          <w:szCs w:val="28"/>
          <w:highlight w:val="none"/>
          <w:lang w:val="zh-CN"/>
        </w:rPr>
      </w:pPr>
      <w:r>
        <w:rPr>
          <w:rFonts w:hint="eastAsia" w:eastAsia="宋体"/>
          <w:b w:val="0"/>
          <w:bCs/>
          <w:sz w:val="28"/>
          <w:szCs w:val="28"/>
          <w:highlight w:val="none"/>
          <w:lang w:val="zh-CN"/>
        </w:rPr>
        <w:t>日期：      年   月   日</w:t>
      </w:r>
    </w:p>
    <w:p w14:paraId="4106EC54">
      <w:pPr>
        <w:rPr>
          <w:sz w:val="28"/>
          <w:szCs w:val="28"/>
          <w:highlight w:val="none"/>
        </w:rPr>
      </w:pPr>
    </w:p>
    <w:p w14:paraId="343534BD">
      <w:pPr>
        <w:spacing w:line="240" w:lineRule="auto"/>
        <w:ind w:firstLine="562" w:firstLineChars="200"/>
        <w:jc w:val="left"/>
        <w:rPr>
          <w:rFonts w:hint="eastAsia" w:eastAsia="宋体"/>
          <w:b/>
          <w:bCs w:val="0"/>
          <w:sz w:val="28"/>
          <w:szCs w:val="28"/>
          <w:highlight w:val="none"/>
          <w:lang w:val="zh-CN"/>
        </w:rPr>
      </w:pPr>
      <w:r>
        <w:rPr>
          <w:rFonts w:hint="eastAsia" w:eastAsia="宋体"/>
          <w:b/>
          <w:bCs w:val="0"/>
          <w:sz w:val="28"/>
          <w:szCs w:val="28"/>
          <w:highlight w:val="none"/>
          <w:lang w:val="zh-CN"/>
        </w:rPr>
        <w:t>注：</w:t>
      </w:r>
    </w:p>
    <w:p w14:paraId="625AF105">
      <w:pPr>
        <w:spacing w:line="240" w:lineRule="auto"/>
        <w:ind w:firstLine="562" w:firstLineChars="200"/>
        <w:jc w:val="left"/>
        <w:rPr>
          <w:rFonts w:hint="eastAsia" w:eastAsia="宋体"/>
          <w:b/>
          <w:bCs w:val="0"/>
          <w:sz w:val="28"/>
          <w:szCs w:val="28"/>
          <w:highlight w:val="none"/>
          <w:lang w:val="zh-CN"/>
        </w:rPr>
      </w:pPr>
      <w:r>
        <w:rPr>
          <w:rFonts w:hint="eastAsia" w:eastAsia="宋体"/>
          <w:b/>
          <w:bCs w:val="0"/>
          <w:sz w:val="28"/>
          <w:szCs w:val="28"/>
          <w:highlight w:val="none"/>
          <w:lang w:val="zh-CN"/>
        </w:rPr>
        <w:t>1.中标通知书发出前，预中标人必须按采购人要求提供报价依据。</w:t>
      </w:r>
    </w:p>
    <w:p w14:paraId="16EDE1E3">
      <w:pPr>
        <w:spacing w:line="240" w:lineRule="auto"/>
        <w:ind w:firstLine="562" w:firstLineChars="200"/>
        <w:jc w:val="left"/>
        <w:rPr>
          <w:rFonts w:hint="eastAsia" w:eastAsia="宋体"/>
          <w:b/>
          <w:bCs w:val="0"/>
          <w:sz w:val="28"/>
          <w:szCs w:val="28"/>
          <w:highlight w:val="none"/>
          <w:lang w:val="zh-CN"/>
        </w:rPr>
      </w:pPr>
      <w:r>
        <w:rPr>
          <w:rFonts w:hint="eastAsia" w:eastAsia="宋体"/>
          <w:b/>
          <w:bCs w:val="0"/>
          <w:sz w:val="28"/>
          <w:szCs w:val="28"/>
          <w:highlight w:val="none"/>
          <w:lang w:val="zh-CN"/>
        </w:rPr>
        <w:t>2.医院相关部门进行</w:t>
      </w:r>
      <w:r>
        <w:rPr>
          <w:rFonts w:hint="eastAsia"/>
          <w:b/>
          <w:bCs w:val="0"/>
          <w:sz w:val="28"/>
          <w:szCs w:val="28"/>
          <w:highlight w:val="none"/>
          <w:lang w:val="en-US" w:eastAsia="zh-CN"/>
        </w:rPr>
        <w:t>价格复核时，</w:t>
      </w:r>
      <w:r>
        <w:rPr>
          <w:rFonts w:hint="eastAsia" w:eastAsia="宋体"/>
          <w:b/>
          <w:bCs w:val="0"/>
          <w:sz w:val="28"/>
          <w:szCs w:val="28"/>
          <w:highlight w:val="none"/>
          <w:lang w:val="zh-CN"/>
        </w:rPr>
        <w:t>若预中标人未按要求提供报价依据或提供的报价依据不足以证明其报价合理性的，则取消其参与后续采购活动的资格，并按规定进行处罚；若预中标人提供的报价依据相对客观合理，则按程序开展后续采购活动。</w:t>
      </w:r>
    </w:p>
    <w:p w14:paraId="05B07E6D">
      <w:pPr>
        <w:spacing w:line="240" w:lineRule="auto"/>
        <w:ind w:firstLine="562" w:firstLineChars="200"/>
        <w:jc w:val="left"/>
        <w:rPr>
          <w:rFonts w:hint="eastAsia" w:eastAsia="宋体"/>
          <w:b/>
          <w:bCs w:val="0"/>
          <w:sz w:val="28"/>
          <w:szCs w:val="28"/>
          <w:highlight w:val="none"/>
          <w:lang w:val="zh-CN"/>
        </w:rPr>
      </w:pPr>
      <w:r>
        <w:rPr>
          <w:rFonts w:hint="eastAsia"/>
          <w:b/>
          <w:bCs w:val="0"/>
          <w:sz w:val="28"/>
          <w:szCs w:val="28"/>
          <w:highlight w:val="none"/>
          <w:lang w:val="en-US" w:eastAsia="zh-CN"/>
        </w:rPr>
        <w:t>3</w:t>
      </w:r>
      <w:r>
        <w:rPr>
          <w:rFonts w:hint="eastAsia" w:eastAsia="宋体"/>
          <w:b/>
          <w:bCs w:val="0"/>
          <w:sz w:val="28"/>
          <w:szCs w:val="28"/>
          <w:highlight w:val="none"/>
          <w:lang w:val="zh-CN"/>
        </w:rPr>
        <w:t>.经医院相关部门</w:t>
      </w:r>
      <w:r>
        <w:rPr>
          <w:rFonts w:hint="eastAsia"/>
          <w:b/>
          <w:bCs w:val="0"/>
          <w:sz w:val="28"/>
          <w:szCs w:val="28"/>
          <w:highlight w:val="none"/>
          <w:lang w:val="en-US" w:eastAsia="zh-CN"/>
        </w:rPr>
        <w:t>价格复核</w:t>
      </w:r>
      <w:r>
        <w:rPr>
          <w:rFonts w:hint="eastAsia" w:eastAsia="宋体"/>
          <w:b/>
          <w:bCs w:val="0"/>
          <w:sz w:val="28"/>
          <w:szCs w:val="28"/>
          <w:highlight w:val="none"/>
          <w:lang w:val="zh-CN"/>
        </w:rPr>
        <w:t>后，如存在价格虚高或提供虚假材料等不诚信问题，尚未签订正式合同的（包括已签订采购合同草案、公布评审结果等），则取消参与后续采购活动的资格，并按规定进行处罚；已签订正式合同的，中标人应当继续履行合同，退回价格虚高款项，并按规定进行处罚；中标人拒不接受</w:t>
      </w:r>
      <w:r>
        <w:rPr>
          <w:rFonts w:hint="eastAsia"/>
          <w:b/>
          <w:bCs w:val="0"/>
          <w:sz w:val="28"/>
          <w:szCs w:val="28"/>
          <w:highlight w:val="none"/>
          <w:lang w:val="en-US" w:eastAsia="zh-CN"/>
        </w:rPr>
        <w:t>价格复核</w:t>
      </w:r>
      <w:r>
        <w:rPr>
          <w:rFonts w:hint="eastAsia" w:eastAsia="宋体"/>
          <w:b/>
          <w:bCs w:val="0"/>
          <w:sz w:val="28"/>
          <w:szCs w:val="28"/>
          <w:highlight w:val="none"/>
          <w:lang w:val="zh-CN"/>
        </w:rPr>
        <w:t>结果的，采购人有权重新组织采购，同时对其进行处罚。</w:t>
      </w:r>
    </w:p>
    <w:p w14:paraId="7E78F663">
      <w:pPr>
        <w:spacing w:line="240" w:lineRule="auto"/>
        <w:ind w:firstLine="562" w:firstLineChars="200"/>
        <w:jc w:val="left"/>
        <w:rPr>
          <w:rFonts w:hint="eastAsia" w:eastAsia="宋体"/>
          <w:b/>
          <w:bCs w:val="0"/>
          <w:sz w:val="28"/>
          <w:szCs w:val="28"/>
          <w:highlight w:val="none"/>
          <w:lang w:val="zh-CN"/>
        </w:rPr>
      </w:pPr>
      <w:r>
        <w:rPr>
          <w:rFonts w:hint="eastAsia"/>
          <w:b/>
          <w:bCs w:val="0"/>
          <w:sz w:val="28"/>
          <w:szCs w:val="28"/>
          <w:highlight w:val="none"/>
          <w:lang w:val="en-US" w:eastAsia="zh-CN"/>
        </w:rPr>
        <w:t>4</w:t>
      </w:r>
      <w:r>
        <w:rPr>
          <w:rFonts w:hint="eastAsia" w:eastAsia="宋体"/>
          <w:b/>
          <w:bCs w:val="0"/>
          <w:sz w:val="28"/>
          <w:szCs w:val="28"/>
          <w:highlight w:val="none"/>
          <w:lang w:val="zh-CN"/>
        </w:rPr>
        <w:t>.以上处罚包括纳入黑名单、网上公示、罚款等。</w:t>
      </w:r>
    </w:p>
    <w:p w14:paraId="28BCC355">
      <w:pPr>
        <w:rPr>
          <w:rFonts w:hint="eastAsia"/>
          <w:highlight w:val="none"/>
          <w:lang w:val="zh-CN"/>
        </w:rPr>
        <w:sectPr>
          <w:headerReference r:id="rId17" w:type="default"/>
          <w:pgSz w:w="11906" w:h="16838"/>
          <w:pgMar w:top="1418" w:right="1134" w:bottom="1418" w:left="1418" w:header="851" w:footer="851" w:gutter="0"/>
          <w:pgNumType w:fmt="decimal"/>
          <w:cols w:space="720" w:num="1"/>
        </w:sectPr>
      </w:pPr>
    </w:p>
    <w:p w14:paraId="6CE7E1B9">
      <w:pPr>
        <w:pStyle w:val="6"/>
        <w:keepNext/>
        <w:keepLines/>
        <w:pageBreakBefore w:val="0"/>
        <w:widowControl w:val="0"/>
        <w:kinsoku/>
        <w:wordWrap/>
        <w:overflowPunct/>
        <w:topLinePunct w:val="0"/>
        <w:autoSpaceDE/>
        <w:autoSpaceDN/>
        <w:bidi w:val="0"/>
        <w:adjustRightInd/>
        <w:snapToGrid/>
        <w:spacing w:before="195" w:beforeLines="50" w:after="195" w:afterLines="50" w:line="560" w:lineRule="exact"/>
        <w:textAlignment w:val="auto"/>
        <w:rPr>
          <w:rFonts w:hint="default"/>
          <w:b w:val="0"/>
          <w:bCs/>
          <w:highlight w:val="none"/>
          <w:lang w:val="en-US" w:eastAsia="zh-CN"/>
        </w:rPr>
      </w:pPr>
      <w:bookmarkStart w:id="580" w:name="_Toc16763"/>
      <w:r>
        <w:rPr>
          <w:rFonts w:hint="eastAsia"/>
          <w:b w:val="0"/>
          <w:bCs/>
          <w:highlight w:val="none"/>
          <w:lang w:val="en-US" w:eastAsia="zh-CN"/>
        </w:rPr>
        <w:t>附件1-</w:t>
      </w:r>
      <w:bookmarkEnd w:id="580"/>
      <w:r>
        <w:rPr>
          <w:rFonts w:hint="eastAsia"/>
          <w:b w:val="0"/>
          <w:bCs/>
          <w:highlight w:val="none"/>
          <w:lang w:val="en-US" w:eastAsia="zh-CN"/>
        </w:rPr>
        <w:t>6 分项报价表</w:t>
      </w:r>
    </w:p>
    <w:p w14:paraId="1DCA7F11">
      <w:pPr>
        <w:pStyle w:val="152"/>
        <w:rPr>
          <w:highlight w:val="none"/>
        </w:rPr>
      </w:pPr>
      <w:r>
        <w:rPr>
          <w:rFonts w:hint="eastAsia"/>
          <w:highlight w:val="none"/>
        </w:rPr>
        <w:t>分项报价表</w:t>
      </w:r>
    </w:p>
    <w:p w14:paraId="53460476">
      <w:pPr>
        <w:rPr>
          <w:rFonts w:hint="eastAsia"/>
          <w:b/>
          <w:bCs/>
          <w:highlight w:val="none"/>
          <w:u w:val="single"/>
        </w:rPr>
      </w:pPr>
      <w:r>
        <w:rPr>
          <w:rFonts w:hint="eastAsia"/>
          <w:b/>
          <w:bCs/>
          <w:highlight w:val="none"/>
        </w:rPr>
        <w:t>项目名称：</w:t>
      </w:r>
      <w:r>
        <w:rPr>
          <w:rFonts w:hint="eastAsia"/>
          <w:b/>
          <w:bCs/>
          <w:highlight w:val="none"/>
          <w:u w:val="single"/>
        </w:rPr>
        <w:t xml:space="preserve">                           </w:t>
      </w:r>
      <w:r>
        <w:rPr>
          <w:rFonts w:hint="eastAsia"/>
          <w:b/>
          <w:bCs/>
          <w:highlight w:val="none"/>
        </w:rPr>
        <w:t xml:space="preserve">    项目编号：</w:t>
      </w:r>
      <w:r>
        <w:rPr>
          <w:rFonts w:hint="eastAsia"/>
          <w:b/>
          <w:bCs/>
          <w:highlight w:val="none"/>
          <w:u w:val="single"/>
        </w:rPr>
        <w:t xml:space="preserve">              </w:t>
      </w:r>
      <w:r>
        <w:rPr>
          <w:rFonts w:hint="eastAsia"/>
          <w:b/>
          <w:bCs/>
          <w:highlight w:val="none"/>
        </w:rPr>
        <w:t xml:space="preserve">  包号：</w:t>
      </w:r>
      <w:r>
        <w:rPr>
          <w:rFonts w:hint="eastAsia"/>
          <w:b/>
          <w:bCs/>
          <w:highlight w:val="none"/>
          <w:u w:val="single"/>
        </w:rPr>
        <w:t xml:space="preserve">          </w:t>
      </w:r>
      <w:r>
        <w:rPr>
          <w:sz w:val="28"/>
          <w:szCs w:val="28"/>
          <w:highlight w:val="none"/>
        </w:rPr>
        <w:t>金额单位：元</w:t>
      </w:r>
    </w:p>
    <w:tbl>
      <w:tblPr>
        <w:tblStyle w:val="42"/>
        <w:tblW w:w="13855"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02"/>
        <w:gridCol w:w="1847"/>
        <w:gridCol w:w="1308"/>
        <w:gridCol w:w="1856"/>
        <w:gridCol w:w="1239"/>
        <w:gridCol w:w="1201"/>
        <w:gridCol w:w="1203"/>
        <w:gridCol w:w="1203"/>
        <w:gridCol w:w="1602"/>
        <w:gridCol w:w="1394"/>
      </w:tblGrid>
      <w:tr w14:paraId="296EE5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18" w:hRule="atLeast"/>
        </w:trPr>
        <w:tc>
          <w:tcPr>
            <w:tcW w:w="1002" w:type="dxa"/>
            <w:noWrap w:val="0"/>
            <w:vAlign w:val="center"/>
          </w:tcPr>
          <w:p w14:paraId="604E9C20">
            <w:pPr>
              <w:rPr>
                <w:highlight w:val="none"/>
              </w:rPr>
            </w:pPr>
            <w:r>
              <w:rPr>
                <w:highlight w:val="none"/>
              </w:rPr>
              <w:t>序号</w:t>
            </w:r>
          </w:p>
        </w:tc>
        <w:tc>
          <w:tcPr>
            <w:tcW w:w="1847" w:type="dxa"/>
            <w:noWrap/>
            <w:vAlign w:val="center"/>
          </w:tcPr>
          <w:p w14:paraId="1CF56890">
            <w:pPr>
              <w:rPr>
                <w:highlight w:val="none"/>
              </w:rPr>
            </w:pPr>
            <w:r>
              <w:rPr>
                <w:highlight w:val="none"/>
              </w:rPr>
              <w:t>货物名称</w:t>
            </w:r>
          </w:p>
        </w:tc>
        <w:tc>
          <w:tcPr>
            <w:tcW w:w="1308" w:type="dxa"/>
            <w:noWrap w:val="0"/>
            <w:vAlign w:val="center"/>
          </w:tcPr>
          <w:p w14:paraId="71970B14">
            <w:pPr>
              <w:rPr>
                <w:highlight w:val="none"/>
              </w:rPr>
            </w:pPr>
            <w:r>
              <w:rPr>
                <w:highlight w:val="none"/>
              </w:rPr>
              <w:t>国别及品牌</w:t>
            </w:r>
          </w:p>
        </w:tc>
        <w:tc>
          <w:tcPr>
            <w:tcW w:w="1856" w:type="dxa"/>
            <w:noWrap w:val="0"/>
            <w:vAlign w:val="center"/>
          </w:tcPr>
          <w:p w14:paraId="36D10B25">
            <w:pPr>
              <w:rPr>
                <w:highlight w:val="none"/>
              </w:rPr>
            </w:pPr>
            <w:r>
              <w:rPr>
                <w:highlight w:val="none"/>
              </w:rPr>
              <w:t>规格型号</w:t>
            </w:r>
          </w:p>
        </w:tc>
        <w:tc>
          <w:tcPr>
            <w:tcW w:w="1239" w:type="dxa"/>
            <w:noWrap/>
            <w:vAlign w:val="center"/>
          </w:tcPr>
          <w:p w14:paraId="31A457D0">
            <w:pPr>
              <w:rPr>
                <w:highlight w:val="none"/>
              </w:rPr>
            </w:pPr>
            <w:r>
              <w:rPr>
                <w:highlight w:val="none"/>
              </w:rPr>
              <w:t>数量</w:t>
            </w:r>
          </w:p>
        </w:tc>
        <w:tc>
          <w:tcPr>
            <w:tcW w:w="1201" w:type="dxa"/>
            <w:noWrap/>
            <w:vAlign w:val="center"/>
          </w:tcPr>
          <w:p w14:paraId="33078E42">
            <w:pPr>
              <w:rPr>
                <w:highlight w:val="none"/>
              </w:rPr>
            </w:pPr>
            <w:r>
              <w:rPr>
                <w:highlight w:val="none"/>
              </w:rPr>
              <w:t>单位</w:t>
            </w:r>
          </w:p>
        </w:tc>
        <w:tc>
          <w:tcPr>
            <w:tcW w:w="1203" w:type="dxa"/>
            <w:noWrap/>
            <w:vAlign w:val="center"/>
          </w:tcPr>
          <w:p w14:paraId="0875D4A8">
            <w:pPr>
              <w:rPr>
                <w:highlight w:val="none"/>
              </w:rPr>
            </w:pPr>
            <w:r>
              <w:rPr>
                <w:highlight w:val="none"/>
              </w:rPr>
              <w:t>单价</w:t>
            </w:r>
          </w:p>
        </w:tc>
        <w:tc>
          <w:tcPr>
            <w:tcW w:w="1203" w:type="dxa"/>
            <w:noWrap/>
            <w:vAlign w:val="center"/>
          </w:tcPr>
          <w:p w14:paraId="55CAF88E">
            <w:pPr>
              <w:rPr>
                <w:highlight w:val="none"/>
              </w:rPr>
            </w:pPr>
            <w:r>
              <w:rPr>
                <w:highlight w:val="none"/>
              </w:rPr>
              <w:t>总价</w:t>
            </w:r>
          </w:p>
        </w:tc>
        <w:tc>
          <w:tcPr>
            <w:tcW w:w="1602" w:type="dxa"/>
            <w:noWrap/>
            <w:vAlign w:val="center"/>
          </w:tcPr>
          <w:p w14:paraId="6B5F8E5A">
            <w:pPr>
              <w:rPr>
                <w:highlight w:val="none"/>
              </w:rPr>
            </w:pPr>
            <w:r>
              <w:rPr>
                <w:highlight w:val="none"/>
              </w:rPr>
              <w:t>原产地</w:t>
            </w:r>
          </w:p>
        </w:tc>
        <w:tc>
          <w:tcPr>
            <w:tcW w:w="1394" w:type="dxa"/>
            <w:noWrap w:val="0"/>
            <w:vAlign w:val="center"/>
          </w:tcPr>
          <w:p w14:paraId="1FC987A1">
            <w:pPr>
              <w:rPr>
                <w:highlight w:val="none"/>
              </w:rPr>
            </w:pPr>
            <w:r>
              <w:rPr>
                <w:highlight w:val="none"/>
              </w:rPr>
              <w:t>其他</w:t>
            </w:r>
          </w:p>
        </w:tc>
      </w:tr>
      <w:tr w14:paraId="2F2415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3" w:hRule="atLeast"/>
        </w:trPr>
        <w:tc>
          <w:tcPr>
            <w:tcW w:w="1002" w:type="dxa"/>
            <w:noWrap/>
            <w:vAlign w:val="center"/>
          </w:tcPr>
          <w:p w14:paraId="077475C2">
            <w:pPr>
              <w:pStyle w:val="59"/>
              <w:rPr>
                <w:highlight w:val="none"/>
              </w:rPr>
            </w:pPr>
          </w:p>
        </w:tc>
        <w:tc>
          <w:tcPr>
            <w:tcW w:w="1847" w:type="dxa"/>
            <w:noWrap/>
            <w:vAlign w:val="center"/>
          </w:tcPr>
          <w:p w14:paraId="2BEB5F74">
            <w:pPr>
              <w:pStyle w:val="59"/>
              <w:rPr>
                <w:highlight w:val="none"/>
              </w:rPr>
            </w:pPr>
          </w:p>
        </w:tc>
        <w:tc>
          <w:tcPr>
            <w:tcW w:w="1308" w:type="dxa"/>
            <w:noWrap/>
            <w:vAlign w:val="center"/>
          </w:tcPr>
          <w:p w14:paraId="2A6E5980">
            <w:pPr>
              <w:pStyle w:val="59"/>
              <w:rPr>
                <w:highlight w:val="none"/>
              </w:rPr>
            </w:pPr>
          </w:p>
        </w:tc>
        <w:tc>
          <w:tcPr>
            <w:tcW w:w="1856" w:type="dxa"/>
            <w:noWrap/>
            <w:vAlign w:val="center"/>
          </w:tcPr>
          <w:p w14:paraId="3CE07020">
            <w:pPr>
              <w:pStyle w:val="59"/>
              <w:rPr>
                <w:highlight w:val="none"/>
              </w:rPr>
            </w:pPr>
          </w:p>
        </w:tc>
        <w:tc>
          <w:tcPr>
            <w:tcW w:w="1239" w:type="dxa"/>
            <w:noWrap/>
            <w:vAlign w:val="center"/>
          </w:tcPr>
          <w:p w14:paraId="2BA3A9BF">
            <w:pPr>
              <w:pStyle w:val="59"/>
              <w:rPr>
                <w:highlight w:val="none"/>
              </w:rPr>
            </w:pPr>
          </w:p>
        </w:tc>
        <w:tc>
          <w:tcPr>
            <w:tcW w:w="1201" w:type="dxa"/>
            <w:noWrap/>
            <w:vAlign w:val="center"/>
          </w:tcPr>
          <w:p w14:paraId="68610DE1">
            <w:pPr>
              <w:pStyle w:val="59"/>
              <w:rPr>
                <w:highlight w:val="none"/>
              </w:rPr>
            </w:pPr>
          </w:p>
        </w:tc>
        <w:tc>
          <w:tcPr>
            <w:tcW w:w="1203" w:type="dxa"/>
            <w:noWrap/>
            <w:vAlign w:val="center"/>
          </w:tcPr>
          <w:p w14:paraId="51839AFE">
            <w:pPr>
              <w:pStyle w:val="59"/>
              <w:rPr>
                <w:highlight w:val="none"/>
              </w:rPr>
            </w:pPr>
          </w:p>
        </w:tc>
        <w:tc>
          <w:tcPr>
            <w:tcW w:w="1203" w:type="dxa"/>
            <w:noWrap/>
            <w:vAlign w:val="center"/>
          </w:tcPr>
          <w:p w14:paraId="3D5D1B33">
            <w:pPr>
              <w:pStyle w:val="59"/>
              <w:rPr>
                <w:highlight w:val="none"/>
              </w:rPr>
            </w:pPr>
          </w:p>
        </w:tc>
        <w:tc>
          <w:tcPr>
            <w:tcW w:w="1602" w:type="dxa"/>
            <w:noWrap/>
            <w:vAlign w:val="center"/>
          </w:tcPr>
          <w:p w14:paraId="155BAF88">
            <w:pPr>
              <w:pStyle w:val="59"/>
              <w:rPr>
                <w:highlight w:val="none"/>
              </w:rPr>
            </w:pPr>
          </w:p>
        </w:tc>
        <w:tc>
          <w:tcPr>
            <w:tcW w:w="1394" w:type="dxa"/>
            <w:noWrap/>
            <w:vAlign w:val="center"/>
          </w:tcPr>
          <w:p w14:paraId="7BB77198">
            <w:pPr>
              <w:pStyle w:val="59"/>
              <w:rPr>
                <w:highlight w:val="none"/>
              </w:rPr>
            </w:pPr>
          </w:p>
        </w:tc>
      </w:tr>
      <w:tr w14:paraId="4DF2F3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3" w:hRule="atLeast"/>
        </w:trPr>
        <w:tc>
          <w:tcPr>
            <w:tcW w:w="1002" w:type="dxa"/>
            <w:noWrap/>
            <w:vAlign w:val="center"/>
          </w:tcPr>
          <w:p w14:paraId="4B727A66">
            <w:pPr>
              <w:pStyle w:val="59"/>
              <w:rPr>
                <w:highlight w:val="none"/>
              </w:rPr>
            </w:pPr>
          </w:p>
        </w:tc>
        <w:tc>
          <w:tcPr>
            <w:tcW w:w="1847" w:type="dxa"/>
            <w:noWrap/>
            <w:vAlign w:val="center"/>
          </w:tcPr>
          <w:p w14:paraId="5947F65F">
            <w:pPr>
              <w:pStyle w:val="59"/>
              <w:rPr>
                <w:highlight w:val="none"/>
              </w:rPr>
            </w:pPr>
          </w:p>
        </w:tc>
        <w:tc>
          <w:tcPr>
            <w:tcW w:w="1308" w:type="dxa"/>
            <w:noWrap/>
            <w:vAlign w:val="center"/>
          </w:tcPr>
          <w:p w14:paraId="4056472E">
            <w:pPr>
              <w:pStyle w:val="59"/>
              <w:rPr>
                <w:highlight w:val="none"/>
              </w:rPr>
            </w:pPr>
          </w:p>
        </w:tc>
        <w:tc>
          <w:tcPr>
            <w:tcW w:w="1856" w:type="dxa"/>
            <w:noWrap/>
            <w:vAlign w:val="center"/>
          </w:tcPr>
          <w:p w14:paraId="493C5FEC">
            <w:pPr>
              <w:pStyle w:val="59"/>
              <w:rPr>
                <w:highlight w:val="none"/>
              </w:rPr>
            </w:pPr>
          </w:p>
        </w:tc>
        <w:tc>
          <w:tcPr>
            <w:tcW w:w="1239" w:type="dxa"/>
            <w:noWrap/>
            <w:vAlign w:val="center"/>
          </w:tcPr>
          <w:p w14:paraId="3FB9A3D4">
            <w:pPr>
              <w:pStyle w:val="59"/>
              <w:rPr>
                <w:highlight w:val="none"/>
              </w:rPr>
            </w:pPr>
          </w:p>
        </w:tc>
        <w:tc>
          <w:tcPr>
            <w:tcW w:w="1201" w:type="dxa"/>
            <w:noWrap/>
            <w:vAlign w:val="center"/>
          </w:tcPr>
          <w:p w14:paraId="7A1FBB88">
            <w:pPr>
              <w:pStyle w:val="59"/>
              <w:rPr>
                <w:highlight w:val="none"/>
              </w:rPr>
            </w:pPr>
          </w:p>
        </w:tc>
        <w:tc>
          <w:tcPr>
            <w:tcW w:w="1203" w:type="dxa"/>
            <w:noWrap/>
            <w:vAlign w:val="center"/>
          </w:tcPr>
          <w:p w14:paraId="0289D9E2">
            <w:pPr>
              <w:pStyle w:val="59"/>
              <w:rPr>
                <w:highlight w:val="none"/>
              </w:rPr>
            </w:pPr>
          </w:p>
        </w:tc>
        <w:tc>
          <w:tcPr>
            <w:tcW w:w="1203" w:type="dxa"/>
            <w:noWrap/>
            <w:vAlign w:val="center"/>
          </w:tcPr>
          <w:p w14:paraId="7FE4128A">
            <w:pPr>
              <w:pStyle w:val="59"/>
              <w:rPr>
                <w:highlight w:val="none"/>
              </w:rPr>
            </w:pPr>
          </w:p>
        </w:tc>
        <w:tc>
          <w:tcPr>
            <w:tcW w:w="1602" w:type="dxa"/>
            <w:noWrap/>
            <w:vAlign w:val="center"/>
          </w:tcPr>
          <w:p w14:paraId="7645661F">
            <w:pPr>
              <w:pStyle w:val="59"/>
              <w:rPr>
                <w:highlight w:val="none"/>
              </w:rPr>
            </w:pPr>
          </w:p>
        </w:tc>
        <w:tc>
          <w:tcPr>
            <w:tcW w:w="1394" w:type="dxa"/>
            <w:noWrap/>
            <w:vAlign w:val="center"/>
          </w:tcPr>
          <w:p w14:paraId="5A19FF25">
            <w:pPr>
              <w:pStyle w:val="59"/>
              <w:rPr>
                <w:highlight w:val="none"/>
              </w:rPr>
            </w:pPr>
          </w:p>
        </w:tc>
      </w:tr>
      <w:tr w14:paraId="7FE81B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3" w:hRule="atLeast"/>
        </w:trPr>
        <w:tc>
          <w:tcPr>
            <w:tcW w:w="1002" w:type="dxa"/>
            <w:noWrap/>
            <w:vAlign w:val="center"/>
          </w:tcPr>
          <w:p w14:paraId="4C3A118C">
            <w:pPr>
              <w:pStyle w:val="59"/>
              <w:rPr>
                <w:highlight w:val="none"/>
              </w:rPr>
            </w:pPr>
          </w:p>
        </w:tc>
        <w:tc>
          <w:tcPr>
            <w:tcW w:w="1847" w:type="dxa"/>
            <w:noWrap/>
            <w:vAlign w:val="center"/>
          </w:tcPr>
          <w:p w14:paraId="73617F6A">
            <w:pPr>
              <w:pStyle w:val="59"/>
              <w:rPr>
                <w:highlight w:val="none"/>
              </w:rPr>
            </w:pPr>
          </w:p>
        </w:tc>
        <w:tc>
          <w:tcPr>
            <w:tcW w:w="1308" w:type="dxa"/>
            <w:noWrap/>
            <w:vAlign w:val="center"/>
          </w:tcPr>
          <w:p w14:paraId="735357B4">
            <w:pPr>
              <w:pStyle w:val="59"/>
              <w:rPr>
                <w:highlight w:val="none"/>
              </w:rPr>
            </w:pPr>
          </w:p>
        </w:tc>
        <w:tc>
          <w:tcPr>
            <w:tcW w:w="1856" w:type="dxa"/>
            <w:noWrap/>
            <w:vAlign w:val="center"/>
          </w:tcPr>
          <w:p w14:paraId="562C17BB">
            <w:pPr>
              <w:pStyle w:val="59"/>
              <w:rPr>
                <w:highlight w:val="none"/>
              </w:rPr>
            </w:pPr>
          </w:p>
        </w:tc>
        <w:tc>
          <w:tcPr>
            <w:tcW w:w="1239" w:type="dxa"/>
            <w:noWrap/>
            <w:vAlign w:val="center"/>
          </w:tcPr>
          <w:p w14:paraId="3B86EA4C">
            <w:pPr>
              <w:pStyle w:val="59"/>
              <w:rPr>
                <w:highlight w:val="none"/>
              </w:rPr>
            </w:pPr>
          </w:p>
        </w:tc>
        <w:tc>
          <w:tcPr>
            <w:tcW w:w="1201" w:type="dxa"/>
            <w:noWrap/>
            <w:vAlign w:val="center"/>
          </w:tcPr>
          <w:p w14:paraId="5096C9D7">
            <w:pPr>
              <w:pStyle w:val="59"/>
              <w:rPr>
                <w:highlight w:val="none"/>
              </w:rPr>
            </w:pPr>
          </w:p>
        </w:tc>
        <w:tc>
          <w:tcPr>
            <w:tcW w:w="1203" w:type="dxa"/>
            <w:noWrap/>
            <w:vAlign w:val="center"/>
          </w:tcPr>
          <w:p w14:paraId="404780C6">
            <w:pPr>
              <w:pStyle w:val="59"/>
              <w:rPr>
                <w:highlight w:val="none"/>
              </w:rPr>
            </w:pPr>
          </w:p>
        </w:tc>
        <w:tc>
          <w:tcPr>
            <w:tcW w:w="1203" w:type="dxa"/>
            <w:noWrap/>
            <w:vAlign w:val="center"/>
          </w:tcPr>
          <w:p w14:paraId="45506D2B">
            <w:pPr>
              <w:pStyle w:val="59"/>
              <w:rPr>
                <w:highlight w:val="none"/>
              </w:rPr>
            </w:pPr>
          </w:p>
        </w:tc>
        <w:tc>
          <w:tcPr>
            <w:tcW w:w="1602" w:type="dxa"/>
            <w:noWrap/>
            <w:vAlign w:val="center"/>
          </w:tcPr>
          <w:p w14:paraId="12E3A47E">
            <w:pPr>
              <w:pStyle w:val="59"/>
              <w:rPr>
                <w:highlight w:val="none"/>
              </w:rPr>
            </w:pPr>
          </w:p>
        </w:tc>
        <w:tc>
          <w:tcPr>
            <w:tcW w:w="1394" w:type="dxa"/>
            <w:noWrap/>
            <w:vAlign w:val="center"/>
          </w:tcPr>
          <w:p w14:paraId="54C0A1BF">
            <w:pPr>
              <w:pStyle w:val="59"/>
              <w:rPr>
                <w:highlight w:val="none"/>
              </w:rPr>
            </w:pPr>
          </w:p>
        </w:tc>
      </w:tr>
      <w:tr w14:paraId="6A3451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3" w:hRule="atLeast"/>
        </w:trPr>
        <w:tc>
          <w:tcPr>
            <w:tcW w:w="1002" w:type="dxa"/>
            <w:noWrap/>
            <w:vAlign w:val="center"/>
          </w:tcPr>
          <w:p w14:paraId="0B90D099">
            <w:pPr>
              <w:pStyle w:val="59"/>
              <w:rPr>
                <w:highlight w:val="none"/>
              </w:rPr>
            </w:pPr>
          </w:p>
        </w:tc>
        <w:tc>
          <w:tcPr>
            <w:tcW w:w="1847" w:type="dxa"/>
            <w:noWrap/>
            <w:vAlign w:val="center"/>
          </w:tcPr>
          <w:p w14:paraId="6D57D27F">
            <w:pPr>
              <w:pStyle w:val="59"/>
              <w:rPr>
                <w:highlight w:val="none"/>
              </w:rPr>
            </w:pPr>
          </w:p>
        </w:tc>
        <w:tc>
          <w:tcPr>
            <w:tcW w:w="1308" w:type="dxa"/>
            <w:noWrap/>
            <w:vAlign w:val="center"/>
          </w:tcPr>
          <w:p w14:paraId="243EE550">
            <w:pPr>
              <w:pStyle w:val="59"/>
              <w:rPr>
                <w:highlight w:val="none"/>
              </w:rPr>
            </w:pPr>
          </w:p>
        </w:tc>
        <w:tc>
          <w:tcPr>
            <w:tcW w:w="1856" w:type="dxa"/>
            <w:noWrap/>
            <w:vAlign w:val="center"/>
          </w:tcPr>
          <w:p w14:paraId="5E25CEFB">
            <w:pPr>
              <w:pStyle w:val="59"/>
              <w:rPr>
                <w:highlight w:val="none"/>
              </w:rPr>
            </w:pPr>
          </w:p>
        </w:tc>
        <w:tc>
          <w:tcPr>
            <w:tcW w:w="1239" w:type="dxa"/>
            <w:noWrap/>
            <w:vAlign w:val="center"/>
          </w:tcPr>
          <w:p w14:paraId="158B8496">
            <w:pPr>
              <w:pStyle w:val="59"/>
              <w:rPr>
                <w:highlight w:val="none"/>
              </w:rPr>
            </w:pPr>
          </w:p>
        </w:tc>
        <w:tc>
          <w:tcPr>
            <w:tcW w:w="1201" w:type="dxa"/>
            <w:noWrap/>
            <w:vAlign w:val="center"/>
          </w:tcPr>
          <w:p w14:paraId="2E5BFE8E">
            <w:pPr>
              <w:pStyle w:val="59"/>
              <w:rPr>
                <w:highlight w:val="none"/>
              </w:rPr>
            </w:pPr>
          </w:p>
        </w:tc>
        <w:tc>
          <w:tcPr>
            <w:tcW w:w="1203" w:type="dxa"/>
            <w:noWrap/>
            <w:vAlign w:val="center"/>
          </w:tcPr>
          <w:p w14:paraId="6D5C14D9">
            <w:pPr>
              <w:pStyle w:val="59"/>
              <w:rPr>
                <w:highlight w:val="none"/>
              </w:rPr>
            </w:pPr>
          </w:p>
        </w:tc>
        <w:tc>
          <w:tcPr>
            <w:tcW w:w="1203" w:type="dxa"/>
            <w:noWrap/>
            <w:vAlign w:val="center"/>
          </w:tcPr>
          <w:p w14:paraId="09AB6C92">
            <w:pPr>
              <w:pStyle w:val="59"/>
              <w:rPr>
                <w:highlight w:val="none"/>
              </w:rPr>
            </w:pPr>
          </w:p>
        </w:tc>
        <w:tc>
          <w:tcPr>
            <w:tcW w:w="1602" w:type="dxa"/>
            <w:noWrap/>
            <w:vAlign w:val="center"/>
          </w:tcPr>
          <w:p w14:paraId="7CB42D34">
            <w:pPr>
              <w:pStyle w:val="59"/>
              <w:rPr>
                <w:highlight w:val="none"/>
              </w:rPr>
            </w:pPr>
          </w:p>
        </w:tc>
        <w:tc>
          <w:tcPr>
            <w:tcW w:w="1394" w:type="dxa"/>
            <w:noWrap/>
            <w:vAlign w:val="center"/>
          </w:tcPr>
          <w:p w14:paraId="19E32A52">
            <w:pPr>
              <w:pStyle w:val="59"/>
              <w:rPr>
                <w:highlight w:val="none"/>
              </w:rPr>
            </w:pPr>
          </w:p>
        </w:tc>
      </w:tr>
      <w:tr w14:paraId="65B735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3" w:hRule="atLeast"/>
        </w:trPr>
        <w:tc>
          <w:tcPr>
            <w:tcW w:w="1002" w:type="dxa"/>
            <w:noWrap/>
            <w:vAlign w:val="center"/>
          </w:tcPr>
          <w:p w14:paraId="4F16772D">
            <w:pPr>
              <w:pStyle w:val="59"/>
              <w:rPr>
                <w:highlight w:val="none"/>
              </w:rPr>
            </w:pPr>
          </w:p>
        </w:tc>
        <w:tc>
          <w:tcPr>
            <w:tcW w:w="1847" w:type="dxa"/>
            <w:noWrap w:val="0"/>
            <w:vAlign w:val="center"/>
          </w:tcPr>
          <w:p w14:paraId="7BEEF2A4">
            <w:pPr>
              <w:pStyle w:val="59"/>
              <w:rPr>
                <w:highlight w:val="none"/>
              </w:rPr>
            </w:pPr>
          </w:p>
        </w:tc>
        <w:tc>
          <w:tcPr>
            <w:tcW w:w="1308" w:type="dxa"/>
            <w:noWrap w:val="0"/>
            <w:vAlign w:val="center"/>
          </w:tcPr>
          <w:p w14:paraId="5FAB2D2D">
            <w:pPr>
              <w:pStyle w:val="59"/>
              <w:rPr>
                <w:highlight w:val="none"/>
              </w:rPr>
            </w:pPr>
          </w:p>
        </w:tc>
        <w:tc>
          <w:tcPr>
            <w:tcW w:w="1856" w:type="dxa"/>
            <w:noWrap w:val="0"/>
            <w:vAlign w:val="center"/>
          </w:tcPr>
          <w:p w14:paraId="3F2EB5BF">
            <w:pPr>
              <w:pStyle w:val="59"/>
              <w:rPr>
                <w:highlight w:val="none"/>
              </w:rPr>
            </w:pPr>
          </w:p>
        </w:tc>
        <w:tc>
          <w:tcPr>
            <w:tcW w:w="1239" w:type="dxa"/>
            <w:noWrap/>
            <w:vAlign w:val="center"/>
          </w:tcPr>
          <w:p w14:paraId="5E15444C">
            <w:pPr>
              <w:pStyle w:val="59"/>
              <w:rPr>
                <w:highlight w:val="none"/>
              </w:rPr>
            </w:pPr>
          </w:p>
        </w:tc>
        <w:tc>
          <w:tcPr>
            <w:tcW w:w="1201" w:type="dxa"/>
            <w:noWrap/>
            <w:vAlign w:val="center"/>
          </w:tcPr>
          <w:p w14:paraId="54F129A1">
            <w:pPr>
              <w:pStyle w:val="59"/>
              <w:rPr>
                <w:highlight w:val="none"/>
              </w:rPr>
            </w:pPr>
          </w:p>
        </w:tc>
        <w:tc>
          <w:tcPr>
            <w:tcW w:w="1203" w:type="dxa"/>
            <w:noWrap/>
            <w:vAlign w:val="center"/>
          </w:tcPr>
          <w:p w14:paraId="0B7D6836">
            <w:pPr>
              <w:pStyle w:val="59"/>
              <w:rPr>
                <w:highlight w:val="none"/>
              </w:rPr>
            </w:pPr>
          </w:p>
        </w:tc>
        <w:tc>
          <w:tcPr>
            <w:tcW w:w="1203" w:type="dxa"/>
            <w:noWrap/>
            <w:vAlign w:val="center"/>
          </w:tcPr>
          <w:p w14:paraId="1AF295BD">
            <w:pPr>
              <w:pStyle w:val="59"/>
              <w:rPr>
                <w:highlight w:val="none"/>
              </w:rPr>
            </w:pPr>
          </w:p>
        </w:tc>
        <w:tc>
          <w:tcPr>
            <w:tcW w:w="1602" w:type="dxa"/>
            <w:noWrap/>
            <w:vAlign w:val="center"/>
          </w:tcPr>
          <w:p w14:paraId="036C0032">
            <w:pPr>
              <w:pStyle w:val="59"/>
              <w:rPr>
                <w:highlight w:val="none"/>
              </w:rPr>
            </w:pPr>
          </w:p>
        </w:tc>
        <w:tc>
          <w:tcPr>
            <w:tcW w:w="1394" w:type="dxa"/>
            <w:noWrap/>
            <w:vAlign w:val="center"/>
          </w:tcPr>
          <w:p w14:paraId="4A2622CF">
            <w:pPr>
              <w:pStyle w:val="59"/>
              <w:rPr>
                <w:highlight w:val="none"/>
              </w:rPr>
            </w:pPr>
          </w:p>
        </w:tc>
      </w:tr>
      <w:tr w14:paraId="7EAAA2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3" w:hRule="atLeast"/>
        </w:trPr>
        <w:tc>
          <w:tcPr>
            <w:tcW w:w="1002" w:type="dxa"/>
            <w:noWrap/>
            <w:vAlign w:val="center"/>
          </w:tcPr>
          <w:p w14:paraId="629CF5DA">
            <w:pPr>
              <w:pStyle w:val="59"/>
              <w:rPr>
                <w:highlight w:val="none"/>
              </w:rPr>
            </w:pPr>
          </w:p>
        </w:tc>
        <w:tc>
          <w:tcPr>
            <w:tcW w:w="1847" w:type="dxa"/>
            <w:noWrap w:val="0"/>
            <w:vAlign w:val="center"/>
          </w:tcPr>
          <w:p w14:paraId="1E8E0B0E">
            <w:pPr>
              <w:pStyle w:val="59"/>
              <w:rPr>
                <w:highlight w:val="none"/>
              </w:rPr>
            </w:pPr>
          </w:p>
        </w:tc>
        <w:tc>
          <w:tcPr>
            <w:tcW w:w="1308" w:type="dxa"/>
            <w:noWrap w:val="0"/>
            <w:vAlign w:val="center"/>
          </w:tcPr>
          <w:p w14:paraId="19875C5A">
            <w:pPr>
              <w:pStyle w:val="59"/>
              <w:rPr>
                <w:highlight w:val="none"/>
              </w:rPr>
            </w:pPr>
          </w:p>
        </w:tc>
        <w:tc>
          <w:tcPr>
            <w:tcW w:w="1856" w:type="dxa"/>
            <w:noWrap w:val="0"/>
            <w:vAlign w:val="center"/>
          </w:tcPr>
          <w:p w14:paraId="5D1D114A">
            <w:pPr>
              <w:pStyle w:val="59"/>
              <w:rPr>
                <w:highlight w:val="none"/>
              </w:rPr>
            </w:pPr>
          </w:p>
        </w:tc>
        <w:tc>
          <w:tcPr>
            <w:tcW w:w="1239" w:type="dxa"/>
            <w:noWrap/>
            <w:vAlign w:val="center"/>
          </w:tcPr>
          <w:p w14:paraId="327D33E7">
            <w:pPr>
              <w:pStyle w:val="59"/>
              <w:rPr>
                <w:highlight w:val="none"/>
              </w:rPr>
            </w:pPr>
          </w:p>
        </w:tc>
        <w:tc>
          <w:tcPr>
            <w:tcW w:w="1201" w:type="dxa"/>
            <w:noWrap/>
            <w:vAlign w:val="center"/>
          </w:tcPr>
          <w:p w14:paraId="109F73A5">
            <w:pPr>
              <w:pStyle w:val="59"/>
              <w:rPr>
                <w:highlight w:val="none"/>
              </w:rPr>
            </w:pPr>
          </w:p>
        </w:tc>
        <w:tc>
          <w:tcPr>
            <w:tcW w:w="1203" w:type="dxa"/>
            <w:noWrap/>
            <w:vAlign w:val="center"/>
          </w:tcPr>
          <w:p w14:paraId="59E44195">
            <w:pPr>
              <w:pStyle w:val="59"/>
              <w:rPr>
                <w:highlight w:val="none"/>
              </w:rPr>
            </w:pPr>
          </w:p>
        </w:tc>
        <w:tc>
          <w:tcPr>
            <w:tcW w:w="1203" w:type="dxa"/>
            <w:noWrap/>
            <w:vAlign w:val="center"/>
          </w:tcPr>
          <w:p w14:paraId="7DAB6BD0">
            <w:pPr>
              <w:pStyle w:val="59"/>
              <w:rPr>
                <w:highlight w:val="none"/>
              </w:rPr>
            </w:pPr>
          </w:p>
        </w:tc>
        <w:tc>
          <w:tcPr>
            <w:tcW w:w="1602" w:type="dxa"/>
            <w:noWrap/>
            <w:vAlign w:val="center"/>
          </w:tcPr>
          <w:p w14:paraId="1D1A43CA">
            <w:pPr>
              <w:pStyle w:val="59"/>
              <w:rPr>
                <w:highlight w:val="none"/>
              </w:rPr>
            </w:pPr>
          </w:p>
        </w:tc>
        <w:tc>
          <w:tcPr>
            <w:tcW w:w="1394" w:type="dxa"/>
            <w:noWrap/>
            <w:vAlign w:val="center"/>
          </w:tcPr>
          <w:p w14:paraId="654307E5">
            <w:pPr>
              <w:pStyle w:val="59"/>
              <w:rPr>
                <w:highlight w:val="none"/>
              </w:rPr>
            </w:pPr>
          </w:p>
        </w:tc>
      </w:tr>
      <w:tr w14:paraId="403872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3" w:hRule="atLeast"/>
        </w:trPr>
        <w:tc>
          <w:tcPr>
            <w:tcW w:w="1002" w:type="dxa"/>
            <w:noWrap/>
            <w:vAlign w:val="center"/>
          </w:tcPr>
          <w:p w14:paraId="4D10F290">
            <w:pPr>
              <w:pStyle w:val="59"/>
              <w:rPr>
                <w:highlight w:val="none"/>
              </w:rPr>
            </w:pPr>
          </w:p>
        </w:tc>
        <w:tc>
          <w:tcPr>
            <w:tcW w:w="1847" w:type="dxa"/>
            <w:noWrap/>
            <w:vAlign w:val="center"/>
          </w:tcPr>
          <w:p w14:paraId="7A1CB4E9">
            <w:pPr>
              <w:pStyle w:val="59"/>
              <w:rPr>
                <w:highlight w:val="none"/>
              </w:rPr>
            </w:pPr>
          </w:p>
        </w:tc>
        <w:tc>
          <w:tcPr>
            <w:tcW w:w="1308" w:type="dxa"/>
            <w:noWrap/>
            <w:vAlign w:val="center"/>
          </w:tcPr>
          <w:p w14:paraId="4DAD9940">
            <w:pPr>
              <w:pStyle w:val="59"/>
              <w:rPr>
                <w:highlight w:val="none"/>
              </w:rPr>
            </w:pPr>
          </w:p>
        </w:tc>
        <w:tc>
          <w:tcPr>
            <w:tcW w:w="1856" w:type="dxa"/>
            <w:noWrap/>
            <w:vAlign w:val="center"/>
          </w:tcPr>
          <w:p w14:paraId="0EE68007">
            <w:pPr>
              <w:pStyle w:val="59"/>
              <w:rPr>
                <w:highlight w:val="none"/>
              </w:rPr>
            </w:pPr>
          </w:p>
        </w:tc>
        <w:tc>
          <w:tcPr>
            <w:tcW w:w="1239" w:type="dxa"/>
            <w:noWrap/>
            <w:vAlign w:val="center"/>
          </w:tcPr>
          <w:p w14:paraId="5B721FD3">
            <w:pPr>
              <w:pStyle w:val="59"/>
              <w:rPr>
                <w:highlight w:val="none"/>
              </w:rPr>
            </w:pPr>
          </w:p>
        </w:tc>
        <w:tc>
          <w:tcPr>
            <w:tcW w:w="1201" w:type="dxa"/>
            <w:noWrap/>
            <w:vAlign w:val="center"/>
          </w:tcPr>
          <w:p w14:paraId="71CEABD7">
            <w:pPr>
              <w:pStyle w:val="59"/>
              <w:rPr>
                <w:highlight w:val="none"/>
              </w:rPr>
            </w:pPr>
          </w:p>
        </w:tc>
        <w:tc>
          <w:tcPr>
            <w:tcW w:w="1203" w:type="dxa"/>
            <w:noWrap/>
            <w:vAlign w:val="center"/>
          </w:tcPr>
          <w:p w14:paraId="2E6ADE9D">
            <w:pPr>
              <w:pStyle w:val="59"/>
              <w:rPr>
                <w:highlight w:val="none"/>
              </w:rPr>
            </w:pPr>
          </w:p>
        </w:tc>
        <w:tc>
          <w:tcPr>
            <w:tcW w:w="1203" w:type="dxa"/>
            <w:noWrap/>
            <w:vAlign w:val="center"/>
          </w:tcPr>
          <w:p w14:paraId="31E81721">
            <w:pPr>
              <w:pStyle w:val="59"/>
              <w:rPr>
                <w:highlight w:val="none"/>
              </w:rPr>
            </w:pPr>
          </w:p>
        </w:tc>
        <w:tc>
          <w:tcPr>
            <w:tcW w:w="1602" w:type="dxa"/>
            <w:noWrap/>
            <w:vAlign w:val="center"/>
          </w:tcPr>
          <w:p w14:paraId="4DB96E94">
            <w:pPr>
              <w:pStyle w:val="59"/>
              <w:rPr>
                <w:highlight w:val="none"/>
              </w:rPr>
            </w:pPr>
          </w:p>
        </w:tc>
        <w:tc>
          <w:tcPr>
            <w:tcW w:w="1394" w:type="dxa"/>
            <w:noWrap/>
            <w:vAlign w:val="center"/>
          </w:tcPr>
          <w:p w14:paraId="625D5208">
            <w:pPr>
              <w:pStyle w:val="59"/>
              <w:rPr>
                <w:highlight w:val="none"/>
              </w:rPr>
            </w:pPr>
          </w:p>
        </w:tc>
      </w:tr>
      <w:tr w14:paraId="4020F9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3" w:hRule="atLeast"/>
        </w:trPr>
        <w:tc>
          <w:tcPr>
            <w:tcW w:w="1002" w:type="dxa"/>
            <w:noWrap/>
            <w:vAlign w:val="center"/>
          </w:tcPr>
          <w:p w14:paraId="7A54D785">
            <w:pPr>
              <w:pStyle w:val="59"/>
              <w:rPr>
                <w:highlight w:val="none"/>
              </w:rPr>
            </w:pPr>
          </w:p>
        </w:tc>
        <w:tc>
          <w:tcPr>
            <w:tcW w:w="1847" w:type="dxa"/>
            <w:noWrap/>
            <w:vAlign w:val="center"/>
          </w:tcPr>
          <w:p w14:paraId="11F3AC13">
            <w:pPr>
              <w:pStyle w:val="59"/>
              <w:rPr>
                <w:highlight w:val="none"/>
              </w:rPr>
            </w:pPr>
          </w:p>
        </w:tc>
        <w:tc>
          <w:tcPr>
            <w:tcW w:w="1308" w:type="dxa"/>
            <w:noWrap/>
            <w:vAlign w:val="center"/>
          </w:tcPr>
          <w:p w14:paraId="1CD12EAB">
            <w:pPr>
              <w:pStyle w:val="59"/>
              <w:rPr>
                <w:highlight w:val="none"/>
              </w:rPr>
            </w:pPr>
          </w:p>
        </w:tc>
        <w:tc>
          <w:tcPr>
            <w:tcW w:w="1856" w:type="dxa"/>
            <w:noWrap/>
            <w:vAlign w:val="center"/>
          </w:tcPr>
          <w:p w14:paraId="00ECB7A4">
            <w:pPr>
              <w:pStyle w:val="59"/>
              <w:rPr>
                <w:highlight w:val="none"/>
              </w:rPr>
            </w:pPr>
          </w:p>
        </w:tc>
        <w:tc>
          <w:tcPr>
            <w:tcW w:w="1239" w:type="dxa"/>
            <w:noWrap/>
            <w:vAlign w:val="center"/>
          </w:tcPr>
          <w:p w14:paraId="4546A1FC">
            <w:pPr>
              <w:pStyle w:val="59"/>
              <w:rPr>
                <w:highlight w:val="none"/>
              </w:rPr>
            </w:pPr>
          </w:p>
        </w:tc>
        <w:tc>
          <w:tcPr>
            <w:tcW w:w="1201" w:type="dxa"/>
            <w:noWrap/>
            <w:vAlign w:val="center"/>
          </w:tcPr>
          <w:p w14:paraId="4E64D9EA">
            <w:pPr>
              <w:pStyle w:val="59"/>
              <w:rPr>
                <w:highlight w:val="none"/>
              </w:rPr>
            </w:pPr>
          </w:p>
        </w:tc>
        <w:tc>
          <w:tcPr>
            <w:tcW w:w="1203" w:type="dxa"/>
            <w:noWrap/>
            <w:vAlign w:val="center"/>
          </w:tcPr>
          <w:p w14:paraId="396DCC0A">
            <w:pPr>
              <w:pStyle w:val="59"/>
              <w:rPr>
                <w:highlight w:val="none"/>
              </w:rPr>
            </w:pPr>
          </w:p>
        </w:tc>
        <w:tc>
          <w:tcPr>
            <w:tcW w:w="1203" w:type="dxa"/>
            <w:noWrap/>
            <w:vAlign w:val="center"/>
          </w:tcPr>
          <w:p w14:paraId="3B29EA91">
            <w:pPr>
              <w:pStyle w:val="59"/>
              <w:rPr>
                <w:highlight w:val="none"/>
              </w:rPr>
            </w:pPr>
          </w:p>
        </w:tc>
        <w:tc>
          <w:tcPr>
            <w:tcW w:w="1602" w:type="dxa"/>
            <w:noWrap/>
            <w:vAlign w:val="center"/>
          </w:tcPr>
          <w:p w14:paraId="05F4AA24">
            <w:pPr>
              <w:pStyle w:val="59"/>
              <w:rPr>
                <w:highlight w:val="none"/>
              </w:rPr>
            </w:pPr>
          </w:p>
        </w:tc>
        <w:tc>
          <w:tcPr>
            <w:tcW w:w="1394" w:type="dxa"/>
            <w:noWrap/>
            <w:vAlign w:val="center"/>
          </w:tcPr>
          <w:p w14:paraId="241EDAB0">
            <w:pPr>
              <w:pStyle w:val="59"/>
              <w:rPr>
                <w:highlight w:val="none"/>
              </w:rPr>
            </w:pPr>
          </w:p>
        </w:tc>
      </w:tr>
      <w:tr w14:paraId="42F8C8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3" w:hRule="atLeast"/>
        </w:trPr>
        <w:tc>
          <w:tcPr>
            <w:tcW w:w="1002" w:type="dxa"/>
            <w:noWrap/>
            <w:vAlign w:val="center"/>
          </w:tcPr>
          <w:p w14:paraId="2ECA6131">
            <w:pPr>
              <w:pStyle w:val="59"/>
              <w:rPr>
                <w:highlight w:val="none"/>
              </w:rPr>
            </w:pPr>
          </w:p>
        </w:tc>
        <w:tc>
          <w:tcPr>
            <w:tcW w:w="1847" w:type="dxa"/>
            <w:noWrap/>
            <w:vAlign w:val="center"/>
          </w:tcPr>
          <w:p w14:paraId="233A38E7">
            <w:pPr>
              <w:pStyle w:val="59"/>
              <w:rPr>
                <w:highlight w:val="none"/>
              </w:rPr>
            </w:pPr>
          </w:p>
        </w:tc>
        <w:tc>
          <w:tcPr>
            <w:tcW w:w="1308" w:type="dxa"/>
            <w:noWrap/>
            <w:vAlign w:val="center"/>
          </w:tcPr>
          <w:p w14:paraId="56AB96D3">
            <w:pPr>
              <w:pStyle w:val="59"/>
              <w:rPr>
                <w:highlight w:val="none"/>
              </w:rPr>
            </w:pPr>
          </w:p>
        </w:tc>
        <w:tc>
          <w:tcPr>
            <w:tcW w:w="1856" w:type="dxa"/>
            <w:noWrap/>
            <w:vAlign w:val="center"/>
          </w:tcPr>
          <w:p w14:paraId="518001B8">
            <w:pPr>
              <w:pStyle w:val="59"/>
              <w:rPr>
                <w:highlight w:val="none"/>
              </w:rPr>
            </w:pPr>
          </w:p>
        </w:tc>
        <w:tc>
          <w:tcPr>
            <w:tcW w:w="1239" w:type="dxa"/>
            <w:noWrap/>
            <w:vAlign w:val="center"/>
          </w:tcPr>
          <w:p w14:paraId="2C4C2D84">
            <w:pPr>
              <w:pStyle w:val="59"/>
              <w:rPr>
                <w:highlight w:val="none"/>
              </w:rPr>
            </w:pPr>
          </w:p>
        </w:tc>
        <w:tc>
          <w:tcPr>
            <w:tcW w:w="1201" w:type="dxa"/>
            <w:noWrap/>
            <w:vAlign w:val="center"/>
          </w:tcPr>
          <w:p w14:paraId="17741CBE">
            <w:pPr>
              <w:pStyle w:val="59"/>
              <w:rPr>
                <w:highlight w:val="none"/>
              </w:rPr>
            </w:pPr>
          </w:p>
        </w:tc>
        <w:tc>
          <w:tcPr>
            <w:tcW w:w="1203" w:type="dxa"/>
            <w:noWrap/>
            <w:vAlign w:val="center"/>
          </w:tcPr>
          <w:p w14:paraId="7EDC995F">
            <w:pPr>
              <w:pStyle w:val="59"/>
              <w:rPr>
                <w:highlight w:val="none"/>
              </w:rPr>
            </w:pPr>
          </w:p>
        </w:tc>
        <w:tc>
          <w:tcPr>
            <w:tcW w:w="1203" w:type="dxa"/>
            <w:noWrap/>
            <w:vAlign w:val="center"/>
          </w:tcPr>
          <w:p w14:paraId="7E09F8A9">
            <w:pPr>
              <w:pStyle w:val="59"/>
              <w:rPr>
                <w:highlight w:val="none"/>
              </w:rPr>
            </w:pPr>
          </w:p>
        </w:tc>
        <w:tc>
          <w:tcPr>
            <w:tcW w:w="1602" w:type="dxa"/>
            <w:noWrap/>
            <w:vAlign w:val="center"/>
          </w:tcPr>
          <w:p w14:paraId="116BC75D">
            <w:pPr>
              <w:pStyle w:val="59"/>
              <w:rPr>
                <w:highlight w:val="none"/>
              </w:rPr>
            </w:pPr>
          </w:p>
        </w:tc>
        <w:tc>
          <w:tcPr>
            <w:tcW w:w="1394" w:type="dxa"/>
            <w:noWrap/>
            <w:vAlign w:val="center"/>
          </w:tcPr>
          <w:p w14:paraId="10DA9708">
            <w:pPr>
              <w:pStyle w:val="59"/>
              <w:rPr>
                <w:highlight w:val="none"/>
              </w:rPr>
            </w:pPr>
          </w:p>
        </w:tc>
      </w:tr>
      <w:tr w14:paraId="2E7291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3" w:hRule="atLeast"/>
        </w:trPr>
        <w:tc>
          <w:tcPr>
            <w:tcW w:w="1002" w:type="dxa"/>
            <w:noWrap/>
            <w:vAlign w:val="center"/>
          </w:tcPr>
          <w:p w14:paraId="1F022D86">
            <w:pPr>
              <w:pStyle w:val="59"/>
              <w:rPr>
                <w:highlight w:val="none"/>
              </w:rPr>
            </w:pPr>
          </w:p>
        </w:tc>
        <w:tc>
          <w:tcPr>
            <w:tcW w:w="1847" w:type="dxa"/>
            <w:noWrap/>
            <w:vAlign w:val="center"/>
          </w:tcPr>
          <w:p w14:paraId="32FAF959">
            <w:pPr>
              <w:pStyle w:val="59"/>
              <w:rPr>
                <w:highlight w:val="none"/>
              </w:rPr>
            </w:pPr>
          </w:p>
        </w:tc>
        <w:tc>
          <w:tcPr>
            <w:tcW w:w="1308" w:type="dxa"/>
            <w:noWrap/>
            <w:vAlign w:val="center"/>
          </w:tcPr>
          <w:p w14:paraId="03259543">
            <w:pPr>
              <w:pStyle w:val="59"/>
              <w:rPr>
                <w:highlight w:val="none"/>
              </w:rPr>
            </w:pPr>
          </w:p>
        </w:tc>
        <w:tc>
          <w:tcPr>
            <w:tcW w:w="1856" w:type="dxa"/>
            <w:noWrap/>
            <w:vAlign w:val="center"/>
          </w:tcPr>
          <w:p w14:paraId="31DF55C4">
            <w:pPr>
              <w:pStyle w:val="59"/>
              <w:rPr>
                <w:highlight w:val="none"/>
              </w:rPr>
            </w:pPr>
          </w:p>
        </w:tc>
        <w:tc>
          <w:tcPr>
            <w:tcW w:w="1239" w:type="dxa"/>
            <w:noWrap/>
            <w:vAlign w:val="center"/>
          </w:tcPr>
          <w:p w14:paraId="1D782270">
            <w:pPr>
              <w:pStyle w:val="59"/>
              <w:rPr>
                <w:highlight w:val="none"/>
              </w:rPr>
            </w:pPr>
          </w:p>
        </w:tc>
        <w:tc>
          <w:tcPr>
            <w:tcW w:w="1201" w:type="dxa"/>
            <w:noWrap/>
            <w:vAlign w:val="center"/>
          </w:tcPr>
          <w:p w14:paraId="2C0A30E0">
            <w:pPr>
              <w:pStyle w:val="59"/>
              <w:rPr>
                <w:highlight w:val="none"/>
              </w:rPr>
            </w:pPr>
          </w:p>
        </w:tc>
        <w:tc>
          <w:tcPr>
            <w:tcW w:w="1203" w:type="dxa"/>
            <w:noWrap/>
            <w:vAlign w:val="center"/>
          </w:tcPr>
          <w:p w14:paraId="727066C2">
            <w:pPr>
              <w:pStyle w:val="59"/>
              <w:rPr>
                <w:highlight w:val="none"/>
              </w:rPr>
            </w:pPr>
          </w:p>
        </w:tc>
        <w:tc>
          <w:tcPr>
            <w:tcW w:w="1203" w:type="dxa"/>
            <w:noWrap/>
            <w:vAlign w:val="center"/>
          </w:tcPr>
          <w:p w14:paraId="279C5027">
            <w:pPr>
              <w:pStyle w:val="59"/>
              <w:rPr>
                <w:highlight w:val="none"/>
              </w:rPr>
            </w:pPr>
          </w:p>
        </w:tc>
        <w:tc>
          <w:tcPr>
            <w:tcW w:w="1602" w:type="dxa"/>
            <w:noWrap/>
            <w:vAlign w:val="center"/>
          </w:tcPr>
          <w:p w14:paraId="7DC1705C">
            <w:pPr>
              <w:pStyle w:val="59"/>
              <w:rPr>
                <w:highlight w:val="none"/>
              </w:rPr>
            </w:pPr>
          </w:p>
        </w:tc>
        <w:tc>
          <w:tcPr>
            <w:tcW w:w="1394" w:type="dxa"/>
            <w:noWrap/>
            <w:vAlign w:val="center"/>
          </w:tcPr>
          <w:p w14:paraId="041ADAFD">
            <w:pPr>
              <w:pStyle w:val="59"/>
              <w:rPr>
                <w:highlight w:val="none"/>
              </w:rPr>
            </w:pPr>
          </w:p>
        </w:tc>
      </w:tr>
    </w:tbl>
    <w:p w14:paraId="6C53ABAF">
      <w:pPr>
        <w:ind w:firstLine="420"/>
        <w:rPr>
          <w:rFonts w:hint="eastAsia"/>
          <w:highlight w:val="none"/>
        </w:rPr>
      </w:pPr>
      <w:r>
        <w:rPr>
          <w:rFonts w:hint="eastAsia"/>
          <w:highlight w:val="none"/>
        </w:rPr>
        <w:t>说明：1. 按“</w:t>
      </w:r>
      <w:r>
        <w:rPr>
          <w:rFonts w:hint="eastAsia"/>
          <w:color w:val="FF0000"/>
          <w:highlight w:val="none"/>
        </w:rPr>
        <w:t>货物一览表及技术要求</w:t>
      </w:r>
      <w:r>
        <w:rPr>
          <w:rFonts w:hint="eastAsia"/>
          <w:highlight w:val="none"/>
        </w:rPr>
        <w:t>”中“</w:t>
      </w:r>
      <w:r>
        <w:rPr>
          <w:rFonts w:hint="eastAsia"/>
          <w:color w:val="FF0000"/>
          <w:highlight w:val="none"/>
        </w:rPr>
        <w:t>货物一览表</w:t>
      </w:r>
      <w:r>
        <w:rPr>
          <w:rFonts w:hint="eastAsia"/>
          <w:highlight w:val="none"/>
        </w:rPr>
        <w:t>”中的具体货物名称进行分项报价。</w:t>
      </w:r>
    </w:p>
    <w:p w14:paraId="71D0F16A">
      <w:pPr>
        <w:pStyle w:val="2"/>
        <w:rPr>
          <w:highlight w:val="none"/>
        </w:rPr>
      </w:pPr>
      <w:r>
        <w:rPr>
          <w:rFonts w:hint="eastAsia"/>
          <w:highlight w:val="none"/>
        </w:rPr>
        <w:t>2.</w:t>
      </w:r>
      <w:r>
        <w:rPr>
          <w:rFonts w:hint="eastAsia"/>
          <w:b/>
          <w:bCs/>
          <w:highlight w:val="none"/>
        </w:rPr>
        <w:t>分项报价表</w:t>
      </w:r>
      <w:r>
        <w:rPr>
          <w:rFonts w:hint="eastAsia"/>
          <w:highlight w:val="none"/>
        </w:rPr>
        <w:t>中的与</w:t>
      </w:r>
      <w:r>
        <w:rPr>
          <w:rFonts w:hint="eastAsia"/>
          <w:b/>
          <w:bCs/>
          <w:highlight w:val="none"/>
        </w:rPr>
        <w:t>交货清单</w:t>
      </w:r>
      <w:r>
        <w:rPr>
          <w:rFonts w:hint="eastAsia"/>
          <w:highlight w:val="none"/>
        </w:rPr>
        <w:t>中“</w:t>
      </w:r>
      <w:r>
        <w:rPr>
          <w:rFonts w:hint="eastAsia"/>
          <w:b/>
          <w:bCs/>
          <w:highlight w:val="none"/>
        </w:rPr>
        <w:t>货物名称</w:t>
      </w:r>
      <w:r>
        <w:rPr>
          <w:rFonts w:hint="eastAsia"/>
          <w:highlight w:val="none"/>
        </w:rPr>
        <w:t>”一致</w:t>
      </w:r>
    </w:p>
    <w:p w14:paraId="6B2344AF">
      <w:pPr>
        <w:pStyle w:val="17"/>
        <w:ind w:firstLine="420"/>
        <w:rPr>
          <w:highlight w:val="none"/>
        </w:rPr>
      </w:pPr>
    </w:p>
    <w:p w14:paraId="7301ED57">
      <w:pPr>
        <w:ind w:firstLine="560" w:firstLineChars="200"/>
        <w:rPr>
          <w:rFonts w:hint="eastAsia"/>
          <w:sz w:val="28"/>
          <w:szCs w:val="28"/>
          <w:highlight w:val="none"/>
          <w:lang w:eastAsia="zh-CN"/>
        </w:rPr>
      </w:pPr>
    </w:p>
    <w:p w14:paraId="34093CAE">
      <w:pPr>
        <w:ind w:firstLine="560" w:firstLineChars="200"/>
        <w:rPr>
          <w:sz w:val="28"/>
          <w:szCs w:val="28"/>
          <w:highlight w:val="none"/>
        </w:rPr>
      </w:pPr>
      <w:r>
        <w:rPr>
          <w:rFonts w:hint="eastAsia"/>
          <w:sz w:val="28"/>
          <w:szCs w:val="28"/>
          <w:highlight w:val="none"/>
          <w:lang w:eastAsia="zh-CN"/>
        </w:rPr>
        <w:t>报价</w:t>
      </w:r>
      <w:r>
        <w:rPr>
          <w:sz w:val="28"/>
          <w:szCs w:val="28"/>
          <w:highlight w:val="none"/>
        </w:rPr>
        <w:t>供应商全称：（盖章）                              法定代表人（或授权代表）：（签字）</w:t>
      </w:r>
    </w:p>
    <w:p w14:paraId="1524256C">
      <w:pPr>
        <w:ind w:firstLine="7980" w:firstLineChars="3800"/>
        <w:jc w:val="left"/>
        <w:rPr>
          <w:rFonts w:hint="eastAsia"/>
          <w:highlight w:val="none"/>
          <w:lang w:val="zh-CN"/>
        </w:rPr>
        <w:sectPr>
          <w:pgSz w:w="16838" w:h="11906" w:orient="landscape"/>
          <w:pgMar w:top="1418" w:right="1418" w:bottom="1134" w:left="1418" w:header="851" w:footer="851" w:gutter="0"/>
          <w:pgNumType w:fmt="decimal"/>
          <w:cols w:space="720" w:num="1"/>
        </w:sectPr>
      </w:pPr>
      <w:r>
        <w:rPr>
          <w:rFonts w:hint="eastAsia"/>
          <w:highlight w:val="none"/>
          <w:lang w:val="zh-CN"/>
        </w:rPr>
        <w:t>日期：</w:t>
      </w:r>
      <w:r>
        <w:rPr>
          <w:rFonts w:hint="eastAsia"/>
          <w:highlight w:val="none"/>
          <w:u w:val="single"/>
        </w:rPr>
        <w:t xml:space="preserve">     </w:t>
      </w:r>
      <w:r>
        <w:rPr>
          <w:rFonts w:hint="eastAsia"/>
          <w:highlight w:val="none"/>
          <w:lang w:val="zh-CN"/>
        </w:rPr>
        <w:t>年</w:t>
      </w:r>
      <w:r>
        <w:rPr>
          <w:rFonts w:hint="eastAsia"/>
          <w:highlight w:val="none"/>
          <w:u w:val="single"/>
          <w:lang w:val="zh-CN"/>
        </w:rPr>
        <w:t xml:space="preserve">  </w:t>
      </w:r>
      <w:r>
        <w:rPr>
          <w:rFonts w:hint="eastAsia"/>
          <w:highlight w:val="none"/>
          <w:u w:val="single"/>
        </w:rPr>
        <w:t xml:space="preserve"> </w:t>
      </w:r>
      <w:r>
        <w:rPr>
          <w:rFonts w:hint="eastAsia"/>
          <w:highlight w:val="none"/>
          <w:lang w:val="zh-CN"/>
        </w:rPr>
        <w:t>月</w:t>
      </w:r>
      <w:r>
        <w:rPr>
          <w:rFonts w:hint="eastAsia"/>
          <w:highlight w:val="none"/>
          <w:u w:val="single"/>
          <w:lang w:val="zh-CN"/>
        </w:rPr>
        <w:t xml:space="preserve"> </w:t>
      </w:r>
      <w:r>
        <w:rPr>
          <w:rFonts w:hint="eastAsia"/>
          <w:highlight w:val="none"/>
          <w:u w:val="single"/>
        </w:rPr>
        <w:t xml:space="preserve"> </w:t>
      </w:r>
      <w:r>
        <w:rPr>
          <w:rFonts w:hint="eastAsia"/>
          <w:highlight w:val="none"/>
          <w:u w:val="single"/>
          <w:lang w:val="zh-CN"/>
        </w:rPr>
        <w:t xml:space="preserve"> </w:t>
      </w:r>
      <w:r>
        <w:rPr>
          <w:rFonts w:hint="eastAsia"/>
          <w:highlight w:val="none"/>
          <w:lang w:val="zh-CN"/>
        </w:rPr>
        <w:t>日</w:t>
      </w:r>
    </w:p>
    <w:bookmarkEnd w:id="571"/>
    <w:bookmarkEnd w:id="572"/>
    <w:bookmarkEnd w:id="573"/>
    <w:bookmarkEnd w:id="574"/>
    <w:p w14:paraId="24C4644C">
      <w:pPr>
        <w:spacing w:before="600" w:beforeLines="250" w:line="480" w:lineRule="auto"/>
        <w:jc w:val="center"/>
        <w:rPr>
          <w:rFonts w:hint="eastAsia" w:ascii="方正小标宋简体" w:eastAsia="方正小标宋简体"/>
          <w:bCs/>
          <w:sz w:val="48"/>
          <w:szCs w:val="48"/>
          <w:highlight w:val="none"/>
        </w:rPr>
      </w:pPr>
    </w:p>
    <w:p w14:paraId="3D9ED2CA">
      <w:pPr>
        <w:spacing w:before="600" w:beforeLines="250" w:line="480" w:lineRule="auto"/>
        <w:jc w:val="center"/>
        <w:rPr>
          <w:rFonts w:ascii="方正小标宋简体" w:eastAsia="方正小标宋简体"/>
          <w:bCs/>
          <w:sz w:val="44"/>
          <w:szCs w:val="44"/>
          <w:highlight w:val="none"/>
        </w:rPr>
      </w:pPr>
      <w:r>
        <w:rPr>
          <w:rFonts w:hint="eastAsia" w:ascii="方正小标宋简体" w:eastAsia="方正小标宋简体"/>
          <w:bCs/>
          <w:sz w:val="48"/>
          <w:szCs w:val="48"/>
          <w:highlight w:val="none"/>
        </w:rPr>
        <w:t>军队物资类项目竞争性谈判</w:t>
      </w:r>
    </w:p>
    <w:p w14:paraId="1B576E37">
      <w:pPr>
        <w:spacing w:after="480" w:afterLines="200"/>
        <w:jc w:val="center"/>
        <w:rPr>
          <w:rFonts w:ascii="方正小标宋简体" w:eastAsia="方正小标宋简体"/>
          <w:bCs/>
          <w:highlight w:val="none"/>
        </w:rPr>
      </w:pPr>
      <w:r>
        <w:rPr>
          <w:rFonts w:hint="eastAsia" w:ascii="方正小标宋简体" w:eastAsia="方正小标宋简体"/>
          <w:bCs/>
          <w:sz w:val="84"/>
          <w:szCs w:val="84"/>
          <w:highlight w:val="none"/>
        </w:rPr>
        <w:t>报 价 文 件</w:t>
      </w:r>
    </w:p>
    <w:p w14:paraId="2554FD6A">
      <w:pPr>
        <w:keepNext/>
        <w:keepLines/>
        <w:spacing w:before="260" w:after="260" w:line="416" w:lineRule="auto"/>
        <w:jc w:val="center"/>
        <w:outlineLvl w:val="2"/>
        <w:rPr>
          <w:rFonts w:ascii="方正小标宋简体" w:eastAsia="方正小标宋简体"/>
          <w:bCs/>
          <w:sz w:val="52"/>
          <w:szCs w:val="52"/>
          <w:highlight w:val="none"/>
        </w:rPr>
      </w:pPr>
      <w:bookmarkStart w:id="581" w:name="_Toc29360"/>
      <w:bookmarkStart w:id="582" w:name="_Toc152058278"/>
      <w:bookmarkStart w:id="583" w:name="_Toc15647"/>
      <w:bookmarkStart w:id="584" w:name="_Toc3119"/>
      <w:bookmarkStart w:id="585" w:name="_Toc11533"/>
      <w:bookmarkStart w:id="586" w:name="_Toc23604"/>
      <w:bookmarkStart w:id="587" w:name="_Toc1017"/>
      <w:r>
        <w:rPr>
          <w:rFonts w:hint="eastAsia" w:ascii="方正小标宋简体" w:eastAsia="方正小标宋简体"/>
          <w:bCs/>
          <w:sz w:val="52"/>
          <w:szCs w:val="52"/>
          <w:highlight w:val="none"/>
        </w:rPr>
        <w:t>二、商务技术文件</w:t>
      </w:r>
      <w:bookmarkEnd w:id="581"/>
      <w:bookmarkEnd w:id="582"/>
      <w:bookmarkEnd w:id="583"/>
      <w:bookmarkEnd w:id="584"/>
      <w:bookmarkEnd w:id="585"/>
      <w:bookmarkEnd w:id="586"/>
      <w:bookmarkEnd w:id="587"/>
    </w:p>
    <w:p w14:paraId="7C75FEF7">
      <w:pPr>
        <w:adjustRightInd w:val="0"/>
        <w:snapToGrid w:val="0"/>
        <w:spacing w:line="360" w:lineRule="auto"/>
        <w:rPr>
          <w:rFonts w:ascii="方正小标宋简体" w:hAnsi="黑体" w:eastAsia="方正小标宋简体"/>
          <w:bCs/>
          <w:sz w:val="32"/>
          <w:szCs w:val="32"/>
          <w:highlight w:val="none"/>
        </w:rPr>
      </w:pPr>
    </w:p>
    <w:p w14:paraId="56596816">
      <w:pPr>
        <w:spacing w:line="560" w:lineRule="exact"/>
        <w:ind w:firstLine="2160" w:firstLineChars="600"/>
        <w:rPr>
          <w:rFonts w:ascii="方正小标宋简体" w:eastAsia="方正小标宋简体"/>
          <w:bCs/>
          <w:sz w:val="36"/>
          <w:szCs w:val="36"/>
          <w:highlight w:val="none"/>
        </w:rPr>
      </w:pPr>
      <w:r>
        <w:rPr>
          <w:rFonts w:hint="eastAsia" w:ascii="方正小标宋简体" w:eastAsia="方正小标宋简体"/>
          <w:bCs/>
          <w:sz w:val="36"/>
          <w:szCs w:val="36"/>
          <w:highlight w:val="none"/>
        </w:rPr>
        <w:t>项目名称：</w:t>
      </w:r>
      <w:r>
        <w:rPr>
          <w:rFonts w:hint="eastAsia" w:ascii="方正小标宋简体" w:eastAsia="方正小标宋简体"/>
          <w:bCs/>
          <w:sz w:val="36"/>
          <w:szCs w:val="36"/>
          <w:highlight w:val="none"/>
          <w:u w:val="single"/>
        </w:rPr>
        <w:t xml:space="preserve">                </w:t>
      </w:r>
    </w:p>
    <w:p w14:paraId="3E48262F">
      <w:pPr>
        <w:spacing w:line="560" w:lineRule="exact"/>
        <w:ind w:firstLine="2160" w:firstLineChars="600"/>
        <w:rPr>
          <w:rFonts w:ascii="方正小标宋简体" w:eastAsia="方正小标宋简体"/>
          <w:bCs/>
          <w:sz w:val="36"/>
          <w:szCs w:val="36"/>
          <w:highlight w:val="none"/>
        </w:rPr>
      </w:pPr>
      <w:r>
        <w:rPr>
          <w:rFonts w:hint="eastAsia" w:ascii="方正小标宋简体" w:eastAsia="方正小标宋简体"/>
          <w:bCs/>
          <w:sz w:val="36"/>
          <w:szCs w:val="36"/>
          <w:highlight w:val="none"/>
        </w:rPr>
        <w:t>项目编号：</w:t>
      </w:r>
      <w:r>
        <w:rPr>
          <w:rFonts w:hint="eastAsia" w:ascii="方正小标宋简体" w:eastAsia="方正小标宋简体"/>
          <w:bCs/>
          <w:sz w:val="36"/>
          <w:szCs w:val="36"/>
          <w:highlight w:val="none"/>
          <w:u w:val="single"/>
        </w:rPr>
        <w:t xml:space="preserve">                </w:t>
      </w:r>
    </w:p>
    <w:p w14:paraId="0457BC35">
      <w:pPr>
        <w:spacing w:line="560" w:lineRule="exact"/>
        <w:ind w:firstLine="2160" w:firstLineChars="600"/>
        <w:rPr>
          <w:rFonts w:ascii="方正小标宋简体" w:eastAsia="方正小标宋简体"/>
          <w:bCs/>
          <w:sz w:val="36"/>
          <w:szCs w:val="36"/>
          <w:highlight w:val="none"/>
        </w:rPr>
      </w:pPr>
      <w:r>
        <w:rPr>
          <w:rFonts w:hint="eastAsia" w:ascii="方正小标宋简体" w:eastAsia="方正小标宋简体"/>
          <w:bCs/>
          <w:sz w:val="36"/>
          <w:szCs w:val="36"/>
          <w:highlight w:val="none"/>
        </w:rPr>
        <w:t xml:space="preserve">包 </w:t>
      </w:r>
      <w:r>
        <w:rPr>
          <w:rFonts w:ascii="方正小标宋简体" w:eastAsia="方正小标宋简体"/>
          <w:bCs/>
          <w:sz w:val="36"/>
          <w:szCs w:val="36"/>
          <w:highlight w:val="none"/>
        </w:rPr>
        <w:t xml:space="preserve">   </w:t>
      </w:r>
      <w:r>
        <w:rPr>
          <w:rFonts w:hint="eastAsia" w:ascii="方正小标宋简体" w:eastAsia="方正小标宋简体"/>
          <w:bCs/>
          <w:sz w:val="36"/>
          <w:szCs w:val="36"/>
          <w:highlight w:val="none"/>
        </w:rPr>
        <w:t>号：</w:t>
      </w:r>
      <w:r>
        <w:rPr>
          <w:rFonts w:hint="eastAsia" w:ascii="方正小标宋简体" w:eastAsia="方正小标宋简体"/>
          <w:bCs/>
          <w:sz w:val="36"/>
          <w:szCs w:val="36"/>
          <w:highlight w:val="none"/>
          <w:u w:val="single"/>
        </w:rPr>
        <w:t xml:space="preserve">                </w:t>
      </w:r>
    </w:p>
    <w:p w14:paraId="1C4217E1">
      <w:pPr>
        <w:jc w:val="center"/>
        <w:rPr>
          <w:rFonts w:ascii="方正小标宋简体" w:eastAsia="方正小标宋简体"/>
          <w:bCs/>
          <w:sz w:val="36"/>
          <w:szCs w:val="36"/>
          <w:highlight w:val="none"/>
        </w:rPr>
      </w:pPr>
    </w:p>
    <w:p w14:paraId="3813C206">
      <w:pPr>
        <w:jc w:val="center"/>
        <w:rPr>
          <w:rFonts w:ascii="方正小标宋简体" w:eastAsia="方正小标宋简体"/>
          <w:bCs/>
          <w:sz w:val="36"/>
          <w:szCs w:val="36"/>
          <w:highlight w:val="none"/>
        </w:rPr>
      </w:pPr>
    </w:p>
    <w:p w14:paraId="3BC9DA07">
      <w:pPr>
        <w:jc w:val="center"/>
        <w:rPr>
          <w:rFonts w:ascii="方正小标宋简体" w:eastAsia="方正小标宋简体"/>
          <w:bCs/>
          <w:sz w:val="36"/>
          <w:szCs w:val="36"/>
          <w:highlight w:val="none"/>
        </w:rPr>
      </w:pPr>
    </w:p>
    <w:p w14:paraId="418C7CA7">
      <w:pPr>
        <w:ind w:firstLine="720" w:firstLineChars="200"/>
        <w:jc w:val="center"/>
        <w:rPr>
          <w:rFonts w:ascii="方正小标宋简体" w:eastAsia="方正小标宋简体"/>
          <w:bCs/>
          <w:sz w:val="36"/>
          <w:szCs w:val="36"/>
          <w:highlight w:val="none"/>
        </w:rPr>
      </w:pPr>
      <w:r>
        <w:rPr>
          <w:rFonts w:hint="eastAsia" w:ascii="方正小标宋简体" w:eastAsia="方正小标宋简体"/>
          <w:bCs/>
          <w:sz w:val="36"/>
          <w:szCs w:val="36"/>
          <w:highlight w:val="none"/>
        </w:rPr>
        <w:t>报价供应商：</w:t>
      </w:r>
      <w:r>
        <w:rPr>
          <w:rFonts w:hint="eastAsia" w:ascii="方正小标宋简体" w:eastAsia="方正小标宋简体"/>
          <w:bCs/>
          <w:sz w:val="36"/>
          <w:szCs w:val="36"/>
          <w:highlight w:val="none"/>
          <w:u w:val="single"/>
        </w:rPr>
        <w:t xml:space="preserve">                   </w:t>
      </w:r>
      <w:r>
        <w:rPr>
          <w:rFonts w:hint="eastAsia" w:ascii="方正小标宋简体" w:eastAsia="方正小标宋简体"/>
          <w:bCs/>
          <w:sz w:val="36"/>
          <w:szCs w:val="36"/>
          <w:highlight w:val="none"/>
        </w:rPr>
        <w:t>（盖章）</w:t>
      </w:r>
    </w:p>
    <w:p w14:paraId="3688B42C">
      <w:pPr>
        <w:spacing w:before="240" w:beforeLines="100"/>
        <w:jc w:val="center"/>
        <w:rPr>
          <w:rFonts w:ascii="方正小标宋简体" w:hAnsi="宋体" w:eastAsia="方正小标宋简体"/>
          <w:bCs/>
          <w:highlight w:val="none"/>
        </w:rPr>
      </w:pPr>
      <w:r>
        <w:rPr>
          <w:rFonts w:hint="eastAsia" w:ascii="方正小标宋简体" w:eastAsia="方正小标宋简体"/>
          <w:bCs/>
          <w:sz w:val="36"/>
          <w:szCs w:val="36"/>
          <w:highlight w:val="none"/>
          <w:u w:val="single"/>
        </w:rPr>
        <w:t xml:space="preserve">    </w:t>
      </w:r>
      <w:r>
        <w:rPr>
          <w:rFonts w:hint="eastAsia" w:ascii="方正小标宋简体" w:eastAsia="方正小标宋简体"/>
          <w:bCs/>
          <w:sz w:val="36"/>
          <w:szCs w:val="36"/>
          <w:highlight w:val="none"/>
        </w:rPr>
        <w:t>年</w:t>
      </w:r>
      <w:r>
        <w:rPr>
          <w:rFonts w:hint="eastAsia" w:ascii="方正小标宋简体" w:eastAsia="方正小标宋简体"/>
          <w:bCs/>
          <w:sz w:val="36"/>
          <w:szCs w:val="36"/>
          <w:highlight w:val="none"/>
          <w:u w:val="single"/>
        </w:rPr>
        <w:t xml:space="preserve">   </w:t>
      </w:r>
      <w:r>
        <w:rPr>
          <w:rFonts w:hint="eastAsia" w:ascii="方正小标宋简体" w:eastAsia="方正小标宋简体"/>
          <w:bCs/>
          <w:sz w:val="36"/>
          <w:szCs w:val="36"/>
          <w:highlight w:val="none"/>
        </w:rPr>
        <w:t>月</w:t>
      </w:r>
      <w:r>
        <w:rPr>
          <w:rFonts w:hint="eastAsia" w:ascii="方正小标宋简体" w:eastAsia="方正小标宋简体"/>
          <w:bCs/>
          <w:sz w:val="36"/>
          <w:szCs w:val="36"/>
          <w:highlight w:val="none"/>
          <w:u w:val="single"/>
        </w:rPr>
        <w:t xml:space="preserve">   </w:t>
      </w:r>
      <w:r>
        <w:rPr>
          <w:rFonts w:hint="eastAsia" w:ascii="方正小标宋简体" w:eastAsia="方正小标宋简体"/>
          <w:bCs/>
          <w:sz w:val="36"/>
          <w:szCs w:val="36"/>
          <w:highlight w:val="none"/>
        </w:rPr>
        <w:t>日</w:t>
      </w:r>
    </w:p>
    <w:p w14:paraId="769E6D1D">
      <w:pPr>
        <w:spacing w:before="240" w:beforeLines="100"/>
        <w:jc w:val="center"/>
        <w:rPr>
          <w:rFonts w:ascii="方正小标宋简体" w:eastAsia="方正小标宋简体"/>
          <w:bCs/>
          <w:sz w:val="36"/>
          <w:szCs w:val="36"/>
          <w:highlight w:val="none"/>
        </w:rPr>
      </w:pPr>
    </w:p>
    <w:p w14:paraId="590A34B7">
      <w:pPr>
        <w:pStyle w:val="6"/>
        <w:spacing w:before="120" w:beforeLines="50" w:after="120" w:afterLines="50" w:line="560" w:lineRule="exact"/>
        <w:rPr>
          <w:b w:val="0"/>
          <w:highlight w:val="none"/>
          <w:lang w:val="zh-CN"/>
        </w:rPr>
      </w:pPr>
      <w:bookmarkStart w:id="588" w:name="_Toc112768462"/>
      <w:bookmarkStart w:id="589" w:name="_Toc32262"/>
      <w:bookmarkStart w:id="590" w:name="_Toc13416"/>
      <w:bookmarkStart w:id="591" w:name="_Toc31275"/>
      <w:bookmarkStart w:id="592" w:name="_Toc5425"/>
      <w:bookmarkStart w:id="593" w:name="_Toc19489"/>
      <w:r>
        <w:rPr>
          <w:rFonts w:hint="eastAsia"/>
          <w:b w:val="0"/>
          <w:highlight w:val="none"/>
        </w:rPr>
        <w:t>附件</w:t>
      </w:r>
      <w:r>
        <w:rPr>
          <w:b w:val="0"/>
          <w:highlight w:val="none"/>
        </w:rPr>
        <w:t xml:space="preserve">2-1 </w:t>
      </w:r>
      <w:r>
        <w:rPr>
          <w:rFonts w:hint="eastAsia"/>
          <w:b w:val="0"/>
          <w:highlight w:val="none"/>
        </w:rPr>
        <w:t>符合性审查索引表</w:t>
      </w:r>
      <w:bookmarkEnd w:id="588"/>
      <w:bookmarkEnd w:id="589"/>
      <w:bookmarkEnd w:id="590"/>
      <w:bookmarkEnd w:id="591"/>
      <w:bookmarkEnd w:id="592"/>
      <w:bookmarkEnd w:id="593"/>
    </w:p>
    <w:p w14:paraId="5D1393AC">
      <w:pPr>
        <w:spacing w:before="120" w:beforeLines="50" w:after="120" w:afterLines="50" w:line="560" w:lineRule="exact"/>
        <w:jc w:val="center"/>
        <w:rPr>
          <w:rFonts w:ascii="黑体" w:hAnsi="黑体" w:eastAsia="黑体" w:cs="黑体"/>
          <w:bCs/>
          <w:sz w:val="36"/>
          <w:szCs w:val="36"/>
          <w:highlight w:val="none"/>
        </w:rPr>
      </w:pPr>
      <w:r>
        <w:rPr>
          <w:rFonts w:hint="eastAsia" w:ascii="黑体" w:hAnsi="黑体" w:eastAsia="黑体" w:cs="黑体"/>
          <w:bCs/>
          <w:sz w:val="36"/>
          <w:szCs w:val="36"/>
          <w:highlight w:val="none"/>
        </w:rPr>
        <w:t>符合性审查索引表</w:t>
      </w:r>
    </w:p>
    <w:p w14:paraId="2F7DB266">
      <w:pPr>
        <w:spacing w:line="400" w:lineRule="exact"/>
        <w:rPr>
          <w:rFonts w:ascii="黑体" w:hAnsi="黑体" w:eastAsia="黑体"/>
          <w:bCs/>
          <w:sz w:val="28"/>
          <w:szCs w:val="28"/>
          <w:highlight w:val="none"/>
        </w:rPr>
      </w:pPr>
      <w:r>
        <w:rPr>
          <w:rFonts w:hint="eastAsia" w:ascii="黑体" w:hAnsi="黑体" w:eastAsia="黑体"/>
          <w:bCs/>
          <w:sz w:val="28"/>
          <w:szCs w:val="28"/>
          <w:highlight w:val="none"/>
        </w:rPr>
        <w:t>报价供应商务必在商务技术文件正文前制作本索引表。</w:t>
      </w:r>
    </w:p>
    <w:tbl>
      <w:tblPr>
        <w:tblStyle w:val="42"/>
        <w:tblW w:w="5000" w:type="pct"/>
        <w:jc w:val="center"/>
        <w:tblLayout w:type="autofit"/>
        <w:tblCellMar>
          <w:top w:w="0" w:type="dxa"/>
          <w:left w:w="108" w:type="dxa"/>
          <w:bottom w:w="0" w:type="dxa"/>
          <w:right w:w="108" w:type="dxa"/>
        </w:tblCellMar>
      </w:tblPr>
      <w:tblGrid>
        <w:gridCol w:w="959"/>
        <w:gridCol w:w="5386"/>
        <w:gridCol w:w="3225"/>
      </w:tblGrid>
      <w:tr w14:paraId="0EE13EE0">
        <w:tblPrEx>
          <w:tblCellMar>
            <w:top w:w="0" w:type="dxa"/>
            <w:left w:w="108" w:type="dxa"/>
            <w:bottom w:w="0" w:type="dxa"/>
            <w:right w:w="108" w:type="dxa"/>
          </w:tblCellMar>
        </w:tblPrEx>
        <w:trPr>
          <w:trHeight w:val="549" w:hRule="atLeast"/>
          <w:jc w:val="center"/>
        </w:trPr>
        <w:tc>
          <w:tcPr>
            <w:tcW w:w="501" w:type="pct"/>
            <w:vMerge w:val="restart"/>
            <w:tcBorders>
              <w:top w:val="single" w:color="auto" w:sz="4" w:space="0"/>
              <w:left w:val="single" w:color="auto" w:sz="4" w:space="0"/>
              <w:right w:val="single" w:color="auto" w:sz="4" w:space="0"/>
            </w:tcBorders>
            <w:vAlign w:val="center"/>
          </w:tcPr>
          <w:p w14:paraId="4FAB22BF">
            <w:pPr>
              <w:jc w:val="center"/>
              <w:rPr>
                <w:rFonts w:ascii="宋体" w:hAnsi="宋体" w:cs="宋体"/>
                <w:bCs/>
                <w:sz w:val="24"/>
                <w:highlight w:val="none"/>
              </w:rPr>
            </w:pPr>
            <w:r>
              <w:rPr>
                <w:rFonts w:hint="eastAsia" w:ascii="宋体" w:hAnsi="宋体" w:cs="宋体"/>
                <w:bCs/>
                <w:sz w:val="24"/>
                <w:highlight w:val="none"/>
              </w:rPr>
              <w:t>序号</w:t>
            </w:r>
          </w:p>
        </w:tc>
        <w:tc>
          <w:tcPr>
            <w:tcW w:w="2814" w:type="pct"/>
            <w:vMerge w:val="restart"/>
            <w:tcBorders>
              <w:top w:val="single" w:color="auto" w:sz="4" w:space="0"/>
              <w:left w:val="nil"/>
              <w:right w:val="single" w:color="auto" w:sz="4" w:space="0"/>
            </w:tcBorders>
            <w:vAlign w:val="center"/>
          </w:tcPr>
          <w:p w14:paraId="560C67BE">
            <w:pPr>
              <w:jc w:val="center"/>
              <w:rPr>
                <w:rFonts w:ascii="宋体" w:hAnsi="宋体" w:cs="宋体"/>
                <w:bCs/>
                <w:sz w:val="24"/>
                <w:highlight w:val="none"/>
              </w:rPr>
            </w:pPr>
            <w:r>
              <w:rPr>
                <w:rFonts w:hint="eastAsia" w:ascii="宋体" w:hAnsi="宋体" w:cs="宋体"/>
                <w:bCs/>
                <w:sz w:val="24"/>
                <w:highlight w:val="none"/>
              </w:rPr>
              <w:t>符合性审查项目</w:t>
            </w:r>
          </w:p>
        </w:tc>
        <w:tc>
          <w:tcPr>
            <w:tcW w:w="1685" w:type="pct"/>
            <w:vMerge w:val="restart"/>
            <w:tcBorders>
              <w:top w:val="single" w:color="auto" w:sz="4" w:space="0"/>
              <w:left w:val="nil"/>
              <w:right w:val="single" w:color="auto" w:sz="4" w:space="0"/>
            </w:tcBorders>
            <w:vAlign w:val="center"/>
          </w:tcPr>
          <w:p w14:paraId="526AD2C4">
            <w:pPr>
              <w:jc w:val="center"/>
              <w:rPr>
                <w:rFonts w:ascii="宋体" w:hAnsi="宋体" w:cs="宋体"/>
                <w:bCs/>
                <w:sz w:val="24"/>
                <w:highlight w:val="none"/>
              </w:rPr>
            </w:pPr>
            <w:r>
              <w:rPr>
                <w:rFonts w:hint="eastAsia" w:ascii="宋体" w:hAnsi="宋体" w:cs="宋体"/>
                <w:bCs/>
                <w:sz w:val="24"/>
                <w:highlight w:val="none"/>
              </w:rPr>
              <w:t>文件名称</w:t>
            </w:r>
            <w:r>
              <w:rPr>
                <w:rFonts w:hint="eastAsia" w:ascii="宋体" w:hAnsi="宋体"/>
                <w:bCs/>
                <w:sz w:val="24"/>
                <w:highlight w:val="none"/>
              </w:rPr>
              <w:t>∕</w:t>
            </w:r>
            <w:r>
              <w:rPr>
                <w:rFonts w:hint="eastAsia" w:ascii="宋体" w:hAnsi="宋体" w:cs="宋体"/>
                <w:bCs/>
                <w:sz w:val="24"/>
                <w:highlight w:val="none"/>
              </w:rPr>
              <w:t>页码</w:t>
            </w:r>
          </w:p>
        </w:tc>
      </w:tr>
      <w:tr w14:paraId="4897A3D5">
        <w:tblPrEx>
          <w:tblCellMar>
            <w:top w:w="0" w:type="dxa"/>
            <w:left w:w="108" w:type="dxa"/>
            <w:bottom w:w="0" w:type="dxa"/>
            <w:right w:w="108" w:type="dxa"/>
          </w:tblCellMar>
        </w:tblPrEx>
        <w:trPr>
          <w:trHeight w:val="311" w:hRule="atLeast"/>
          <w:jc w:val="center"/>
        </w:trPr>
        <w:tc>
          <w:tcPr>
            <w:tcW w:w="501" w:type="pct"/>
            <w:vMerge w:val="continue"/>
            <w:tcBorders>
              <w:left w:val="single" w:color="auto" w:sz="4" w:space="0"/>
              <w:bottom w:val="single" w:color="auto" w:sz="4" w:space="0"/>
              <w:right w:val="single" w:color="auto" w:sz="4" w:space="0"/>
            </w:tcBorders>
            <w:vAlign w:val="center"/>
          </w:tcPr>
          <w:p w14:paraId="73DD4AAC">
            <w:pPr>
              <w:jc w:val="center"/>
              <w:rPr>
                <w:rFonts w:ascii="宋体" w:hAnsi="宋体" w:cs="宋体"/>
                <w:bCs/>
                <w:sz w:val="24"/>
                <w:highlight w:val="none"/>
              </w:rPr>
            </w:pPr>
          </w:p>
        </w:tc>
        <w:tc>
          <w:tcPr>
            <w:tcW w:w="2814" w:type="pct"/>
            <w:vMerge w:val="continue"/>
            <w:tcBorders>
              <w:left w:val="nil"/>
              <w:bottom w:val="single" w:color="auto" w:sz="4" w:space="0"/>
              <w:right w:val="single" w:color="auto" w:sz="4" w:space="0"/>
            </w:tcBorders>
            <w:vAlign w:val="center"/>
          </w:tcPr>
          <w:p w14:paraId="50BF86CE">
            <w:pPr>
              <w:jc w:val="center"/>
              <w:rPr>
                <w:rFonts w:ascii="宋体" w:hAnsi="宋体" w:cs="宋体"/>
                <w:bCs/>
                <w:sz w:val="24"/>
                <w:highlight w:val="none"/>
              </w:rPr>
            </w:pPr>
          </w:p>
        </w:tc>
        <w:tc>
          <w:tcPr>
            <w:tcW w:w="1685" w:type="pct"/>
            <w:vMerge w:val="continue"/>
            <w:tcBorders>
              <w:left w:val="nil"/>
              <w:bottom w:val="single" w:color="auto" w:sz="4" w:space="0"/>
              <w:right w:val="single" w:color="auto" w:sz="4" w:space="0"/>
            </w:tcBorders>
            <w:vAlign w:val="center"/>
          </w:tcPr>
          <w:p w14:paraId="4B8F7655">
            <w:pPr>
              <w:jc w:val="center"/>
              <w:rPr>
                <w:rFonts w:ascii="宋体" w:hAnsi="宋体" w:cs="宋体"/>
                <w:bCs/>
                <w:sz w:val="24"/>
                <w:highlight w:val="none"/>
              </w:rPr>
            </w:pPr>
          </w:p>
        </w:tc>
      </w:tr>
      <w:tr w14:paraId="0B50AA03">
        <w:tblPrEx>
          <w:tblCellMar>
            <w:top w:w="0" w:type="dxa"/>
            <w:left w:w="108" w:type="dxa"/>
            <w:bottom w:w="0" w:type="dxa"/>
            <w:right w:w="108" w:type="dxa"/>
          </w:tblCellMar>
        </w:tblPrEx>
        <w:trPr>
          <w:trHeight w:val="836" w:hRule="exact"/>
          <w:jc w:val="center"/>
        </w:trPr>
        <w:tc>
          <w:tcPr>
            <w:tcW w:w="501" w:type="pct"/>
            <w:tcBorders>
              <w:top w:val="nil"/>
              <w:left w:val="single" w:color="auto" w:sz="4" w:space="0"/>
              <w:bottom w:val="single" w:color="auto" w:sz="4" w:space="0"/>
              <w:right w:val="single" w:color="auto" w:sz="4" w:space="0"/>
            </w:tcBorders>
            <w:vAlign w:val="center"/>
          </w:tcPr>
          <w:p w14:paraId="570A4BCF">
            <w:pPr>
              <w:jc w:val="center"/>
              <w:rPr>
                <w:rFonts w:asciiTheme="minorEastAsia" w:hAnsiTheme="minorEastAsia" w:eastAsiaTheme="minorEastAsia"/>
                <w:bCs/>
                <w:sz w:val="24"/>
                <w:highlight w:val="none"/>
              </w:rPr>
            </w:pPr>
            <w:r>
              <w:rPr>
                <w:rFonts w:asciiTheme="minorEastAsia" w:hAnsiTheme="minorEastAsia" w:eastAsiaTheme="minorEastAsia"/>
                <w:bCs/>
                <w:sz w:val="24"/>
                <w:highlight w:val="none"/>
              </w:rPr>
              <w:t>1</w:t>
            </w:r>
          </w:p>
        </w:tc>
        <w:tc>
          <w:tcPr>
            <w:tcW w:w="2814" w:type="pct"/>
            <w:tcBorders>
              <w:top w:val="nil"/>
              <w:left w:val="nil"/>
              <w:bottom w:val="single" w:color="auto" w:sz="4" w:space="0"/>
              <w:right w:val="single" w:color="auto" w:sz="4" w:space="0"/>
            </w:tcBorders>
            <w:vAlign w:val="center"/>
          </w:tcPr>
          <w:p w14:paraId="4EE570D4">
            <w:pPr>
              <w:jc w:val="center"/>
              <w:rPr>
                <w:rFonts w:asciiTheme="minorEastAsia" w:hAnsiTheme="minorEastAsia" w:eastAsiaTheme="minorEastAsia"/>
                <w:bCs/>
                <w:sz w:val="24"/>
                <w:highlight w:val="none"/>
              </w:rPr>
            </w:pPr>
          </w:p>
        </w:tc>
        <w:tc>
          <w:tcPr>
            <w:tcW w:w="1685" w:type="pct"/>
            <w:tcBorders>
              <w:top w:val="nil"/>
              <w:left w:val="nil"/>
              <w:bottom w:val="single" w:color="auto" w:sz="4" w:space="0"/>
              <w:right w:val="single" w:color="auto" w:sz="4" w:space="0"/>
            </w:tcBorders>
            <w:vAlign w:val="center"/>
          </w:tcPr>
          <w:p w14:paraId="710D9FE3">
            <w:pPr>
              <w:jc w:val="center"/>
              <w:rPr>
                <w:bCs/>
                <w:sz w:val="24"/>
                <w:highlight w:val="none"/>
              </w:rPr>
            </w:pPr>
            <w:r>
              <w:rPr>
                <w:bCs/>
                <w:sz w:val="24"/>
                <w:highlight w:val="none"/>
              </w:rPr>
              <w:t xml:space="preserve"> </w:t>
            </w:r>
          </w:p>
        </w:tc>
      </w:tr>
      <w:tr w14:paraId="579803B0">
        <w:tblPrEx>
          <w:tblCellMar>
            <w:top w:w="0" w:type="dxa"/>
            <w:left w:w="108" w:type="dxa"/>
            <w:bottom w:w="0" w:type="dxa"/>
            <w:right w:w="108" w:type="dxa"/>
          </w:tblCellMar>
        </w:tblPrEx>
        <w:trPr>
          <w:trHeight w:val="836" w:hRule="exact"/>
          <w:jc w:val="center"/>
        </w:trPr>
        <w:tc>
          <w:tcPr>
            <w:tcW w:w="501" w:type="pct"/>
            <w:tcBorders>
              <w:top w:val="nil"/>
              <w:left w:val="single" w:color="auto" w:sz="4" w:space="0"/>
              <w:bottom w:val="single" w:color="auto" w:sz="4" w:space="0"/>
              <w:right w:val="single" w:color="auto" w:sz="4" w:space="0"/>
            </w:tcBorders>
            <w:vAlign w:val="center"/>
          </w:tcPr>
          <w:p w14:paraId="74E637F7">
            <w:pPr>
              <w:jc w:val="center"/>
              <w:rPr>
                <w:rFonts w:asciiTheme="minorEastAsia" w:hAnsiTheme="minorEastAsia" w:eastAsiaTheme="minorEastAsia"/>
                <w:bCs/>
                <w:sz w:val="24"/>
                <w:highlight w:val="none"/>
              </w:rPr>
            </w:pPr>
            <w:r>
              <w:rPr>
                <w:rFonts w:asciiTheme="minorEastAsia" w:hAnsiTheme="minorEastAsia" w:eastAsiaTheme="minorEastAsia"/>
                <w:bCs/>
                <w:sz w:val="24"/>
                <w:highlight w:val="none"/>
              </w:rPr>
              <w:t>2</w:t>
            </w:r>
          </w:p>
        </w:tc>
        <w:tc>
          <w:tcPr>
            <w:tcW w:w="2814" w:type="pct"/>
            <w:tcBorders>
              <w:top w:val="nil"/>
              <w:left w:val="nil"/>
              <w:bottom w:val="single" w:color="auto" w:sz="4" w:space="0"/>
              <w:right w:val="single" w:color="auto" w:sz="4" w:space="0"/>
            </w:tcBorders>
            <w:vAlign w:val="center"/>
          </w:tcPr>
          <w:p w14:paraId="4334AFC8">
            <w:pPr>
              <w:jc w:val="center"/>
              <w:rPr>
                <w:rFonts w:asciiTheme="minorEastAsia" w:hAnsiTheme="minorEastAsia" w:eastAsiaTheme="minorEastAsia"/>
                <w:bCs/>
                <w:sz w:val="24"/>
                <w:highlight w:val="none"/>
              </w:rPr>
            </w:pPr>
          </w:p>
        </w:tc>
        <w:tc>
          <w:tcPr>
            <w:tcW w:w="1685" w:type="pct"/>
            <w:tcBorders>
              <w:top w:val="nil"/>
              <w:left w:val="nil"/>
              <w:bottom w:val="single" w:color="auto" w:sz="4" w:space="0"/>
              <w:right w:val="single" w:color="auto" w:sz="4" w:space="0"/>
            </w:tcBorders>
            <w:vAlign w:val="center"/>
          </w:tcPr>
          <w:p w14:paraId="0EAB406A">
            <w:pPr>
              <w:jc w:val="center"/>
              <w:rPr>
                <w:bCs/>
                <w:sz w:val="24"/>
                <w:highlight w:val="none"/>
              </w:rPr>
            </w:pPr>
            <w:r>
              <w:rPr>
                <w:bCs/>
                <w:sz w:val="24"/>
                <w:highlight w:val="none"/>
              </w:rPr>
              <w:t xml:space="preserve"> </w:t>
            </w:r>
          </w:p>
        </w:tc>
      </w:tr>
      <w:tr w14:paraId="318508BF">
        <w:tblPrEx>
          <w:tblCellMar>
            <w:top w:w="0" w:type="dxa"/>
            <w:left w:w="108" w:type="dxa"/>
            <w:bottom w:w="0" w:type="dxa"/>
            <w:right w:w="108" w:type="dxa"/>
          </w:tblCellMar>
        </w:tblPrEx>
        <w:trPr>
          <w:trHeight w:val="836" w:hRule="exact"/>
          <w:jc w:val="center"/>
        </w:trPr>
        <w:tc>
          <w:tcPr>
            <w:tcW w:w="501" w:type="pct"/>
            <w:tcBorders>
              <w:top w:val="nil"/>
              <w:left w:val="single" w:color="auto" w:sz="4" w:space="0"/>
              <w:bottom w:val="single" w:color="auto" w:sz="4" w:space="0"/>
              <w:right w:val="single" w:color="auto" w:sz="4" w:space="0"/>
            </w:tcBorders>
            <w:vAlign w:val="center"/>
          </w:tcPr>
          <w:p w14:paraId="59624225">
            <w:pPr>
              <w:jc w:val="center"/>
              <w:rPr>
                <w:rFonts w:asciiTheme="minorEastAsia" w:hAnsiTheme="minorEastAsia" w:eastAsiaTheme="minorEastAsia"/>
                <w:bCs/>
                <w:sz w:val="24"/>
                <w:highlight w:val="none"/>
              </w:rPr>
            </w:pPr>
            <w:r>
              <w:rPr>
                <w:rFonts w:asciiTheme="minorEastAsia" w:hAnsiTheme="minorEastAsia" w:eastAsiaTheme="minorEastAsia"/>
                <w:bCs/>
                <w:sz w:val="24"/>
                <w:highlight w:val="none"/>
              </w:rPr>
              <w:t>3</w:t>
            </w:r>
          </w:p>
        </w:tc>
        <w:tc>
          <w:tcPr>
            <w:tcW w:w="2814" w:type="pct"/>
            <w:tcBorders>
              <w:top w:val="nil"/>
              <w:left w:val="nil"/>
              <w:bottom w:val="single" w:color="auto" w:sz="4" w:space="0"/>
              <w:right w:val="single" w:color="auto" w:sz="4" w:space="0"/>
            </w:tcBorders>
            <w:vAlign w:val="center"/>
          </w:tcPr>
          <w:p w14:paraId="117458D3">
            <w:pPr>
              <w:jc w:val="center"/>
              <w:rPr>
                <w:rFonts w:asciiTheme="minorEastAsia" w:hAnsiTheme="minorEastAsia" w:eastAsiaTheme="minorEastAsia"/>
                <w:bCs/>
                <w:sz w:val="24"/>
                <w:highlight w:val="none"/>
              </w:rPr>
            </w:pPr>
          </w:p>
        </w:tc>
        <w:tc>
          <w:tcPr>
            <w:tcW w:w="1685" w:type="pct"/>
            <w:tcBorders>
              <w:top w:val="nil"/>
              <w:left w:val="nil"/>
              <w:bottom w:val="single" w:color="auto" w:sz="4" w:space="0"/>
              <w:right w:val="single" w:color="auto" w:sz="4" w:space="0"/>
            </w:tcBorders>
            <w:vAlign w:val="center"/>
          </w:tcPr>
          <w:p w14:paraId="07B3D161">
            <w:pPr>
              <w:jc w:val="center"/>
              <w:rPr>
                <w:bCs/>
                <w:sz w:val="24"/>
                <w:highlight w:val="none"/>
              </w:rPr>
            </w:pPr>
            <w:r>
              <w:rPr>
                <w:bCs/>
                <w:sz w:val="24"/>
                <w:highlight w:val="none"/>
              </w:rPr>
              <w:t xml:space="preserve"> </w:t>
            </w:r>
          </w:p>
        </w:tc>
      </w:tr>
      <w:tr w14:paraId="227E22D4">
        <w:tblPrEx>
          <w:tblCellMar>
            <w:top w:w="0" w:type="dxa"/>
            <w:left w:w="108" w:type="dxa"/>
            <w:bottom w:w="0" w:type="dxa"/>
            <w:right w:w="108" w:type="dxa"/>
          </w:tblCellMar>
        </w:tblPrEx>
        <w:trPr>
          <w:trHeight w:val="836" w:hRule="exact"/>
          <w:jc w:val="center"/>
        </w:trPr>
        <w:tc>
          <w:tcPr>
            <w:tcW w:w="501" w:type="pct"/>
            <w:tcBorders>
              <w:top w:val="nil"/>
              <w:left w:val="single" w:color="auto" w:sz="4" w:space="0"/>
              <w:bottom w:val="single" w:color="auto" w:sz="4" w:space="0"/>
              <w:right w:val="single" w:color="auto" w:sz="4" w:space="0"/>
            </w:tcBorders>
            <w:vAlign w:val="center"/>
          </w:tcPr>
          <w:p w14:paraId="6021A053">
            <w:pPr>
              <w:jc w:val="center"/>
              <w:rPr>
                <w:rFonts w:asciiTheme="minorEastAsia" w:hAnsiTheme="minorEastAsia" w:eastAsiaTheme="minorEastAsia"/>
                <w:bCs/>
                <w:sz w:val="24"/>
                <w:highlight w:val="none"/>
              </w:rPr>
            </w:pPr>
            <w:r>
              <w:rPr>
                <w:rFonts w:asciiTheme="minorEastAsia" w:hAnsiTheme="minorEastAsia" w:eastAsiaTheme="minorEastAsia"/>
                <w:bCs/>
                <w:sz w:val="24"/>
                <w:highlight w:val="none"/>
              </w:rPr>
              <w:t>4</w:t>
            </w:r>
          </w:p>
        </w:tc>
        <w:tc>
          <w:tcPr>
            <w:tcW w:w="2814" w:type="pct"/>
            <w:tcBorders>
              <w:top w:val="nil"/>
              <w:left w:val="nil"/>
              <w:bottom w:val="single" w:color="auto" w:sz="4" w:space="0"/>
              <w:right w:val="single" w:color="auto" w:sz="4" w:space="0"/>
            </w:tcBorders>
            <w:vAlign w:val="center"/>
          </w:tcPr>
          <w:p w14:paraId="469F4D9B">
            <w:pPr>
              <w:jc w:val="center"/>
              <w:rPr>
                <w:rFonts w:asciiTheme="minorEastAsia" w:hAnsiTheme="minorEastAsia" w:eastAsiaTheme="minorEastAsia"/>
                <w:bCs/>
                <w:sz w:val="24"/>
                <w:highlight w:val="none"/>
              </w:rPr>
            </w:pPr>
          </w:p>
        </w:tc>
        <w:tc>
          <w:tcPr>
            <w:tcW w:w="1685" w:type="pct"/>
            <w:tcBorders>
              <w:top w:val="nil"/>
              <w:left w:val="nil"/>
              <w:bottom w:val="single" w:color="auto" w:sz="4" w:space="0"/>
              <w:right w:val="single" w:color="auto" w:sz="4" w:space="0"/>
            </w:tcBorders>
            <w:vAlign w:val="center"/>
          </w:tcPr>
          <w:p w14:paraId="35B2BD93">
            <w:pPr>
              <w:jc w:val="center"/>
              <w:rPr>
                <w:bCs/>
                <w:sz w:val="24"/>
                <w:highlight w:val="none"/>
              </w:rPr>
            </w:pPr>
          </w:p>
        </w:tc>
      </w:tr>
      <w:tr w14:paraId="011BF204">
        <w:tblPrEx>
          <w:tblCellMar>
            <w:top w:w="0" w:type="dxa"/>
            <w:left w:w="108" w:type="dxa"/>
            <w:bottom w:w="0" w:type="dxa"/>
            <w:right w:w="108" w:type="dxa"/>
          </w:tblCellMar>
        </w:tblPrEx>
        <w:trPr>
          <w:trHeight w:val="836" w:hRule="exact"/>
          <w:jc w:val="center"/>
        </w:trPr>
        <w:tc>
          <w:tcPr>
            <w:tcW w:w="501" w:type="pct"/>
            <w:tcBorders>
              <w:top w:val="single" w:color="auto" w:sz="4" w:space="0"/>
              <w:left w:val="single" w:color="auto" w:sz="4" w:space="0"/>
              <w:bottom w:val="single" w:color="auto" w:sz="4" w:space="0"/>
              <w:right w:val="single" w:color="auto" w:sz="4" w:space="0"/>
            </w:tcBorders>
            <w:vAlign w:val="center"/>
          </w:tcPr>
          <w:p w14:paraId="68E51DBA">
            <w:pPr>
              <w:jc w:val="center"/>
              <w:rPr>
                <w:bCs/>
                <w:sz w:val="24"/>
                <w:highlight w:val="none"/>
              </w:rPr>
            </w:pPr>
            <w:r>
              <w:rPr>
                <w:rFonts w:hint="eastAsia"/>
                <w:bCs/>
                <w:sz w:val="24"/>
                <w:highlight w:val="none"/>
              </w:rPr>
              <w:t>……</w:t>
            </w:r>
          </w:p>
        </w:tc>
        <w:tc>
          <w:tcPr>
            <w:tcW w:w="2814" w:type="pct"/>
            <w:tcBorders>
              <w:top w:val="single" w:color="auto" w:sz="4" w:space="0"/>
              <w:left w:val="nil"/>
              <w:bottom w:val="single" w:color="auto" w:sz="4" w:space="0"/>
              <w:right w:val="single" w:color="auto" w:sz="4" w:space="0"/>
            </w:tcBorders>
            <w:vAlign w:val="center"/>
          </w:tcPr>
          <w:p w14:paraId="21402902">
            <w:pPr>
              <w:jc w:val="center"/>
              <w:rPr>
                <w:bCs/>
                <w:sz w:val="24"/>
                <w:highlight w:val="none"/>
              </w:rPr>
            </w:pPr>
          </w:p>
        </w:tc>
        <w:tc>
          <w:tcPr>
            <w:tcW w:w="1685" w:type="pct"/>
            <w:tcBorders>
              <w:top w:val="single" w:color="auto" w:sz="4" w:space="0"/>
              <w:left w:val="nil"/>
              <w:bottom w:val="single" w:color="auto" w:sz="4" w:space="0"/>
              <w:right w:val="single" w:color="auto" w:sz="4" w:space="0"/>
            </w:tcBorders>
            <w:vAlign w:val="center"/>
          </w:tcPr>
          <w:p w14:paraId="408CC8B9">
            <w:pPr>
              <w:jc w:val="center"/>
              <w:rPr>
                <w:bCs/>
                <w:sz w:val="24"/>
                <w:highlight w:val="none"/>
              </w:rPr>
            </w:pPr>
            <w:r>
              <w:rPr>
                <w:bCs/>
                <w:sz w:val="24"/>
                <w:highlight w:val="none"/>
              </w:rPr>
              <w:t xml:space="preserve"> </w:t>
            </w:r>
          </w:p>
        </w:tc>
      </w:tr>
      <w:tr w14:paraId="556389AA">
        <w:tblPrEx>
          <w:tblCellMar>
            <w:top w:w="0" w:type="dxa"/>
            <w:left w:w="108" w:type="dxa"/>
            <w:bottom w:w="0" w:type="dxa"/>
            <w:right w:w="108" w:type="dxa"/>
          </w:tblCellMar>
        </w:tblPrEx>
        <w:trPr>
          <w:trHeight w:val="836" w:hRule="exact"/>
          <w:jc w:val="center"/>
        </w:trPr>
        <w:tc>
          <w:tcPr>
            <w:tcW w:w="501" w:type="pct"/>
            <w:tcBorders>
              <w:top w:val="single" w:color="auto" w:sz="4" w:space="0"/>
              <w:left w:val="single" w:color="auto" w:sz="4" w:space="0"/>
              <w:bottom w:val="single" w:color="auto" w:sz="4" w:space="0"/>
              <w:right w:val="single" w:color="auto" w:sz="4" w:space="0"/>
            </w:tcBorders>
            <w:vAlign w:val="center"/>
          </w:tcPr>
          <w:p w14:paraId="1F5135F6">
            <w:pPr>
              <w:jc w:val="center"/>
              <w:rPr>
                <w:bCs/>
                <w:sz w:val="24"/>
                <w:highlight w:val="none"/>
              </w:rPr>
            </w:pPr>
          </w:p>
        </w:tc>
        <w:tc>
          <w:tcPr>
            <w:tcW w:w="2814" w:type="pct"/>
            <w:tcBorders>
              <w:top w:val="single" w:color="auto" w:sz="4" w:space="0"/>
              <w:left w:val="nil"/>
              <w:bottom w:val="single" w:color="auto" w:sz="4" w:space="0"/>
              <w:right w:val="single" w:color="auto" w:sz="4" w:space="0"/>
            </w:tcBorders>
            <w:vAlign w:val="center"/>
          </w:tcPr>
          <w:p w14:paraId="0EF39F0E">
            <w:pPr>
              <w:jc w:val="center"/>
              <w:rPr>
                <w:bCs/>
                <w:sz w:val="24"/>
                <w:highlight w:val="none"/>
              </w:rPr>
            </w:pPr>
          </w:p>
        </w:tc>
        <w:tc>
          <w:tcPr>
            <w:tcW w:w="1685" w:type="pct"/>
            <w:tcBorders>
              <w:top w:val="single" w:color="auto" w:sz="4" w:space="0"/>
              <w:left w:val="nil"/>
              <w:bottom w:val="single" w:color="auto" w:sz="4" w:space="0"/>
              <w:right w:val="single" w:color="auto" w:sz="4" w:space="0"/>
            </w:tcBorders>
            <w:vAlign w:val="center"/>
          </w:tcPr>
          <w:p w14:paraId="4DA89B4B">
            <w:pPr>
              <w:jc w:val="center"/>
              <w:rPr>
                <w:bCs/>
                <w:sz w:val="24"/>
                <w:highlight w:val="none"/>
              </w:rPr>
            </w:pPr>
            <w:r>
              <w:rPr>
                <w:bCs/>
                <w:sz w:val="24"/>
                <w:highlight w:val="none"/>
              </w:rPr>
              <w:t xml:space="preserve"> </w:t>
            </w:r>
          </w:p>
        </w:tc>
      </w:tr>
      <w:tr w14:paraId="02A1B476">
        <w:tblPrEx>
          <w:tblCellMar>
            <w:top w:w="0" w:type="dxa"/>
            <w:left w:w="108" w:type="dxa"/>
            <w:bottom w:w="0" w:type="dxa"/>
            <w:right w:w="108" w:type="dxa"/>
          </w:tblCellMar>
        </w:tblPrEx>
        <w:trPr>
          <w:trHeight w:val="836" w:hRule="exact"/>
          <w:jc w:val="center"/>
        </w:trPr>
        <w:tc>
          <w:tcPr>
            <w:tcW w:w="501" w:type="pct"/>
            <w:tcBorders>
              <w:top w:val="single" w:color="auto" w:sz="4" w:space="0"/>
              <w:left w:val="single" w:color="auto" w:sz="4" w:space="0"/>
              <w:bottom w:val="single" w:color="auto" w:sz="4" w:space="0"/>
              <w:right w:val="single" w:color="auto" w:sz="4" w:space="0"/>
            </w:tcBorders>
            <w:vAlign w:val="center"/>
          </w:tcPr>
          <w:p w14:paraId="56378B74">
            <w:pPr>
              <w:jc w:val="center"/>
              <w:rPr>
                <w:bCs/>
                <w:sz w:val="24"/>
                <w:highlight w:val="none"/>
              </w:rPr>
            </w:pPr>
          </w:p>
        </w:tc>
        <w:tc>
          <w:tcPr>
            <w:tcW w:w="2814" w:type="pct"/>
            <w:tcBorders>
              <w:top w:val="single" w:color="auto" w:sz="4" w:space="0"/>
              <w:left w:val="single" w:color="auto" w:sz="4" w:space="0"/>
              <w:bottom w:val="single" w:color="auto" w:sz="4" w:space="0"/>
              <w:right w:val="single" w:color="auto" w:sz="4" w:space="0"/>
            </w:tcBorders>
            <w:vAlign w:val="center"/>
          </w:tcPr>
          <w:p w14:paraId="246D8E61">
            <w:pPr>
              <w:jc w:val="center"/>
              <w:rPr>
                <w:bCs/>
                <w:sz w:val="24"/>
                <w:highlight w:val="none"/>
              </w:rPr>
            </w:pPr>
          </w:p>
        </w:tc>
        <w:tc>
          <w:tcPr>
            <w:tcW w:w="1685" w:type="pct"/>
            <w:tcBorders>
              <w:top w:val="single" w:color="auto" w:sz="4" w:space="0"/>
              <w:left w:val="single" w:color="auto" w:sz="4" w:space="0"/>
              <w:bottom w:val="single" w:color="auto" w:sz="4" w:space="0"/>
              <w:right w:val="single" w:color="auto" w:sz="4" w:space="0"/>
            </w:tcBorders>
            <w:vAlign w:val="center"/>
          </w:tcPr>
          <w:p w14:paraId="6F218EB2">
            <w:pPr>
              <w:jc w:val="center"/>
              <w:rPr>
                <w:bCs/>
                <w:sz w:val="24"/>
                <w:highlight w:val="none"/>
              </w:rPr>
            </w:pPr>
            <w:r>
              <w:rPr>
                <w:bCs/>
                <w:sz w:val="24"/>
                <w:highlight w:val="none"/>
              </w:rPr>
              <w:t xml:space="preserve"> </w:t>
            </w:r>
          </w:p>
        </w:tc>
      </w:tr>
      <w:tr w14:paraId="18AF13C7">
        <w:tblPrEx>
          <w:tblCellMar>
            <w:top w:w="0" w:type="dxa"/>
            <w:left w:w="108" w:type="dxa"/>
            <w:bottom w:w="0" w:type="dxa"/>
            <w:right w:w="108" w:type="dxa"/>
          </w:tblCellMar>
        </w:tblPrEx>
        <w:trPr>
          <w:trHeight w:val="836" w:hRule="exact"/>
          <w:jc w:val="center"/>
        </w:trPr>
        <w:tc>
          <w:tcPr>
            <w:tcW w:w="501" w:type="pct"/>
            <w:tcBorders>
              <w:top w:val="single" w:color="auto" w:sz="4" w:space="0"/>
              <w:left w:val="single" w:color="auto" w:sz="4" w:space="0"/>
              <w:bottom w:val="single" w:color="auto" w:sz="4" w:space="0"/>
              <w:right w:val="single" w:color="auto" w:sz="4" w:space="0"/>
            </w:tcBorders>
            <w:vAlign w:val="center"/>
          </w:tcPr>
          <w:p w14:paraId="1E06D0F3">
            <w:pPr>
              <w:jc w:val="center"/>
              <w:rPr>
                <w:bCs/>
                <w:sz w:val="24"/>
                <w:highlight w:val="none"/>
              </w:rPr>
            </w:pPr>
          </w:p>
        </w:tc>
        <w:tc>
          <w:tcPr>
            <w:tcW w:w="2814" w:type="pct"/>
            <w:tcBorders>
              <w:top w:val="single" w:color="auto" w:sz="4" w:space="0"/>
              <w:left w:val="single" w:color="auto" w:sz="4" w:space="0"/>
              <w:bottom w:val="single" w:color="auto" w:sz="4" w:space="0"/>
              <w:right w:val="single" w:color="auto" w:sz="4" w:space="0"/>
            </w:tcBorders>
            <w:vAlign w:val="center"/>
          </w:tcPr>
          <w:p w14:paraId="140A84E7">
            <w:pPr>
              <w:jc w:val="center"/>
              <w:rPr>
                <w:bCs/>
                <w:sz w:val="24"/>
                <w:highlight w:val="none"/>
              </w:rPr>
            </w:pPr>
          </w:p>
        </w:tc>
        <w:tc>
          <w:tcPr>
            <w:tcW w:w="1685" w:type="pct"/>
            <w:tcBorders>
              <w:top w:val="single" w:color="auto" w:sz="4" w:space="0"/>
              <w:left w:val="single" w:color="auto" w:sz="4" w:space="0"/>
              <w:bottom w:val="single" w:color="auto" w:sz="4" w:space="0"/>
              <w:right w:val="single" w:color="auto" w:sz="4" w:space="0"/>
            </w:tcBorders>
            <w:vAlign w:val="center"/>
          </w:tcPr>
          <w:p w14:paraId="41B002FA">
            <w:pPr>
              <w:jc w:val="center"/>
              <w:rPr>
                <w:bCs/>
                <w:sz w:val="24"/>
                <w:highlight w:val="none"/>
              </w:rPr>
            </w:pPr>
          </w:p>
        </w:tc>
      </w:tr>
      <w:tr w14:paraId="573FF5FB">
        <w:tblPrEx>
          <w:tblCellMar>
            <w:top w:w="0" w:type="dxa"/>
            <w:left w:w="108" w:type="dxa"/>
            <w:bottom w:w="0" w:type="dxa"/>
            <w:right w:w="108" w:type="dxa"/>
          </w:tblCellMar>
        </w:tblPrEx>
        <w:trPr>
          <w:trHeight w:val="1596" w:hRule="exact"/>
          <w:jc w:val="center"/>
        </w:trPr>
        <w:tc>
          <w:tcPr>
            <w:tcW w:w="5000" w:type="pct"/>
            <w:gridSpan w:val="3"/>
            <w:tcBorders>
              <w:top w:val="single" w:color="auto" w:sz="4" w:space="0"/>
              <w:left w:val="single" w:color="auto" w:sz="4" w:space="0"/>
              <w:bottom w:val="single" w:color="auto" w:sz="4" w:space="0"/>
              <w:right w:val="single" w:color="auto" w:sz="4" w:space="0"/>
            </w:tcBorders>
            <w:vAlign w:val="center"/>
          </w:tcPr>
          <w:p w14:paraId="06B86547">
            <w:pPr>
              <w:spacing w:line="276" w:lineRule="auto"/>
              <w:jc w:val="left"/>
              <w:rPr>
                <w:bCs/>
                <w:sz w:val="24"/>
                <w:highlight w:val="none"/>
              </w:rPr>
            </w:pPr>
            <w:r>
              <w:rPr>
                <w:rFonts w:hint="eastAsia"/>
                <w:bCs/>
                <w:sz w:val="24"/>
                <w:highlight w:val="none"/>
              </w:rPr>
              <w:t>备注：报价供应商按照《符合性审查表》编制此表。报价供应商应当根据本单位实际情况和报价文件内容填写，并标注相关证明材料在报价文件的位置页码。“报价文件签字、盖章齐全完整”等无法填写具体页码的符合性审查项目，可以不填写。报价供应商不得虚报、瞒报、漏报或虚假承诺。</w:t>
            </w:r>
          </w:p>
        </w:tc>
      </w:tr>
    </w:tbl>
    <w:p w14:paraId="6B36E300">
      <w:pPr>
        <w:rPr>
          <w:bCs/>
          <w:sz w:val="28"/>
          <w:szCs w:val="28"/>
          <w:highlight w:val="none"/>
          <w:lang w:val="zh-CN"/>
        </w:rPr>
      </w:pPr>
    </w:p>
    <w:p w14:paraId="57821C6E">
      <w:pPr>
        <w:rPr>
          <w:rFonts w:eastAsia="黑体"/>
          <w:bCs/>
          <w:sz w:val="28"/>
          <w:szCs w:val="28"/>
          <w:highlight w:val="none"/>
        </w:rPr>
      </w:pPr>
    </w:p>
    <w:p w14:paraId="05306404">
      <w:pPr>
        <w:rPr>
          <w:rFonts w:eastAsia="黑体"/>
          <w:bCs/>
          <w:sz w:val="28"/>
          <w:szCs w:val="28"/>
          <w:highlight w:val="none"/>
        </w:rPr>
      </w:pPr>
    </w:p>
    <w:p w14:paraId="0CCE2443">
      <w:pPr>
        <w:widowControl/>
        <w:ind w:firstLine="560" w:firstLineChars="200"/>
        <w:jc w:val="left"/>
        <w:rPr>
          <w:rFonts w:eastAsia="黑体"/>
          <w:bCs/>
          <w:sz w:val="28"/>
          <w:szCs w:val="28"/>
          <w:highlight w:val="none"/>
        </w:rPr>
      </w:pPr>
      <w:r>
        <w:rPr>
          <w:rFonts w:eastAsia="黑体"/>
          <w:bCs/>
          <w:sz w:val="28"/>
          <w:szCs w:val="28"/>
          <w:highlight w:val="none"/>
        </w:rPr>
        <w:br w:type="page"/>
      </w:r>
    </w:p>
    <w:p w14:paraId="4268511C">
      <w:pPr>
        <w:pStyle w:val="6"/>
        <w:spacing w:before="120" w:beforeLines="50" w:after="120" w:afterLines="50" w:line="560" w:lineRule="exact"/>
        <w:rPr>
          <w:b w:val="0"/>
          <w:highlight w:val="none"/>
          <w:lang w:val="zh-CN"/>
        </w:rPr>
      </w:pPr>
      <w:bookmarkStart w:id="594" w:name="_Toc23681"/>
      <w:bookmarkStart w:id="595" w:name="_Toc10861"/>
      <w:bookmarkStart w:id="596" w:name="_Toc112768463"/>
      <w:bookmarkStart w:id="597" w:name="_Toc19071"/>
      <w:bookmarkStart w:id="598" w:name="_Toc27768"/>
      <w:bookmarkStart w:id="599" w:name="_Toc2075"/>
      <w:r>
        <w:rPr>
          <w:rFonts w:hint="eastAsia"/>
          <w:b w:val="0"/>
          <w:highlight w:val="none"/>
        </w:rPr>
        <w:t>附件</w:t>
      </w:r>
      <w:r>
        <w:rPr>
          <w:b w:val="0"/>
          <w:highlight w:val="none"/>
        </w:rPr>
        <w:t xml:space="preserve">2-2 </w:t>
      </w:r>
      <w:r>
        <w:rPr>
          <w:rFonts w:hint="eastAsia"/>
          <w:b w:val="0"/>
          <w:highlight w:val="none"/>
        </w:rPr>
        <w:t>商务评审索引表</w:t>
      </w:r>
      <w:bookmarkEnd w:id="594"/>
      <w:bookmarkEnd w:id="595"/>
      <w:bookmarkEnd w:id="596"/>
      <w:bookmarkEnd w:id="597"/>
      <w:bookmarkEnd w:id="598"/>
      <w:bookmarkEnd w:id="599"/>
    </w:p>
    <w:p w14:paraId="4A122FD6">
      <w:pPr>
        <w:spacing w:before="120" w:beforeLines="50" w:after="120" w:afterLines="50" w:line="560" w:lineRule="exact"/>
        <w:jc w:val="center"/>
        <w:rPr>
          <w:rFonts w:ascii="黑体" w:hAnsi="黑体" w:eastAsia="黑体" w:cs="黑体"/>
          <w:bCs/>
          <w:sz w:val="36"/>
          <w:szCs w:val="36"/>
          <w:highlight w:val="none"/>
        </w:rPr>
      </w:pPr>
      <w:bookmarkStart w:id="600" w:name="_Toc112768464"/>
      <w:bookmarkStart w:id="601" w:name="_Toc32426"/>
      <w:bookmarkStart w:id="602" w:name="_Toc32161"/>
      <w:bookmarkStart w:id="603" w:name="_Toc1679"/>
      <w:bookmarkStart w:id="604" w:name="_Toc2962"/>
      <w:bookmarkStart w:id="605" w:name="_Toc26402"/>
      <w:r>
        <w:rPr>
          <w:rFonts w:hint="eastAsia" w:ascii="黑体" w:hAnsi="黑体" w:eastAsia="黑体" w:cs="黑体"/>
          <w:bCs/>
          <w:sz w:val="36"/>
          <w:szCs w:val="36"/>
          <w:highlight w:val="none"/>
        </w:rPr>
        <w:t>商务评审索引表</w:t>
      </w:r>
    </w:p>
    <w:p w14:paraId="09F864C3">
      <w:pPr>
        <w:spacing w:line="400" w:lineRule="exact"/>
        <w:rPr>
          <w:rFonts w:ascii="黑体" w:hAnsi="黑体" w:eastAsia="黑体"/>
          <w:bCs/>
          <w:sz w:val="28"/>
          <w:szCs w:val="28"/>
          <w:highlight w:val="none"/>
        </w:rPr>
      </w:pPr>
      <w:r>
        <w:rPr>
          <w:rFonts w:hint="eastAsia" w:ascii="黑体" w:hAnsi="黑体" w:eastAsia="黑体"/>
          <w:bCs/>
          <w:sz w:val="28"/>
          <w:szCs w:val="28"/>
          <w:highlight w:val="none"/>
        </w:rPr>
        <w:t>报价供应商务必在商务技术文件正文前制作本索引表。</w:t>
      </w:r>
    </w:p>
    <w:tbl>
      <w:tblPr>
        <w:tblStyle w:val="42"/>
        <w:tblW w:w="5000" w:type="pct"/>
        <w:jc w:val="center"/>
        <w:tblLayout w:type="autofit"/>
        <w:tblCellMar>
          <w:top w:w="0" w:type="dxa"/>
          <w:left w:w="108" w:type="dxa"/>
          <w:bottom w:w="0" w:type="dxa"/>
          <w:right w:w="108" w:type="dxa"/>
        </w:tblCellMar>
      </w:tblPr>
      <w:tblGrid>
        <w:gridCol w:w="797"/>
        <w:gridCol w:w="1629"/>
        <w:gridCol w:w="3472"/>
        <w:gridCol w:w="1120"/>
        <w:gridCol w:w="1296"/>
        <w:gridCol w:w="1256"/>
      </w:tblGrid>
      <w:tr w14:paraId="2757E2D5">
        <w:tblPrEx>
          <w:tblCellMar>
            <w:top w:w="0" w:type="dxa"/>
            <w:left w:w="108" w:type="dxa"/>
            <w:bottom w:w="0" w:type="dxa"/>
            <w:right w:w="108" w:type="dxa"/>
          </w:tblCellMar>
        </w:tblPrEx>
        <w:trPr>
          <w:trHeight w:val="680" w:hRule="atLeast"/>
          <w:jc w:val="center"/>
        </w:trPr>
        <w:tc>
          <w:tcPr>
            <w:tcW w:w="417" w:type="pct"/>
            <w:vMerge w:val="restart"/>
            <w:tcBorders>
              <w:top w:val="single" w:color="auto" w:sz="4" w:space="0"/>
              <w:left w:val="single" w:color="auto" w:sz="4" w:space="0"/>
              <w:bottom w:val="single" w:color="auto" w:sz="4" w:space="0"/>
              <w:right w:val="single" w:color="auto" w:sz="4" w:space="0"/>
            </w:tcBorders>
            <w:vAlign w:val="center"/>
          </w:tcPr>
          <w:p w14:paraId="01434128">
            <w:pPr>
              <w:jc w:val="center"/>
              <w:rPr>
                <w:rFonts w:ascii="宋体" w:hAnsi="宋体" w:cs="宋体"/>
                <w:bCs/>
                <w:sz w:val="24"/>
                <w:highlight w:val="none"/>
              </w:rPr>
            </w:pPr>
            <w:r>
              <w:rPr>
                <w:rFonts w:hint="eastAsia" w:ascii="宋体" w:hAnsi="宋体" w:cs="宋体"/>
                <w:bCs/>
                <w:sz w:val="24"/>
                <w:highlight w:val="none"/>
              </w:rPr>
              <w:t>序号</w:t>
            </w:r>
          </w:p>
        </w:tc>
        <w:tc>
          <w:tcPr>
            <w:tcW w:w="3250" w:type="pct"/>
            <w:gridSpan w:val="3"/>
            <w:tcBorders>
              <w:top w:val="single" w:color="auto" w:sz="4" w:space="0"/>
              <w:left w:val="nil"/>
              <w:bottom w:val="single" w:color="auto" w:sz="4" w:space="0"/>
              <w:right w:val="single" w:color="auto" w:sz="4" w:space="0"/>
            </w:tcBorders>
            <w:vAlign w:val="center"/>
          </w:tcPr>
          <w:p w14:paraId="4DEF9A05">
            <w:pPr>
              <w:jc w:val="center"/>
              <w:rPr>
                <w:rFonts w:ascii="宋体" w:hAnsi="宋体" w:cs="宋体"/>
                <w:bCs/>
                <w:sz w:val="24"/>
                <w:highlight w:val="none"/>
              </w:rPr>
            </w:pPr>
            <w:r>
              <w:rPr>
                <w:rFonts w:hint="eastAsia" w:ascii="宋体" w:hAnsi="宋体" w:cs="宋体"/>
                <w:bCs/>
                <w:sz w:val="24"/>
                <w:highlight w:val="none"/>
              </w:rPr>
              <w:t>采购机构填写</w:t>
            </w:r>
          </w:p>
        </w:tc>
        <w:tc>
          <w:tcPr>
            <w:tcW w:w="1332" w:type="pct"/>
            <w:gridSpan w:val="2"/>
            <w:tcBorders>
              <w:top w:val="single" w:color="auto" w:sz="4" w:space="0"/>
              <w:left w:val="nil"/>
              <w:bottom w:val="single" w:color="auto" w:sz="4" w:space="0"/>
              <w:right w:val="single" w:color="auto" w:sz="4" w:space="0"/>
            </w:tcBorders>
            <w:vAlign w:val="center"/>
          </w:tcPr>
          <w:p w14:paraId="32A661E6">
            <w:pPr>
              <w:jc w:val="center"/>
              <w:rPr>
                <w:rFonts w:ascii="宋体" w:hAnsi="宋体" w:cs="宋体"/>
                <w:bCs/>
                <w:sz w:val="24"/>
                <w:highlight w:val="none"/>
              </w:rPr>
            </w:pPr>
            <w:r>
              <w:rPr>
                <w:rFonts w:hint="eastAsia" w:ascii="宋体" w:hAnsi="宋体" w:cs="宋体"/>
                <w:bCs/>
                <w:sz w:val="24"/>
                <w:highlight w:val="none"/>
              </w:rPr>
              <w:t>报价供应商填写</w:t>
            </w:r>
          </w:p>
        </w:tc>
      </w:tr>
      <w:tr w14:paraId="0CC70052">
        <w:tblPrEx>
          <w:tblCellMar>
            <w:top w:w="0" w:type="dxa"/>
            <w:left w:w="108" w:type="dxa"/>
            <w:bottom w:w="0" w:type="dxa"/>
            <w:right w:w="108" w:type="dxa"/>
          </w:tblCellMar>
        </w:tblPrEx>
        <w:trPr>
          <w:trHeight w:val="680" w:hRule="atLeast"/>
          <w:jc w:val="center"/>
        </w:trPr>
        <w:tc>
          <w:tcPr>
            <w:tcW w:w="417" w:type="pct"/>
            <w:vMerge w:val="continue"/>
            <w:tcBorders>
              <w:top w:val="single" w:color="auto" w:sz="4" w:space="0"/>
              <w:left w:val="single" w:color="auto" w:sz="4" w:space="0"/>
              <w:bottom w:val="single" w:color="auto" w:sz="4" w:space="0"/>
              <w:right w:val="single" w:color="auto" w:sz="4" w:space="0"/>
            </w:tcBorders>
            <w:vAlign w:val="center"/>
          </w:tcPr>
          <w:p w14:paraId="242CBB10">
            <w:pPr>
              <w:jc w:val="center"/>
              <w:rPr>
                <w:rFonts w:ascii="宋体" w:hAnsi="宋体" w:cs="宋体"/>
                <w:bCs/>
                <w:sz w:val="24"/>
                <w:highlight w:val="none"/>
              </w:rPr>
            </w:pPr>
          </w:p>
        </w:tc>
        <w:tc>
          <w:tcPr>
            <w:tcW w:w="851" w:type="pct"/>
            <w:tcBorders>
              <w:top w:val="single" w:color="auto" w:sz="4" w:space="0"/>
              <w:left w:val="nil"/>
              <w:bottom w:val="single" w:color="auto" w:sz="4" w:space="0"/>
              <w:right w:val="single" w:color="auto" w:sz="4" w:space="0"/>
            </w:tcBorders>
            <w:vAlign w:val="center"/>
          </w:tcPr>
          <w:p w14:paraId="57330D4C">
            <w:pPr>
              <w:jc w:val="center"/>
              <w:rPr>
                <w:rFonts w:ascii="宋体" w:hAnsi="宋体" w:cs="宋体"/>
                <w:bCs/>
                <w:sz w:val="24"/>
                <w:highlight w:val="none"/>
              </w:rPr>
            </w:pPr>
            <w:r>
              <w:rPr>
                <w:rFonts w:hint="eastAsia" w:ascii="宋体" w:hAnsi="宋体" w:cs="宋体"/>
                <w:bCs/>
                <w:sz w:val="24"/>
                <w:highlight w:val="none"/>
              </w:rPr>
              <w:t>评审项目</w:t>
            </w:r>
          </w:p>
        </w:tc>
        <w:tc>
          <w:tcPr>
            <w:tcW w:w="1814" w:type="pct"/>
            <w:tcBorders>
              <w:top w:val="single" w:color="auto" w:sz="4" w:space="0"/>
              <w:left w:val="nil"/>
              <w:bottom w:val="single" w:color="auto" w:sz="4" w:space="0"/>
              <w:right w:val="single" w:color="auto" w:sz="4" w:space="0"/>
            </w:tcBorders>
            <w:vAlign w:val="center"/>
          </w:tcPr>
          <w:p w14:paraId="13714DA9">
            <w:pPr>
              <w:jc w:val="center"/>
              <w:rPr>
                <w:rFonts w:ascii="宋体" w:hAnsi="宋体" w:cs="宋体"/>
                <w:bCs/>
                <w:sz w:val="24"/>
                <w:highlight w:val="none"/>
              </w:rPr>
            </w:pPr>
            <w:r>
              <w:rPr>
                <w:rFonts w:hint="eastAsia" w:ascii="宋体" w:hAnsi="宋体" w:cs="宋体"/>
                <w:bCs/>
                <w:sz w:val="24"/>
                <w:highlight w:val="none"/>
              </w:rPr>
              <w:t>计分模型</w:t>
            </w:r>
          </w:p>
        </w:tc>
        <w:tc>
          <w:tcPr>
            <w:tcW w:w="585" w:type="pct"/>
            <w:tcBorders>
              <w:top w:val="single" w:color="auto" w:sz="4" w:space="0"/>
              <w:left w:val="nil"/>
              <w:bottom w:val="single" w:color="auto" w:sz="4" w:space="0"/>
              <w:right w:val="single" w:color="auto" w:sz="4" w:space="0"/>
            </w:tcBorders>
            <w:vAlign w:val="center"/>
          </w:tcPr>
          <w:p w14:paraId="66D8D307">
            <w:pPr>
              <w:jc w:val="center"/>
              <w:rPr>
                <w:rFonts w:hint="eastAsia" w:ascii="宋体" w:hAnsi="宋体" w:cs="宋体"/>
                <w:bCs/>
                <w:sz w:val="24"/>
                <w:highlight w:val="none"/>
              </w:rPr>
            </w:pPr>
            <w:r>
              <w:rPr>
                <w:rFonts w:hint="eastAsia" w:ascii="宋体" w:hAnsi="宋体" w:cs="宋体"/>
                <w:bCs/>
                <w:sz w:val="24"/>
                <w:highlight w:val="none"/>
              </w:rPr>
              <w:t>标准</w:t>
            </w:r>
          </w:p>
          <w:p w14:paraId="0109C638">
            <w:pPr>
              <w:jc w:val="center"/>
              <w:rPr>
                <w:rFonts w:ascii="宋体" w:hAnsi="宋体" w:cs="宋体"/>
                <w:bCs/>
                <w:sz w:val="24"/>
                <w:highlight w:val="none"/>
              </w:rPr>
            </w:pPr>
            <w:r>
              <w:rPr>
                <w:rFonts w:hint="eastAsia" w:ascii="宋体" w:hAnsi="宋体" w:cs="宋体"/>
                <w:bCs/>
                <w:sz w:val="24"/>
                <w:highlight w:val="none"/>
              </w:rPr>
              <w:t>分值</w:t>
            </w:r>
          </w:p>
        </w:tc>
        <w:tc>
          <w:tcPr>
            <w:tcW w:w="677" w:type="pct"/>
            <w:tcBorders>
              <w:top w:val="single" w:color="auto" w:sz="4" w:space="0"/>
              <w:left w:val="nil"/>
              <w:bottom w:val="single" w:color="auto" w:sz="4" w:space="0"/>
              <w:right w:val="single" w:color="auto" w:sz="4" w:space="0"/>
            </w:tcBorders>
            <w:vAlign w:val="center"/>
          </w:tcPr>
          <w:p w14:paraId="3C80BBD0">
            <w:pPr>
              <w:jc w:val="center"/>
              <w:rPr>
                <w:rFonts w:ascii="宋体" w:hAnsi="宋体" w:cs="宋体"/>
                <w:bCs/>
                <w:sz w:val="24"/>
                <w:highlight w:val="none"/>
              </w:rPr>
            </w:pPr>
            <w:r>
              <w:rPr>
                <w:rFonts w:hint="eastAsia" w:ascii="宋体" w:hAnsi="宋体" w:cs="宋体"/>
                <w:bCs/>
                <w:sz w:val="24"/>
                <w:highlight w:val="none"/>
              </w:rPr>
              <w:t>指标值或评分项</w:t>
            </w:r>
          </w:p>
        </w:tc>
        <w:tc>
          <w:tcPr>
            <w:tcW w:w="655" w:type="pct"/>
            <w:tcBorders>
              <w:top w:val="single" w:color="auto" w:sz="4" w:space="0"/>
              <w:left w:val="nil"/>
              <w:bottom w:val="single" w:color="auto" w:sz="4" w:space="0"/>
              <w:right w:val="single" w:color="auto" w:sz="4" w:space="0"/>
            </w:tcBorders>
            <w:vAlign w:val="center"/>
          </w:tcPr>
          <w:p w14:paraId="641A210C">
            <w:pPr>
              <w:jc w:val="center"/>
              <w:rPr>
                <w:rFonts w:ascii="宋体" w:hAnsi="宋体" w:cs="宋体"/>
                <w:bCs/>
                <w:sz w:val="24"/>
                <w:highlight w:val="none"/>
              </w:rPr>
            </w:pPr>
            <w:r>
              <w:rPr>
                <w:rFonts w:hint="eastAsia"/>
                <w:bCs/>
                <w:sz w:val="24"/>
                <w:highlight w:val="none"/>
              </w:rPr>
              <w:t>文件名称∕页码</w:t>
            </w:r>
          </w:p>
        </w:tc>
      </w:tr>
      <w:tr w14:paraId="390563AD">
        <w:tblPrEx>
          <w:tblCellMar>
            <w:top w:w="0" w:type="dxa"/>
            <w:left w:w="108" w:type="dxa"/>
            <w:bottom w:w="0" w:type="dxa"/>
            <w:right w:w="108" w:type="dxa"/>
          </w:tblCellMar>
        </w:tblPrEx>
        <w:trPr>
          <w:trHeight w:val="520" w:hRule="atLeast"/>
          <w:jc w:val="center"/>
        </w:trPr>
        <w:tc>
          <w:tcPr>
            <w:tcW w:w="417" w:type="pct"/>
            <w:tcBorders>
              <w:top w:val="nil"/>
              <w:left w:val="single" w:color="auto" w:sz="4" w:space="0"/>
              <w:bottom w:val="single" w:color="auto" w:sz="4" w:space="0"/>
              <w:right w:val="single" w:color="auto" w:sz="4" w:space="0"/>
            </w:tcBorders>
            <w:vAlign w:val="center"/>
          </w:tcPr>
          <w:p w14:paraId="02D07031">
            <w:pPr>
              <w:jc w:val="center"/>
              <w:rPr>
                <w:rFonts w:asciiTheme="minorEastAsia" w:hAnsiTheme="minorEastAsia" w:eastAsiaTheme="minorEastAsia"/>
                <w:bCs/>
                <w:sz w:val="24"/>
                <w:highlight w:val="none"/>
              </w:rPr>
            </w:pPr>
          </w:p>
        </w:tc>
        <w:tc>
          <w:tcPr>
            <w:tcW w:w="851" w:type="pct"/>
            <w:tcBorders>
              <w:top w:val="nil"/>
              <w:left w:val="nil"/>
              <w:bottom w:val="single" w:color="auto" w:sz="4" w:space="0"/>
              <w:right w:val="single" w:color="auto" w:sz="4" w:space="0"/>
            </w:tcBorders>
            <w:vAlign w:val="center"/>
          </w:tcPr>
          <w:p w14:paraId="3CC09D18">
            <w:pPr>
              <w:jc w:val="center"/>
              <w:rPr>
                <w:rFonts w:asciiTheme="minorEastAsia" w:hAnsiTheme="minorEastAsia" w:eastAsiaTheme="minorEastAsia"/>
                <w:bCs/>
                <w:sz w:val="24"/>
                <w:highlight w:val="none"/>
              </w:rPr>
            </w:pPr>
            <w:r>
              <w:rPr>
                <w:rFonts w:hint="eastAsia" w:asciiTheme="minorEastAsia" w:hAnsiTheme="minorEastAsia" w:eastAsiaTheme="minorEastAsia"/>
                <w:bCs/>
                <w:sz w:val="24"/>
                <w:highlight w:val="none"/>
              </w:rPr>
              <w:t>合</w:t>
            </w:r>
            <w:r>
              <w:rPr>
                <w:rFonts w:asciiTheme="minorEastAsia" w:hAnsiTheme="minorEastAsia" w:eastAsiaTheme="minorEastAsia"/>
                <w:bCs/>
                <w:sz w:val="24"/>
                <w:highlight w:val="none"/>
              </w:rPr>
              <w:t xml:space="preserve">  </w:t>
            </w:r>
            <w:r>
              <w:rPr>
                <w:rFonts w:hint="eastAsia" w:asciiTheme="minorEastAsia" w:hAnsiTheme="minorEastAsia" w:eastAsiaTheme="minorEastAsia"/>
                <w:bCs/>
                <w:sz w:val="24"/>
                <w:highlight w:val="none"/>
              </w:rPr>
              <w:t>计</w:t>
            </w:r>
          </w:p>
        </w:tc>
        <w:tc>
          <w:tcPr>
            <w:tcW w:w="1814" w:type="pct"/>
            <w:tcBorders>
              <w:top w:val="nil"/>
              <w:left w:val="nil"/>
              <w:bottom w:val="single" w:color="auto" w:sz="4" w:space="0"/>
              <w:right w:val="single" w:color="auto" w:sz="4" w:space="0"/>
            </w:tcBorders>
            <w:vAlign w:val="center"/>
          </w:tcPr>
          <w:p w14:paraId="00917760">
            <w:pPr>
              <w:jc w:val="center"/>
              <w:rPr>
                <w:rFonts w:asciiTheme="minorEastAsia" w:hAnsiTheme="minorEastAsia" w:eastAsiaTheme="minorEastAsia"/>
                <w:bCs/>
                <w:sz w:val="24"/>
                <w:highlight w:val="none"/>
              </w:rPr>
            </w:pPr>
          </w:p>
        </w:tc>
        <w:tc>
          <w:tcPr>
            <w:tcW w:w="585" w:type="pct"/>
            <w:tcBorders>
              <w:top w:val="nil"/>
              <w:left w:val="nil"/>
              <w:bottom w:val="single" w:color="auto" w:sz="4" w:space="0"/>
              <w:right w:val="single" w:color="auto" w:sz="4" w:space="0"/>
            </w:tcBorders>
            <w:vAlign w:val="center"/>
          </w:tcPr>
          <w:p w14:paraId="52C9614E">
            <w:pPr>
              <w:jc w:val="center"/>
              <w:rPr>
                <w:rFonts w:hint="default" w:asciiTheme="minorEastAsia" w:hAnsiTheme="minorEastAsia" w:eastAsiaTheme="minorEastAsia"/>
                <w:bCs/>
                <w:sz w:val="20"/>
                <w:szCs w:val="20"/>
                <w:highlight w:val="none"/>
                <w:lang w:val="en-US" w:eastAsia="zh-CN"/>
              </w:rPr>
            </w:pPr>
            <w:r>
              <w:rPr>
                <w:rFonts w:hint="eastAsia" w:asciiTheme="minorEastAsia" w:hAnsiTheme="minorEastAsia" w:eastAsiaTheme="minorEastAsia"/>
                <w:bCs/>
                <w:sz w:val="20"/>
                <w:szCs w:val="20"/>
                <w:highlight w:val="none"/>
                <w:lang w:val="en-US" w:eastAsia="zh-CN"/>
              </w:rPr>
              <w:t>10</w:t>
            </w:r>
            <w:r>
              <w:rPr>
                <w:rFonts w:hint="eastAsia" w:ascii="宋体" w:hAnsi="宋体" w:cs="宋体"/>
                <w:color w:val="000000"/>
                <w:sz w:val="21"/>
                <w:szCs w:val="21"/>
                <w:highlight w:val="none"/>
              </w:rPr>
              <w:t>分</w:t>
            </w:r>
          </w:p>
        </w:tc>
        <w:tc>
          <w:tcPr>
            <w:tcW w:w="677" w:type="pct"/>
            <w:tcBorders>
              <w:top w:val="single" w:color="auto" w:sz="4" w:space="0"/>
              <w:left w:val="nil"/>
              <w:bottom w:val="single" w:color="auto" w:sz="4" w:space="0"/>
              <w:right w:val="single" w:color="auto" w:sz="4" w:space="0"/>
            </w:tcBorders>
            <w:vAlign w:val="center"/>
          </w:tcPr>
          <w:p w14:paraId="0B632C96">
            <w:pPr>
              <w:jc w:val="center"/>
              <w:rPr>
                <w:bCs/>
                <w:sz w:val="24"/>
                <w:highlight w:val="none"/>
              </w:rPr>
            </w:pPr>
          </w:p>
        </w:tc>
        <w:tc>
          <w:tcPr>
            <w:tcW w:w="655" w:type="pct"/>
            <w:tcBorders>
              <w:top w:val="single" w:color="auto" w:sz="4" w:space="0"/>
              <w:left w:val="nil"/>
              <w:bottom w:val="single" w:color="auto" w:sz="4" w:space="0"/>
              <w:right w:val="single" w:color="auto" w:sz="4" w:space="0"/>
            </w:tcBorders>
            <w:vAlign w:val="center"/>
          </w:tcPr>
          <w:p w14:paraId="4C436733">
            <w:pPr>
              <w:jc w:val="center"/>
              <w:rPr>
                <w:bCs/>
                <w:sz w:val="24"/>
                <w:highlight w:val="none"/>
              </w:rPr>
            </w:pPr>
          </w:p>
        </w:tc>
      </w:tr>
      <w:tr w14:paraId="32E15CE5">
        <w:tblPrEx>
          <w:tblCellMar>
            <w:top w:w="0" w:type="dxa"/>
            <w:left w:w="108" w:type="dxa"/>
            <w:bottom w:w="0" w:type="dxa"/>
            <w:right w:w="108" w:type="dxa"/>
          </w:tblCellMar>
        </w:tblPrEx>
        <w:trPr>
          <w:trHeight w:val="680" w:hRule="atLeast"/>
          <w:jc w:val="center"/>
        </w:trPr>
        <w:tc>
          <w:tcPr>
            <w:tcW w:w="417" w:type="pct"/>
            <w:tcBorders>
              <w:top w:val="nil"/>
              <w:left w:val="single" w:color="auto" w:sz="4" w:space="0"/>
              <w:bottom w:val="single" w:color="auto" w:sz="4" w:space="0"/>
              <w:right w:val="single" w:color="auto" w:sz="4" w:space="0"/>
            </w:tcBorders>
            <w:vAlign w:val="center"/>
          </w:tcPr>
          <w:p w14:paraId="2DF48A65">
            <w:pPr>
              <w:jc w:val="center"/>
              <w:rPr>
                <w:rFonts w:hint="eastAsia" w:asciiTheme="minorEastAsia" w:hAnsiTheme="minorEastAsia" w:eastAsiaTheme="minorEastAsia"/>
                <w:bCs/>
                <w:sz w:val="24"/>
                <w:highlight w:val="none"/>
                <w:lang w:eastAsia="zh-CN"/>
              </w:rPr>
            </w:pPr>
            <w:r>
              <w:rPr>
                <w:rFonts w:hint="eastAsia" w:asciiTheme="minorEastAsia" w:hAnsiTheme="minorEastAsia" w:eastAsiaTheme="minorEastAsia"/>
                <w:bCs/>
                <w:sz w:val="24"/>
                <w:highlight w:val="none"/>
                <w:lang w:val="en-US" w:eastAsia="zh-CN"/>
              </w:rPr>
              <w:t>1</w:t>
            </w:r>
          </w:p>
        </w:tc>
        <w:tc>
          <w:tcPr>
            <w:tcW w:w="851" w:type="pct"/>
            <w:tcBorders>
              <w:top w:val="nil"/>
              <w:left w:val="nil"/>
              <w:bottom w:val="single" w:color="auto" w:sz="4" w:space="0"/>
              <w:right w:val="single" w:color="auto" w:sz="4" w:space="0"/>
            </w:tcBorders>
            <w:vAlign w:val="center"/>
          </w:tcPr>
          <w:p w14:paraId="2D36B601">
            <w:pPr>
              <w:jc w:val="center"/>
              <w:rPr>
                <w:rFonts w:hint="eastAsia" w:asciiTheme="minorEastAsia" w:hAnsiTheme="minorEastAsia" w:eastAsiaTheme="minorEastAsia"/>
                <w:bCs/>
                <w:sz w:val="24"/>
                <w:highlight w:val="none"/>
                <w:lang w:val="en-US" w:eastAsia="zh-CN"/>
              </w:rPr>
            </w:pPr>
            <w:r>
              <w:rPr>
                <w:rFonts w:hint="eastAsia" w:asciiTheme="minorEastAsia" w:hAnsiTheme="minorEastAsia" w:eastAsiaTheme="minorEastAsia"/>
                <w:bCs/>
                <w:sz w:val="24"/>
                <w:highlight w:val="none"/>
                <w:lang w:val="en-US" w:eastAsia="zh-CN"/>
              </w:rPr>
              <w:t>业绩</w:t>
            </w:r>
          </w:p>
        </w:tc>
        <w:tc>
          <w:tcPr>
            <w:tcW w:w="3472" w:type="dxa"/>
            <w:tcBorders>
              <w:top w:val="nil"/>
              <w:left w:val="nil"/>
              <w:bottom w:val="single" w:color="auto" w:sz="4" w:space="0"/>
              <w:right w:val="single" w:color="auto" w:sz="4" w:space="0"/>
            </w:tcBorders>
            <w:vAlign w:val="center"/>
          </w:tcPr>
          <w:p w14:paraId="322C7FA8">
            <w:pPr>
              <w:spacing w:line="360" w:lineRule="exact"/>
              <w:rPr>
                <w:rFonts w:hint="eastAsia" w:ascii="宋体" w:hAnsi="宋体" w:cs="宋体"/>
                <w:color w:val="000000"/>
                <w:sz w:val="21"/>
                <w:szCs w:val="21"/>
                <w:highlight w:val="none"/>
              </w:rPr>
            </w:pPr>
            <w:r>
              <w:rPr>
                <w:rFonts w:hint="eastAsia" w:ascii="宋体" w:hAnsi="宋体" w:cs="宋体"/>
                <w:sz w:val="21"/>
                <w:szCs w:val="21"/>
                <w:highlight w:val="none"/>
              </w:rPr>
              <w:t>比较近三年（截止开标时间）所投产品在三甲医院或高等科研院所的销售业绩。</w:t>
            </w:r>
            <w:r>
              <w:rPr>
                <w:rFonts w:hint="eastAsia" w:ascii="宋体" w:hAnsi="宋体" w:cs="宋体"/>
                <w:color w:val="000000"/>
                <w:sz w:val="21"/>
                <w:szCs w:val="21"/>
                <w:highlight w:val="none"/>
              </w:rPr>
              <w:t>以提供的销售合同复印件为准，</w:t>
            </w:r>
            <w:r>
              <w:rPr>
                <w:rFonts w:hint="eastAsia" w:ascii="宋体" w:hAnsi="宋体" w:cs="宋体"/>
                <w:color w:val="000000"/>
                <w:sz w:val="21"/>
                <w:szCs w:val="21"/>
                <w:highlight w:val="none"/>
                <w:lang w:val="en-US" w:eastAsia="zh-CN"/>
              </w:rPr>
              <w:t>最多</w:t>
            </w:r>
            <w:r>
              <w:rPr>
                <w:rFonts w:hint="eastAsia" w:ascii="宋体" w:hAnsi="宋体" w:cs="宋体"/>
                <w:color w:val="000000"/>
                <w:sz w:val="21"/>
                <w:szCs w:val="21"/>
                <w:highlight w:val="none"/>
              </w:rPr>
              <w:t>提供10份销售合同并附对应的银行存款进账凭证或往来货款结算证明为准。报价方为生产企业时，提供报价方销售合同。报价方为代理商时，可以提供报价方代理销售合同，或提供生产企业销售合同；提供生产企业销售合同时，报价方代理销售合同无效。未盖章或盖章不清晰、总金额或数量不清晰的合同无效。</w:t>
            </w:r>
          </w:p>
          <w:p w14:paraId="196F944C">
            <w:pPr>
              <w:spacing w:line="360" w:lineRule="exact"/>
              <w:rPr>
                <w:rFonts w:hint="eastAsia" w:ascii="宋体" w:hAnsi="宋体" w:cs="宋体"/>
                <w:color w:val="000000"/>
                <w:sz w:val="21"/>
                <w:szCs w:val="21"/>
                <w:highlight w:val="none"/>
              </w:rPr>
            </w:pPr>
            <w:r>
              <w:rPr>
                <w:rFonts w:hint="eastAsia" w:ascii="宋体" w:hAnsi="宋体" w:cs="宋体"/>
                <w:color w:val="000000"/>
                <w:sz w:val="21"/>
                <w:szCs w:val="21"/>
                <w:highlight w:val="none"/>
              </w:rPr>
              <w:t>业绩得分=（所投产品业绩/基准业绩）×标准分值</w:t>
            </w:r>
          </w:p>
          <w:p w14:paraId="7F74EFC9">
            <w:pPr>
              <w:spacing w:line="360" w:lineRule="exact"/>
              <w:rPr>
                <w:rFonts w:hint="eastAsia" w:ascii="宋体" w:hAnsi="宋体" w:eastAsia="宋体" w:cs="宋体"/>
                <w:color w:val="000000"/>
                <w:sz w:val="21"/>
                <w:szCs w:val="21"/>
                <w:highlight w:val="none"/>
                <w:lang w:eastAsia="zh-CN"/>
              </w:rPr>
            </w:pPr>
            <w:r>
              <w:rPr>
                <w:rFonts w:hint="eastAsia" w:ascii="宋体" w:hAnsi="宋体" w:cs="宋体"/>
                <w:color w:val="000000"/>
                <w:sz w:val="21"/>
                <w:szCs w:val="21"/>
                <w:highlight w:val="none"/>
              </w:rPr>
              <w:t>基准业绩=近三年（截止开标时间）有效合同</w:t>
            </w:r>
            <w:r>
              <w:rPr>
                <w:rFonts w:hint="eastAsia" w:ascii="宋体" w:hAnsi="宋体" w:cs="宋体"/>
                <w:color w:val="000000"/>
                <w:sz w:val="21"/>
                <w:szCs w:val="21"/>
                <w:highlight w:val="none"/>
                <w:lang w:eastAsia="zh-CN"/>
              </w:rPr>
              <w:t>中</w:t>
            </w:r>
            <w:r>
              <w:rPr>
                <w:rFonts w:hint="eastAsia" w:ascii="宋体" w:hAnsi="宋体" w:cs="宋体"/>
                <w:color w:val="000000"/>
                <w:sz w:val="21"/>
                <w:szCs w:val="21"/>
                <w:highlight w:val="none"/>
              </w:rPr>
              <w:t>所投产品累计销售</w:t>
            </w:r>
            <w:r>
              <w:rPr>
                <w:rFonts w:hint="eastAsia" w:ascii="宋体" w:hAnsi="宋体" w:cs="宋体"/>
                <w:color w:val="000000"/>
                <w:sz w:val="21"/>
                <w:szCs w:val="21"/>
                <w:highlight w:val="none"/>
                <w:lang w:eastAsia="zh-CN"/>
              </w:rPr>
              <w:t>总数量（累计销售总数量是指单个投标人所投产品最高数量）。</w:t>
            </w:r>
          </w:p>
          <w:p w14:paraId="3A461944">
            <w:pPr>
              <w:spacing w:line="360" w:lineRule="exact"/>
              <w:rPr>
                <w:rFonts w:asciiTheme="minorEastAsia" w:hAnsiTheme="minorEastAsia" w:eastAsiaTheme="minorEastAsia"/>
                <w:bCs/>
                <w:sz w:val="20"/>
                <w:szCs w:val="20"/>
                <w:highlight w:val="none"/>
              </w:rPr>
            </w:pPr>
            <w:r>
              <w:rPr>
                <w:rFonts w:hint="eastAsia" w:ascii="宋体" w:hAnsi="宋体" w:cs="宋体"/>
                <w:color w:val="000000"/>
                <w:sz w:val="21"/>
                <w:szCs w:val="21"/>
                <w:highlight w:val="none"/>
              </w:rPr>
              <w:t>计算过程有小数点的保留两位小数，小数点后第三位“四舍五入”</w:t>
            </w:r>
          </w:p>
        </w:tc>
        <w:tc>
          <w:tcPr>
            <w:tcW w:w="585" w:type="pct"/>
            <w:tcBorders>
              <w:top w:val="nil"/>
              <w:left w:val="nil"/>
              <w:bottom w:val="single" w:color="auto" w:sz="4" w:space="0"/>
              <w:right w:val="single" w:color="auto" w:sz="4" w:space="0"/>
            </w:tcBorders>
            <w:vAlign w:val="center"/>
          </w:tcPr>
          <w:p w14:paraId="01D44841">
            <w:pPr>
              <w:pStyle w:val="154"/>
              <w:spacing w:line="360" w:lineRule="exact"/>
              <w:ind w:firstLine="0" w:firstLineChars="0"/>
              <w:jc w:val="center"/>
              <w:rPr>
                <w:rFonts w:hint="eastAsia" w:asciiTheme="minorEastAsia" w:hAnsiTheme="minorEastAsia" w:eastAsiaTheme="minorEastAsia"/>
                <w:bCs/>
                <w:sz w:val="20"/>
                <w:szCs w:val="20"/>
                <w:highlight w:val="none"/>
                <w:lang w:val="en-US" w:eastAsia="zh-CN"/>
              </w:rPr>
            </w:pPr>
            <w:r>
              <w:rPr>
                <w:rFonts w:hint="eastAsia" w:ascii="宋体" w:hAnsi="宋体" w:cs="宋体"/>
                <w:color w:val="000000"/>
                <w:sz w:val="21"/>
                <w:szCs w:val="21"/>
                <w:highlight w:val="none"/>
              </w:rPr>
              <w:t>4分</w:t>
            </w:r>
          </w:p>
        </w:tc>
        <w:tc>
          <w:tcPr>
            <w:tcW w:w="677" w:type="pct"/>
            <w:tcBorders>
              <w:top w:val="single" w:color="auto" w:sz="4" w:space="0"/>
              <w:left w:val="nil"/>
              <w:bottom w:val="single" w:color="auto" w:sz="4" w:space="0"/>
              <w:right w:val="single" w:color="auto" w:sz="4" w:space="0"/>
            </w:tcBorders>
            <w:vAlign w:val="center"/>
          </w:tcPr>
          <w:p w14:paraId="4B455F54">
            <w:pPr>
              <w:jc w:val="center"/>
              <w:rPr>
                <w:bCs/>
                <w:sz w:val="24"/>
                <w:highlight w:val="none"/>
              </w:rPr>
            </w:pPr>
          </w:p>
        </w:tc>
        <w:tc>
          <w:tcPr>
            <w:tcW w:w="655" w:type="pct"/>
            <w:tcBorders>
              <w:top w:val="single" w:color="auto" w:sz="4" w:space="0"/>
              <w:left w:val="nil"/>
              <w:bottom w:val="single" w:color="auto" w:sz="4" w:space="0"/>
              <w:right w:val="single" w:color="auto" w:sz="4" w:space="0"/>
            </w:tcBorders>
            <w:vAlign w:val="center"/>
          </w:tcPr>
          <w:p w14:paraId="01CF0EC6">
            <w:pPr>
              <w:jc w:val="center"/>
              <w:rPr>
                <w:bCs/>
                <w:sz w:val="24"/>
                <w:highlight w:val="none"/>
              </w:rPr>
            </w:pPr>
          </w:p>
        </w:tc>
      </w:tr>
      <w:tr w14:paraId="39894354">
        <w:tblPrEx>
          <w:tblCellMar>
            <w:top w:w="0" w:type="dxa"/>
            <w:left w:w="108" w:type="dxa"/>
            <w:bottom w:w="0" w:type="dxa"/>
            <w:right w:w="108" w:type="dxa"/>
          </w:tblCellMar>
        </w:tblPrEx>
        <w:trPr>
          <w:trHeight w:val="680" w:hRule="atLeast"/>
          <w:jc w:val="center"/>
        </w:trPr>
        <w:tc>
          <w:tcPr>
            <w:tcW w:w="417" w:type="pct"/>
            <w:tcBorders>
              <w:top w:val="single" w:color="auto" w:sz="4" w:space="0"/>
              <w:left w:val="single" w:color="auto" w:sz="4" w:space="0"/>
              <w:bottom w:val="single" w:color="auto" w:sz="4" w:space="0"/>
              <w:right w:val="single" w:color="auto" w:sz="4" w:space="0"/>
            </w:tcBorders>
            <w:vAlign w:val="center"/>
          </w:tcPr>
          <w:p w14:paraId="093F44FF">
            <w:pPr>
              <w:jc w:val="center"/>
              <w:rPr>
                <w:rFonts w:hint="eastAsia" w:asciiTheme="minorEastAsia" w:hAnsiTheme="minorEastAsia" w:eastAsiaTheme="minorEastAsia"/>
                <w:bCs/>
                <w:sz w:val="24"/>
                <w:highlight w:val="none"/>
                <w:lang w:eastAsia="zh-CN"/>
              </w:rPr>
            </w:pPr>
            <w:r>
              <w:rPr>
                <w:rFonts w:hint="eastAsia" w:asciiTheme="minorEastAsia" w:hAnsiTheme="minorEastAsia" w:eastAsiaTheme="minorEastAsia"/>
                <w:bCs/>
                <w:sz w:val="24"/>
                <w:highlight w:val="none"/>
                <w:lang w:val="en-US" w:eastAsia="zh-CN"/>
              </w:rPr>
              <w:t>2</w:t>
            </w:r>
          </w:p>
        </w:tc>
        <w:tc>
          <w:tcPr>
            <w:tcW w:w="851" w:type="pct"/>
            <w:vMerge w:val="restart"/>
            <w:tcBorders>
              <w:top w:val="single" w:color="auto" w:sz="4" w:space="0"/>
              <w:left w:val="single" w:color="auto" w:sz="4" w:space="0"/>
              <w:bottom w:val="single" w:color="auto" w:sz="4" w:space="0"/>
              <w:right w:val="single" w:color="auto" w:sz="4" w:space="0"/>
            </w:tcBorders>
            <w:vAlign w:val="center"/>
          </w:tcPr>
          <w:p w14:paraId="39452FC1">
            <w:pPr>
              <w:jc w:val="center"/>
              <w:rPr>
                <w:rFonts w:asciiTheme="minorEastAsia" w:hAnsiTheme="minorEastAsia" w:eastAsiaTheme="minorEastAsia"/>
                <w:bCs/>
                <w:sz w:val="24"/>
                <w:highlight w:val="none"/>
              </w:rPr>
            </w:pPr>
            <w:r>
              <w:rPr>
                <w:rFonts w:hint="eastAsia" w:asciiTheme="minorEastAsia" w:hAnsiTheme="minorEastAsia" w:eastAsiaTheme="minorEastAsia"/>
                <w:bCs/>
                <w:sz w:val="24"/>
                <w:highlight w:val="none"/>
                <w:lang w:eastAsia="zh-CN"/>
              </w:rPr>
              <w:t>企业标准</w:t>
            </w:r>
          </w:p>
        </w:tc>
        <w:tc>
          <w:tcPr>
            <w:tcW w:w="3472" w:type="dxa"/>
            <w:tcBorders>
              <w:top w:val="single" w:color="auto" w:sz="4" w:space="0"/>
              <w:left w:val="single" w:color="auto" w:sz="4" w:space="0"/>
              <w:bottom w:val="single" w:color="auto" w:sz="4" w:space="0"/>
              <w:right w:val="single" w:color="auto" w:sz="4" w:space="0"/>
            </w:tcBorders>
            <w:vAlign w:val="center"/>
          </w:tcPr>
          <w:p w14:paraId="54FC7B86">
            <w:pPr>
              <w:pStyle w:val="154"/>
              <w:spacing w:line="360" w:lineRule="exact"/>
              <w:rPr>
                <w:rFonts w:hint="eastAsia" w:ascii="宋体" w:hAnsi="宋体" w:cs="宋体"/>
                <w:color w:val="000000"/>
                <w:sz w:val="21"/>
                <w:szCs w:val="21"/>
                <w:highlight w:val="none"/>
              </w:rPr>
            </w:pPr>
            <w:r>
              <w:rPr>
                <w:rFonts w:hint="eastAsia" w:ascii="宋体" w:hAnsi="宋体" w:cs="宋体"/>
                <w:color w:val="000000"/>
                <w:sz w:val="21"/>
                <w:szCs w:val="21"/>
                <w:highlight w:val="none"/>
              </w:rPr>
              <w:t>1.根据报价方近1年（202</w:t>
            </w:r>
            <w:r>
              <w:rPr>
                <w:rFonts w:hint="eastAsia" w:ascii="宋体" w:hAnsi="宋体" w:cs="宋体"/>
                <w:color w:val="000000"/>
                <w:sz w:val="21"/>
                <w:szCs w:val="21"/>
                <w:highlight w:val="none"/>
                <w:lang w:val="en-US" w:eastAsia="zh-CN"/>
              </w:rPr>
              <w:t>3</w:t>
            </w:r>
            <w:r>
              <w:rPr>
                <w:rFonts w:hint="eastAsia" w:ascii="宋体" w:hAnsi="宋体" w:cs="宋体"/>
                <w:color w:val="000000"/>
                <w:sz w:val="21"/>
                <w:szCs w:val="21"/>
                <w:highlight w:val="none"/>
              </w:rPr>
              <w:t>年）资产总额进行评分，第一名得1分，依次递减0.2分。</w:t>
            </w:r>
          </w:p>
          <w:p w14:paraId="62440FEB">
            <w:pPr>
              <w:pStyle w:val="154"/>
              <w:spacing w:line="360" w:lineRule="exact"/>
              <w:ind w:firstLine="0" w:firstLineChars="0"/>
              <w:rPr>
                <w:rFonts w:asciiTheme="minorEastAsia" w:hAnsiTheme="minorEastAsia" w:eastAsiaTheme="minorEastAsia"/>
                <w:bCs/>
                <w:sz w:val="20"/>
                <w:szCs w:val="20"/>
                <w:highlight w:val="none"/>
              </w:rPr>
            </w:pPr>
            <w:r>
              <w:rPr>
                <w:rFonts w:hint="eastAsia" w:ascii="宋体" w:hAnsi="宋体" w:cs="宋体"/>
                <w:color w:val="000000"/>
                <w:sz w:val="21"/>
                <w:szCs w:val="21"/>
                <w:highlight w:val="none"/>
              </w:rPr>
              <w:t>【以第三方会计师事务所出具的审计报告或公司财务报告（表）数据为准，未提供的得0分】</w:t>
            </w:r>
          </w:p>
        </w:tc>
        <w:tc>
          <w:tcPr>
            <w:tcW w:w="585" w:type="pct"/>
            <w:tcBorders>
              <w:top w:val="single" w:color="auto" w:sz="4" w:space="0"/>
              <w:left w:val="single" w:color="auto" w:sz="4" w:space="0"/>
              <w:bottom w:val="single" w:color="auto" w:sz="4" w:space="0"/>
              <w:right w:val="single" w:color="auto" w:sz="4" w:space="0"/>
            </w:tcBorders>
            <w:vAlign w:val="center"/>
          </w:tcPr>
          <w:p w14:paraId="7A2ECC31">
            <w:pPr>
              <w:pStyle w:val="154"/>
              <w:spacing w:line="360" w:lineRule="exact"/>
              <w:ind w:firstLine="0" w:firstLineChars="0"/>
              <w:jc w:val="center"/>
              <w:rPr>
                <w:rFonts w:hint="eastAsia" w:asciiTheme="minorEastAsia" w:hAnsiTheme="minorEastAsia" w:eastAsiaTheme="minorEastAsia"/>
                <w:bCs/>
                <w:sz w:val="20"/>
                <w:szCs w:val="20"/>
                <w:highlight w:val="none"/>
                <w:lang w:val="en-US" w:eastAsia="zh-CN"/>
              </w:rPr>
            </w:pPr>
            <w:r>
              <w:rPr>
                <w:rFonts w:hint="eastAsia" w:ascii="宋体" w:hAnsi="宋体" w:cs="宋体"/>
                <w:color w:val="000000"/>
                <w:sz w:val="21"/>
                <w:szCs w:val="21"/>
                <w:highlight w:val="none"/>
              </w:rPr>
              <w:t>1分</w:t>
            </w:r>
          </w:p>
        </w:tc>
        <w:tc>
          <w:tcPr>
            <w:tcW w:w="677" w:type="pct"/>
            <w:tcBorders>
              <w:top w:val="single" w:color="auto" w:sz="4" w:space="0"/>
              <w:left w:val="single" w:color="auto" w:sz="4" w:space="0"/>
              <w:bottom w:val="single" w:color="auto" w:sz="4" w:space="0"/>
              <w:right w:val="single" w:color="auto" w:sz="4" w:space="0"/>
            </w:tcBorders>
            <w:vAlign w:val="center"/>
          </w:tcPr>
          <w:p w14:paraId="40F73FBC">
            <w:pPr>
              <w:jc w:val="center"/>
              <w:rPr>
                <w:bCs/>
                <w:sz w:val="24"/>
                <w:highlight w:val="none"/>
              </w:rPr>
            </w:pPr>
          </w:p>
        </w:tc>
        <w:tc>
          <w:tcPr>
            <w:tcW w:w="655" w:type="pct"/>
            <w:tcBorders>
              <w:top w:val="single" w:color="auto" w:sz="4" w:space="0"/>
              <w:left w:val="single" w:color="auto" w:sz="4" w:space="0"/>
              <w:bottom w:val="single" w:color="auto" w:sz="4" w:space="0"/>
              <w:right w:val="single" w:color="auto" w:sz="4" w:space="0"/>
            </w:tcBorders>
            <w:vAlign w:val="center"/>
          </w:tcPr>
          <w:p w14:paraId="42C3E077">
            <w:pPr>
              <w:jc w:val="center"/>
              <w:rPr>
                <w:bCs/>
                <w:sz w:val="24"/>
                <w:highlight w:val="none"/>
              </w:rPr>
            </w:pPr>
          </w:p>
        </w:tc>
      </w:tr>
      <w:tr w14:paraId="7D92B59A">
        <w:tblPrEx>
          <w:tblCellMar>
            <w:top w:w="0" w:type="dxa"/>
            <w:left w:w="108" w:type="dxa"/>
            <w:bottom w:w="0" w:type="dxa"/>
            <w:right w:w="108" w:type="dxa"/>
          </w:tblCellMar>
        </w:tblPrEx>
        <w:trPr>
          <w:trHeight w:val="680" w:hRule="atLeast"/>
          <w:jc w:val="center"/>
        </w:trPr>
        <w:tc>
          <w:tcPr>
            <w:tcW w:w="417" w:type="pct"/>
            <w:tcBorders>
              <w:top w:val="single" w:color="auto" w:sz="4" w:space="0"/>
              <w:left w:val="single" w:color="auto" w:sz="4" w:space="0"/>
              <w:bottom w:val="single" w:color="auto" w:sz="4" w:space="0"/>
              <w:right w:val="single" w:color="auto" w:sz="4" w:space="0"/>
            </w:tcBorders>
            <w:vAlign w:val="center"/>
          </w:tcPr>
          <w:p w14:paraId="5D03F0C0">
            <w:pPr>
              <w:jc w:val="center"/>
              <w:rPr>
                <w:rFonts w:hint="eastAsia" w:asciiTheme="minorEastAsia" w:hAnsiTheme="minorEastAsia" w:eastAsiaTheme="minorEastAsia"/>
                <w:bCs/>
                <w:sz w:val="24"/>
                <w:highlight w:val="none"/>
                <w:lang w:eastAsia="zh-CN"/>
              </w:rPr>
            </w:pPr>
            <w:r>
              <w:rPr>
                <w:rFonts w:hint="eastAsia" w:asciiTheme="minorEastAsia" w:hAnsiTheme="minorEastAsia" w:eastAsiaTheme="minorEastAsia"/>
                <w:bCs/>
                <w:sz w:val="24"/>
                <w:highlight w:val="none"/>
                <w:lang w:val="en-US" w:eastAsia="zh-CN"/>
              </w:rPr>
              <w:t>3</w:t>
            </w:r>
          </w:p>
        </w:tc>
        <w:tc>
          <w:tcPr>
            <w:tcW w:w="851" w:type="pct"/>
            <w:vMerge w:val="continue"/>
            <w:tcBorders>
              <w:top w:val="single" w:color="auto" w:sz="4" w:space="0"/>
              <w:left w:val="single" w:color="auto" w:sz="4" w:space="0"/>
              <w:bottom w:val="single" w:color="auto" w:sz="4" w:space="0"/>
              <w:right w:val="single" w:color="auto" w:sz="4" w:space="0"/>
            </w:tcBorders>
            <w:vAlign w:val="center"/>
          </w:tcPr>
          <w:p w14:paraId="29D7D223">
            <w:pPr>
              <w:jc w:val="center"/>
              <w:rPr>
                <w:rFonts w:asciiTheme="minorEastAsia" w:hAnsiTheme="minorEastAsia" w:eastAsiaTheme="minorEastAsia"/>
                <w:bCs/>
                <w:sz w:val="24"/>
                <w:highlight w:val="none"/>
              </w:rPr>
            </w:pPr>
          </w:p>
        </w:tc>
        <w:tc>
          <w:tcPr>
            <w:tcW w:w="3472" w:type="dxa"/>
            <w:tcBorders>
              <w:top w:val="single" w:color="auto" w:sz="4" w:space="0"/>
              <w:left w:val="single" w:color="auto" w:sz="4" w:space="0"/>
              <w:bottom w:val="single" w:color="auto" w:sz="4" w:space="0"/>
              <w:right w:val="single" w:color="auto" w:sz="4" w:space="0"/>
            </w:tcBorders>
            <w:vAlign w:val="center"/>
          </w:tcPr>
          <w:p w14:paraId="1E57DAEF">
            <w:pPr>
              <w:pStyle w:val="154"/>
              <w:spacing w:line="360" w:lineRule="exact"/>
              <w:rPr>
                <w:rFonts w:hint="eastAsia" w:ascii="宋体" w:hAnsi="宋体" w:cs="宋体"/>
                <w:color w:val="000000"/>
                <w:sz w:val="21"/>
                <w:szCs w:val="21"/>
                <w:highlight w:val="none"/>
              </w:rPr>
            </w:pPr>
            <w:r>
              <w:rPr>
                <w:rFonts w:hint="eastAsia" w:ascii="宋体" w:hAnsi="宋体" w:cs="宋体"/>
                <w:color w:val="000000"/>
                <w:sz w:val="21"/>
                <w:szCs w:val="21"/>
                <w:highlight w:val="none"/>
              </w:rPr>
              <w:t>2.根据报价方缴纳社保人数由大至小排名，第一名得1分，依次递减0.2分。</w:t>
            </w:r>
          </w:p>
          <w:p w14:paraId="14121443">
            <w:pPr>
              <w:pStyle w:val="154"/>
              <w:spacing w:line="360" w:lineRule="exact"/>
              <w:ind w:firstLine="0" w:firstLineChars="0"/>
              <w:rPr>
                <w:rFonts w:asciiTheme="minorEastAsia" w:hAnsiTheme="minorEastAsia" w:eastAsiaTheme="minorEastAsia"/>
                <w:bCs/>
                <w:sz w:val="20"/>
                <w:szCs w:val="20"/>
                <w:highlight w:val="none"/>
              </w:rPr>
            </w:pPr>
            <w:r>
              <w:rPr>
                <w:rFonts w:hint="eastAsia" w:ascii="宋体" w:hAnsi="宋体" w:cs="宋体"/>
                <w:color w:val="000000"/>
                <w:sz w:val="21"/>
                <w:szCs w:val="21"/>
                <w:highlight w:val="none"/>
              </w:rPr>
              <w:t>【提供社保机构出具的缴纳证明材料（截止时间至少为开标前的2个月），以正常参保人数进行评审，证明材料不清晰或资料不全的不得计为有效人数，企业未缴纳社保或未提供的得0分】</w:t>
            </w:r>
          </w:p>
        </w:tc>
        <w:tc>
          <w:tcPr>
            <w:tcW w:w="585" w:type="pct"/>
            <w:tcBorders>
              <w:top w:val="single" w:color="auto" w:sz="4" w:space="0"/>
              <w:left w:val="single" w:color="auto" w:sz="4" w:space="0"/>
              <w:bottom w:val="single" w:color="auto" w:sz="4" w:space="0"/>
              <w:right w:val="single" w:color="auto" w:sz="4" w:space="0"/>
            </w:tcBorders>
            <w:vAlign w:val="center"/>
          </w:tcPr>
          <w:p w14:paraId="67E5B224">
            <w:pPr>
              <w:pStyle w:val="154"/>
              <w:spacing w:line="360" w:lineRule="exact"/>
              <w:ind w:firstLine="0" w:firstLineChars="0"/>
              <w:jc w:val="center"/>
              <w:rPr>
                <w:rFonts w:hint="eastAsia" w:asciiTheme="minorEastAsia" w:hAnsiTheme="minorEastAsia" w:eastAsiaTheme="minorEastAsia"/>
                <w:bCs/>
                <w:sz w:val="20"/>
                <w:szCs w:val="20"/>
                <w:highlight w:val="none"/>
                <w:lang w:val="en-US" w:eastAsia="zh-CN"/>
              </w:rPr>
            </w:pPr>
            <w:r>
              <w:rPr>
                <w:rFonts w:hint="eastAsia" w:ascii="宋体" w:hAnsi="宋体" w:cs="宋体"/>
                <w:color w:val="000000"/>
                <w:sz w:val="21"/>
                <w:szCs w:val="21"/>
                <w:highlight w:val="none"/>
              </w:rPr>
              <w:t>1分</w:t>
            </w:r>
          </w:p>
        </w:tc>
        <w:tc>
          <w:tcPr>
            <w:tcW w:w="677" w:type="pct"/>
            <w:tcBorders>
              <w:top w:val="single" w:color="auto" w:sz="4" w:space="0"/>
              <w:left w:val="single" w:color="auto" w:sz="4" w:space="0"/>
              <w:bottom w:val="single" w:color="auto" w:sz="4" w:space="0"/>
              <w:right w:val="single" w:color="auto" w:sz="4" w:space="0"/>
            </w:tcBorders>
            <w:vAlign w:val="center"/>
          </w:tcPr>
          <w:p w14:paraId="108F53D8">
            <w:pPr>
              <w:jc w:val="center"/>
              <w:rPr>
                <w:bCs/>
                <w:sz w:val="24"/>
                <w:highlight w:val="none"/>
              </w:rPr>
            </w:pPr>
          </w:p>
        </w:tc>
        <w:tc>
          <w:tcPr>
            <w:tcW w:w="655" w:type="pct"/>
            <w:tcBorders>
              <w:top w:val="single" w:color="auto" w:sz="4" w:space="0"/>
              <w:left w:val="single" w:color="auto" w:sz="4" w:space="0"/>
              <w:bottom w:val="single" w:color="auto" w:sz="4" w:space="0"/>
              <w:right w:val="single" w:color="auto" w:sz="4" w:space="0"/>
            </w:tcBorders>
            <w:vAlign w:val="center"/>
          </w:tcPr>
          <w:p w14:paraId="7F3C8FC9">
            <w:pPr>
              <w:jc w:val="center"/>
              <w:rPr>
                <w:bCs/>
                <w:sz w:val="24"/>
                <w:highlight w:val="none"/>
              </w:rPr>
            </w:pPr>
          </w:p>
        </w:tc>
      </w:tr>
      <w:tr w14:paraId="259217BF">
        <w:tblPrEx>
          <w:tblCellMar>
            <w:top w:w="0" w:type="dxa"/>
            <w:left w:w="108" w:type="dxa"/>
            <w:bottom w:w="0" w:type="dxa"/>
            <w:right w:w="108" w:type="dxa"/>
          </w:tblCellMar>
        </w:tblPrEx>
        <w:trPr>
          <w:trHeight w:val="680" w:hRule="atLeast"/>
          <w:jc w:val="center"/>
        </w:trPr>
        <w:tc>
          <w:tcPr>
            <w:tcW w:w="417" w:type="pct"/>
            <w:tcBorders>
              <w:top w:val="single" w:color="auto" w:sz="4" w:space="0"/>
              <w:left w:val="single" w:color="auto" w:sz="4" w:space="0"/>
              <w:bottom w:val="single" w:color="auto" w:sz="4" w:space="0"/>
              <w:right w:val="single" w:color="auto" w:sz="4" w:space="0"/>
            </w:tcBorders>
            <w:vAlign w:val="center"/>
          </w:tcPr>
          <w:p w14:paraId="526BFF73">
            <w:pPr>
              <w:jc w:val="center"/>
              <w:rPr>
                <w:rFonts w:hint="eastAsia" w:asciiTheme="minorEastAsia" w:hAnsiTheme="minorEastAsia" w:eastAsiaTheme="minorEastAsia"/>
                <w:bCs/>
                <w:sz w:val="24"/>
                <w:highlight w:val="none"/>
                <w:lang w:eastAsia="zh-CN"/>
              </w:rPr>
            </w:pPr>
            <w:r>
              <w:rPr>
                <w:rFonts w:hint="eastAsia" w:asciiTheme="minorEastAsia" w:hAnsiTheme="minorEastAsia" w:eastAsiaTheme="minorEastAsia"/>
                <w:bCs/>
                <w:sz w:val="24"/>
                <w:highlight w:val="none"/>
                <w:lang w:val="en-US" w:eastAsia="zh-CN"/>
              </w:rPr>
              <w:t>4</w:t>
            </w:r>
          </w:p>
        </w:tc>
        <w:tc>
          <w:tcPr>
            <w:tcW w:w="851" w:type="pct"/>
            <w:vMerge w:val="restart"/>
            <w:tcBorders>
              <w:top w:val="single" w:color="auto" w:sz="4" w:space="0"/>
              <w:left w:val="nil"/>
              <w:right w:val="single" w:color="auto" w:sz="4" w:space="0"/>
            </w:tcBorders>
            <w:vAlign w:val="center"/>
          </w:tcPr>
          <w:p w14:paraId="54BD3353">
            <w:pPr>
              <w:jc w:val="center"/>
              <w:rPr>
                <w:rFonts w:hint="eastAsia" w:asciiTheme="minorEastAsia" w:hAnsiTheme="minorEastAsia" w:eastAsiaTheme="minorEastAsia"/>
                <w:bCs/>
                <w:sz w:val="24"/>
                <w:highlight w:val="none"/>
                <w:lang w:eastAsia="zh-CN"/>
              </w:rPr>
            </w:pPr>
            <w:r>
              <w:rPr>
                <w:rFonts w:hint="eastAsia" w:asciiTheme="minorEastAsia" w:hAnsiTheme="minorEastAsia" w:eastAsiaTheme="minorEastAsia"/>
                <w:bCs/>
                <w:sz w:val="24"/>
                <w:highlight w:val="none"/>
                <w:lang w:eastAsia="zh-CN"/>
              </w:rPr>
              <w:t>信誉</w:t>
            </w:r>
          </w:p>
          <w:p w14:paraId="1F9FA0B3">
            <w:pPr>
              <w:jc w:val="center"/>
              <w:rPr>
                <w:rFonts w:asciiTheme="minorEastAsia" w:hAnsiTheme="minorEastAsia" w:eastAsiaTheme="minorEastAsia"/>
                <w:bCs/>
                <w:sz w:val="24"/>
                <w:highlight w:val="none"/>
              </w:rPr>
            </w:pPr>
          </w:p>
        </w:tc>
        <w:tc>
          <w:tcPr>
            <w:tcW w:w="3472" w:type="dxa"/>
            <w:tcBorders>
              <w:top w:val="single" w:color="auto" w:sz="4" w:space="0"/>
              <w:left w:val="nil"/>
              <w:bottom w:val="single" w:color="auto" w:sz="4" w:space="0"/>
              <w:right w:val="single" w:color="auto" w:sz="4" w:space="0"/>
            </w:tcBorders>
            <w:vAlign w:val="center"/>
          </w:tcPr>
          <w:p w14:paraId="4948939D">
            <w:pPr>
              <w:pStyle w:val="154"/>
              <w:spacing w:line="360" w:lineRule="exact"/>
              <w:rPr>
                <w:rFonts w:hint="eastAsia" w:ascii="宋体" w:hAnsi="宋体" w:cs="宋体"/>
                <w:color w:val="000000"/>
                <w:sz w:val="21"/>
                <w:szCs w:val="21"/>
                <w:highlight w:val="none"/>
              </w:rPr>
            </w:pPr>
            <w:r>
              <w:rPr>
                <w:rFonts w:hint="eastAsia" w:ascii="宋体" w:hAnsi="宋体" w:cs="宋体"/>
                <w:color w:val="000000"/>
                <w:sz w:val="21"/>
                <w:szCs w:val="21"/>
                <w:highlight w:val="none"/>
              </w:rPr>
              <w:t>1.报价方近两年（截止报价文件递交时间）连续获得税务部门颁发的纳税信用A级证书的得0.5分，其他得0分。</w:t>
            </w:r>
          </w:p>
          <w:p w14:paraId="481B993F">
            <w:pPr>
              <w:pStyle w:val="154"/>
              <w:spacing w:line="360" w:lineRule="exact"/>
              <w:ind w:firstLine="0" w:firstLineChars="0"/>
              <w:rPr>
                <w:rFonts w:asciiTheme="minorEastAsia" w:hAnsiTheme="minorEastAsia" w:eastAsiaTheme="minorEastAsia"/>
                <w:bCs/>
                <w:sz w:val="24"/>
                <w:highlight w:val="none"/>
              </w:rPr>
            </w:pPr>
            <w:r>
              <w:rPr>
                <w:rFonts w:hint="eastAsia" w:ascii="宋体" w:hAnsi="宋体" w:cs="宋体"/>
                <w:color w:val="000000"/>
                <w:sz w:val="21"/>
                <w:szCs w:val="21"/>
                <w:highlight w:val="none"/>
              </w:rPr>
              <w:t>【提供证书复印件或网站截图或政府书面文件为依据】</w:t>
            </w:r>
          </w:p>
        </w:tc>
        <w:tc>
          <w:tcPr>
            <w:tcW w:w="585" w:type="pct"/>
            <w:tcBorders>
              <w:top w:val="single" w:color="auto" w:sz="4" w:space="0"/>
              <w:left w:val="nil"/>
              <w:bottom w:val="single" w:color="auto" w:sz="4" w:space="0"/>
              <w:right w:val="single" w:color="auto" w:sz="4" w:space="0"/>
            </w:tcBorders>
            <w:vAlign w:val="center"/>
          </w:tcPr>
          <w:p w14:paraId="1109745C">
            <w:pPr>
              <w:pStyle w:val="154"/>
              <w:spacing w:line="360" w:lineRule="exact"/>
              <w:ind w:firstLine="0" w:firstLineChars="0"/>
              <w:jc w:val="center"/>
              <w:rPr>
                <w:rFonts w:hint="eastAsia" w:asciiTheme="minorEastAsia" w:hAnsiTheme="minorEastAsia" w:eastAsiaTheme="minorEastAsia"/>
                <w:bCs/>
                <w:sz w:val="20"/>
                <w:szCs w:val="20"/>
                <w:highlight w:val="none"/>
                <w:lang w:val="en-US" w:eastAsia="zh-CN"/>
              </w:rPr>
            </w:pPr>
            <w:r>
              <w:rPr>
                <w:rFonts w:hint="eastAsia" w:ascii="宋体" w:hAnsi="宋体" w:cs="宋体"/>
                <w:color w:val="000000"/>
                <w:sz w:val="21"/>
                <w:szCs w:val="21"/>
                <w:highlight w:val="none"/>
              </w:rPr>
              <w:t>0.5</w:t>
            </w:r>
          </w:p>
        </w:tc>
        <w:tc>
          <w:tcPr>
            <w:tcW w:w="677" w:type="pct"/>
            <w:tcBorders>
              <w:top w:val="single" w:color="auto" w:sz="4" w:space="0"/>
              <w:left w:val="nil"/>
              <w:bottom w:val="single" w:color="auto" w:sz="4" w:space="0"/>
              <w:right w:val="single" w:color="auto" w:sz="4" w:space="0"/>
            </w:tcBorders>
            <w:vAlign w:val="center"/>
          </w:tcPr>
          <w:p w14:paraId="0D695C7A">
            <w:pPr>
              <w:jc w:val="center"/>
              <w:rPr>
                <w:bCs/>
                <w:sz w:val="24"/>
                <w:highlight w:val="none"/>
              </w:rPr>
            </w:pPr>
          </w:p>
        </w:tc>
        <w:tc>
          <w:tcPr>
            <w:tcW w:w="655" w:type="pct"/>
            <w:tcBorders>
              <w:top w:val="single" w:color="auto" w:sz="4" w:space="0"/>
              <w:left w:val="nil"/>
              <w:bottom w:val="single" w:color="auto" w:sz="4" w:space="0"/>
              <w:right w:val="single" w:color="auto" w:sz="4" w:space="0"/>
            </w:tcBorders>
            <w:vAlign w:val="center"/>
          </w:tcPr>
          <w:p w14:paraId="59FD9D5B">
            <w:pPr>
              <w:jc w:val="center"/>
              <w:rPr>
                <w:bCs/>
                <w:sz w:val="24"/>
                <w:highlight w:val="none"/>
              </w:rPr>
            </w:pPr>
          </w:p>
        </w:tc>
      </w:tr>
      <w:tr w14:paraId="616EC87B">
        <w:tblPrEx>
          <w:tblCellMar>
            <w:top w:w="0" w:type="dxa"/>
            <w:left w:w="108" w:type="dxa"/>
            <w:bottom w:w="0" w:type="dxa"/>
            <w:right w:w="108" w:type="dxa"/>
          </w:tblCellMar>
        </w:tblPrEx>
        <w:trPr>
          <w:trHeight w:val="680" w:hRule="atLeast"/>
          <w:jc w:val="center"/>
        </w:trPr>
        <w:tc>
          <w:tcPr>
            <w:tcW w:w="417" w:type="pct"/>
            <w:tcBorders>
              <w:top w:val="nil"/>
              <w:left w:val="single" w:color="auto" w:sz="4" w:space="0"/>
              <w:bottom w:val="single" w:color="auto" w:sz="4" w:space="0"/>
              <w:right w:val="single" w:color="auto" w:sz="4" w:space="0"/>
            </w:tcBorders>
            <w:vAlign w:val="center"/>
          </w:tcPr>
          <w:p w14:paraId="4CC24611">
            <w:pPr>
              <w:jc w:val="center"/>
              <w:rPr>
                <w:rFonts w:hint="eastAsia" w:asciiTheme="minorEastAsia" w:hAnsiTheme="minorEastAsia" w:eastAsiaTheme="minorEastAsia"/>
                <w:bCs/>
                <w:sz w:val="24"/>
                <w:highlight w:val="none"/>
                <w:lang w:eastAsia="zh-CN"/>
              </w:rPr>
            </w:pPr>
            <w:r>
              <w:rPr>
                <w:rFonts w:hint="eastAsia" w:asciiTheme="minorEastAsia" w:hAnsiTheme="minorEastAsia" w:eastAsiaTheme="minorEastAsia"/>
                <w:bCs/>
                <w:sz w:val="24"/>
                <w:highlight w:val="none"/>
                <w:lang w:val="en-US" w:eastAsia="zh-CN"/>
              </w:rPr>
              <w:t>5</w:t>
            </w:r>
          </w:p>
        </w:tc>
        <w:tc>
          <w:tcPr>
            <w:tcW w:w="851" w:type="pct"/>
            <w:vMerge w:val="continue"/>
            <w:tcBorders>
              <w:left w:val="nil"/>
              <w:right w:val="single" w:color="auto" w:sz="4" w:space="0"/>
            </w:tcBorders>
            <w:vAlign w:val="center"/>
          </w:tcPr>
          <w:p w14:paraId="5287D665">
            <w:pPr>
              <w:jc w:val="center"/>
              <w:rPr>
                <w:rFonts w:asciiTheme="minorEastAsia" w:hAnsiTheme="minorEastAsia" w:eastAsiaTheme="minorEastAsia"/>
                <w:bCs/>
                <w:sz w:val="24"/>
                <w:highlight w:val="none"/>
              </w:rPr>
            </w:pPr>
          </w:p>
        </w:tc>
        <w:tc>
          <w:tcPr>
            <w:tcW w:w="3472" w:type="dxa"/>
            <w:tcBorders>
              <w:top w:val="nil"/>
              <w:left w:val="nil"/>
              <w:bottom w:val="single" w:color="auto" w:sz="4" w:space="0"/>
              <w:right w:val="single" w:color="auto" w:sz="4" w:space="0"/>
            </w:tcBorders>
            <w:vAlign w:val="center"/>
          </w:tcPr>
          <w:p w14:paraId="3E84F97A">
            <w:pPr>
              <w:pStyle w:val="154"/>
              <w:spacing w:line="360" w:lineRule="exact"/>
              <w:ind w:firstLine="0" w:firstLineChars="0"/>
              <w:rPr>
                <w:rFonts w:asciiTheme="minorEastAsia" w:hAnsiTheme="minorEastAsia" w:eastAsiaTheme="minorEastAsia"/>
                <w:bCs/>
                <w:sz w:val="24"/>
                <w:highlight w:val="none"/>
              </w:rPr>
            </w:pPr>
            <w:r>
              <w:rPr>
                <w:rFonts w:hint="eastAsia" w:ascii="宋体" w:hAnsi="宋体" w:cs="宋体"/>
                <w:color w:val="000000"/>
                <w:sz w:val="21"/>
                <w:szCs w:val="21"/>
                <w:highlight w:val="none"/>
              </w:rPr>
              <w:t>2.报价方近一年（截止报价文件递交时间）获得银行颁发的资信（信用）等级证明，级别最高的得0.5分，其他得0分。</w:t>
            </w:r>
          </w:p>
        </w:tc>
        <w:tc>
          <w:tcPr>
            <w:tcW w:w="585" w:type="pct"/>
            <w:tcBorders>
              <w:top w:val="nil"/>
              <w:left w:val="nil"/>
              <w:bottom w:val="single" w:color="auto" w:sz="4" w:space="0"/>
              <w:right w:val="single" w:color="auto" w:sz="4" w:space="0"/>
            </w:tcBorders>
            <w:vAlign w:val="center"/>
          </w:tcPr>
          <w:p w14:paraId="759D2E22">
            <w:pPr>
              <w:pStyle w:val="154"/>
              <w:spacing w:line="360" w:lineRule="exact"/>
              <w:ind w:firstLine="0" w:firstLineChars="0"/>
              <w:jc w:val="center"/>
              <w:rPr>
                <w:rFonts w:hint="default" w:asciiTheme="minorEastAsia" w:hAnsiTheme="minorEastAsia" w:eastAsiaTheme="minorEastAsia"/>
                <w:bCs/>
                <w:sz w:val="20"/>
                <w:szCs w:val="20"/>
                <w:highlight w:val="none"/>
                <w:lang w:val="en-US" w:eastAsia="zh-CN"/>
              </w:rPr>
            </w:pPr>
            <w:r>
              <w:rPr>
                <w:rFonts w:hint="eastAsia" w:ascii="宋体" w:hAnsi="宋体" w:cs="宋体"/>
                <w:color w:val="000000"/>
                <w:sz w:val="21"/>
                <w:szCs w:val="21"/>
                <w:highlight w:val="none"/>
              </w:rPr>
              <w:t>0.5</w:t>
            </w:r>
          </w:p>
        </w:tc>
        <w:tc>
          <w:tcPr>
            <w:tcW w:w="677" w:type="pct"/>
            <w:tcBorders>
              <w:top w:val="single" w:color="auto" w:sz="4" w:space="0"/>
              <w:left w:val="nil"/>
              <w:bottom w:val="single" w:color="auto" w:sz="4" w:space="0"/>
              <w:right w:val="single" w:color="auto" w:sz="4" w:space="0"/>
            </w:tcBorders>
            <w:vAlign w:val="center"/>
          </w:tcPr>
          <w:p w14:paraId="5012C2E0">
            <w:pPr>
              <w:jc w:val="center"/>
              <w:rPr>
                <w:bCs/>
                <w:sz w:val="24"/>
                <w:highlight w:val="none"/>
              </w:rPr>
            </w:pPr>
          </w:p>
        </w:tc>
        <w:tc>
          <w:tcPr>
            <w:tcW w:w="655" w:type="pct"/>
            <w:tcBorders>
              <w:top w:val="single" w:color="auto" w:sz="4" w:space="0"/>
              <w:left w:val="nil"/>
              <w:bottom w:val="single" w:color="auto" w:sz="4" w:space="0"/>
              <w:right w:val="single" w:color="auto" w:sz="4" w:space="0"/>
            </w:tcBorders>
            <w:vAlign w:val="center"/>
          </w:tcPr>
          <w:p w14:paraId="758B8527">
            <w:pPr>
              <w:jc w:val="center"/>
              <w:rPr>
                <w:bCs/>
                <w:sz w:val="24"/>
                <w:highlight w:val="none"/>
              </w:rPr>
            </w:pPr>
          </w:p>
        </w:tc>
      </w:tr>
      <w:tr w14:paraId="0B596885">
        <w:tblPrEx>
          <w:tblCellMar>
            <w:top w:w="0" w:type="dxa"/>
            <w:left w:w="108" w:type="dxa"/>
            <w:bottom w:w="0" w:type="dxa"/>
            <w:right w:w="108" w:type="dxa"/>
          </w:tblCellMar>
        </w:tblPrEx>
        <w:trPr>
          <w:trHeight w:val="680" w:hRule="atLeast"/>
          <w:jc w:val="center"/>
        </w:trPr>
        <w:tc>
          <w:tcPr>
            <w:tcW w:w="417" w:type="pct"/>
            <w:tcBorders>
              <w:top w:val="single" w:color="auto" w:sz="4" w:space="0"/>
              <w:left w:val="single" w:color="auto" w:sz="4" w:space="0"/>
              <w:bottom w:val="single" w:color="auto" w:sz="4" w:space="0"/>
              <w:right w:val="single" w:color="auto" w:sz="4" w:space="0"/>
            </w:tcBorders>
            <w:vAlign w:val="center"/>
          </w:tcPr>
          <w:p w14:paraId="264F8F58">
            <w:pPr>
              <w:jc w:val="center"/>
              <w:rPr>
                <w:rFonts w:hint="eastAsia" w:asciiTheme="minorEastAsia" w:hAnsiTheme="minorEastAsia" w:eastAsiaTheme="minorEastAsia"/>
                <w:bCs/>
                <w:sz w:val="24"/>
                <w:highlight w:val="none"/>
                <w:lang w:eastAsia="zh-CN"/>
              </w:rPr>
            </w:pPr>
            <w:r>
              <w:rPr>
                <w:rFonts w:hint="eastAsia" w:asciiTheme="minorEastAsia" w:hAnsiTheme="minorEastAsia" w:eastAsiaTheme="minorEastAsia"/>
                <w:bCs/>
                <w:sz w:val="24"/>
                <w:highlight w:val="none"/>
                <w:lang w:val="en-US" w:eastAsia="zh-CN"/>
              </w:rPr>
              <w:t>6</w:t>
            </w:r>
          </w:p>
        </w:tc>
        <w:tc>
          <w:tcPr>
            <w:tcW w:w="851" w:type="pct"/>
            <w:vMerge w:val="continue"/>
            <w:tcBorders>
              <w:left w:val="nil"/>
              <w:right w:val="single" w:color="auto" w:sz="4" w:space="0"/>
            </w:tcBorders>
            <w:vAlign w:val="center"/>
          </w:tcPr>
          <w:p w14:paraId="1E5C5DEA">
            <w:pPr>
              <w:jc w:val="center"/>
              <w:rPr>
                <w:rFonts w:asciiTheme="minorEastAsia" w:hAnsiTheme="minorEastAsia" w:eastAsiaTheme="minorEastAsia"/>
                <w:bCs/>
                <w:sz w:val="24"/>
                <w:highlight w:val="none"/>
              </w:rPr>
            </w:pPr>
          </w:p>
        </w:tc>
        <w:tc>
          <w:tcPr>
            <w:tcW w:w="3472" w:type="dxa"/>
            <w:tcBorders>
              <w:top w:val="single" w:color="auto" w:sz="4" w:space="0"/>
              <w:left w:val="nil"/>
              <w:bottom w:val="single" w:color="auto" w:sz="4" w:space="0"/>
              <w:right w:val="single" w:color="auto" w:sz="4" w:space="0"/>
            </w:tcBorders>
            <w:vAlign w:val="center"/>
          </w:tcPr>
          <w:p w14:paraId="3895ED82">
            <w:pPr>
              <w:pStyle w:val="154"/>
              <w:spacing w:line="360" w:lineRule="exact"/>
              <w:rPr>
                <w:rFonts w:hint="eastAsia" w:ascii="宋体" w:hAnsi="宋体" w:cs="宋体"/>
                <w:color w:val="000000"/>
                <w:sz w:val="21"/>
                <w:szCs w:val="21"/>
                <w:highlight w:val="none"/>
              </w:rPr>
            </w:pPr>
            <w:r>
              <w:rPr>
                <w:rFonts w:hint="eastAsia" w:ascii="宋体" w:hAnsi="宋体" w:cs="宋体"/>
                <w:color w:val="000000"/>
                <w:sz w:val="21"/>
                <w:szCs w:val="21"/>
                <w:highlight w:val="none"/>
                <w:lang w:val="en-US" w:eastAsia="zh-CN"/>
              </w:rPr>
              <w:t>3.</w:t>
            </w:r>
            <w:r>
              <w:rPr>
                <w:rFonts w:hint="eastAsia" w:ascii="宋体" w:hAnsi="宋体" w:cs="宋体"/>
                <w:color w:val="000000"/>
                <w:sz w:val="21"/>
                <w:szCs w:val="21"/>
                <w:highlight w:val="none"/>
              </w:rPr>
              <w:t>近三年（截止报价文件递交时间）参加军队采购未通过首检的，每次得-1分。</w:t>
            </w:r>
          </w:p>
          <w:p w14:paraId="53DA819B">
            <w:pPr>
              <w:pStyle w:val="154"/>
              <w:spacing w:line="360" w:lineRule="exact"/>
              <w:ind w:firstLine="0" w:firstLineChars="0"/>
              <w:rPr>
                <w:rFonts w:asciiTheme="minorEastAsia" w:hAnsiTheme="minorEastAsia" w:eastAsiaTheme="minorEastAsia"/>
                <w:bCs/>
                <w:sz w:val="24"/>
                <w:highlight w:val="none"/>
              </w:rPr>
            </w:pPr>
            <w:r>
              <w:rPr>
                <w:rFonts w:hint="eastAsia" w:ascii="宋体" w:hAnsi="宋体" w:cs="宋体"/>
                <w:color w:val="000000"/>
                <w:sz w:val="21"/>
                <w:szCs w:val="21"/>
                <w:highlight w:val="none"/>
              </w:rPr>
              <w:t>（需求部门向采购管理部门提供违规供应商名单）</w:t>
            </w:r>
          </w:p>
        </w:tc>
        <w:tc>
          <w:tcPr>
            <w:tcW w:w="585" w:type="pct"/>
            <w:tcBorders>
              <w:top w:val="single" w:color="auto" w:sz="4" w:space="0"/>
              <w:left w:val="nil"/>
              <w:bottom w:val="single" w:color="auto" w:sz="4" w:space="0"/>
              <w:right w:val="single" w:color="auto" w:sz="4" w:space="0"/>
            </w:tcBorders>
            <w:vAlign w:val="center"/>
          </w:tcPr>
          <w:p w14:paraId="41965515">
            <w:pPr>
              <w:pStyle w:val="154"/>
              <w:spacing w:line="360" w:lineRule="exact"/>
              <w:ind w:firstLine="0" w:firstLineChars="0"/>
              <w:jc w:val="center"/>
              <w:rPr>
                <w:rFonts w:hint="eastAsia" w:asciiTheme="minorEastAsia" w:hAnsiTheme="minorEastAsia" w:eastAsiaTheme="minorEastAsia"/>
                <w:bCs/>
                <w:sz w:val="20"/>
                <w:szCs w:val="20"/>
                <w:highlight w:val="none"/>
              </w:rPr>
            </w:pPr>
            <w:r>
              <w:rPr>
                <w:rFonts w:hint="eastAsia" w:ascii="宋体" w:hAnsi="宋体" w:cs="宋体"/>
                <w:color w:val="000000"/>
                <w:sz w:val="21"/>
                <w:szCs w:val="21"/>
                <w:highlight w:val="none"/>
              </w:rPr>
              <w:t>可累计扣分</w:t>
            </w:r>
          </w:p>
        </w:tc>
        <w:tc>
          <w:tcPr>
            <w:tcW w:w="677" w:type="pct"/>
            <w:tcBorders>
              <w:top w:val="single" w:color="auto" w:sz="4" w:space="0"/>
              <w:left w:val="nil"/>
              <w:bottom w:val="single" w:color="auto" w:sz="4" w:space="0"/>
              <w:right w:val="single" w:color="auto" w:sz="4" w:space="0"/>
            </w:tcBorders>
            <w:vAlign w:val="center"/>
          </w:tcPr>
          <w:p w14:paraId="537AB3AC">
            <w:pPr>
              <w:jc w:val="center"/>
              <w:rPr>
                <w:bCs/>
                <w:sz w:val="24"/>
                <w:highlight w:val="none"/>
              </w:rPr>
            </w:pPr>
          </w:p>
        </w:tc>
        <w:tc>
          <w:tcPr>
            <w:tcW w:w="655" w:type="pct"/>
            <w:tcBorders>
              <w:top w:val="single" w:color="auto" w:sz="4" w:space="0"/>
              <w:left w:val="nil"/>
              <w:bottom w:val="single" w:color="auto" w:sz="4" w:space="0"/>
              <w:right w:val="single" w:color="auto" w:sz="4" w:space="0"/>
            </w:tcBorders>
            <w:vAlign w:val="center"/>
          </w:tcPr>
          <w:p w14:paraId="42810898">
            <w:pPr>
              <w:jc w:val="center"/>
              <w:rPr>
                <w:bCs/>
                <w:sz w:val="24"/>
                <w:highlight w:val="none"/>
              </w:rPr>
            </w:pPr>
          </w:p>
        </w:tc>
      </w:tr>
      <w:tr w14:paraId="00B2CD10">
        <w:tblPrEx>
          <w:tblCellMar>
            <w:top w:w="0" w:type="dxa"/>
            <w:left w:w="108" w:type="dxa"/>
            <w:bottom w:w="0" w:type="dxa"/>
            <w:right w:w="108" w:type="dxa"/>
          </w:tblCellMar>
        </w:tblPrEx>
        <w:trPr>
          <w:trHeight w:val="680" w:hRule="atLeast"/>
          <w:jc w:val="center"/>
        </w:trPr>
        <w:tc>
          <w:tcPr>
            <w:tcW w:w="417" w:type="pct"/>
            <w:tcBorders>
              <w:top w:val="single" w:color="auto" w:sz="4" w:space="0"/>
              <w:left w:val="single" w:color="auto" w:sz="4" w:space="0"/>
              <w:bottom w:val="single" w:color="auto" w:sz="4" w:space="0"/>
              <w:right w:val="single" w:color="auto" w:sz="4" w:space="0"/>
            </w:tcBorders>
            <w:vAlign w:val="center"/>
          </w:tcPr>
          <w:p w14:paraId="69789C9C">
            <w:pPr>
              <w:jc w:val="center"/>
              <w:rPr>
                <w:rFonts w:hint="eastAsia" w:asciiTheme="minorEastAsia" w:hAnsiTheme="minorEastAsia" w:eastAsiaTheme="minorEastAsia"/>
                <w:bCs/>
                <w:sz w:val="24"/>
                <w:highlight w:val="none"/>
                <w:lang w:eastAsia="zh-CN"/>
              </w:rPr>
            </w:pPr>
            <w:r>
              <w:rPr>
                <w:rFonts w:hint="eastAsia" w:asciiTheme="minorEastAsia" w:hAnsiTheme="minorEastAsia" w:eastAsiaTheme="minorEastAsia"/>
                <w:bCs/>
                <w:sz w:val="24"/>
                <w:highlight w:val="none"/>
                <w:lang w:val="en-US" w:eastAsia="zh-CN"/>
              </w:rPr>
              <w:t>7</w:t>
            </w:r>
          </w:p>
        </w:tc>
        <w:tc>
          <w:tcPr>
            <w:tcW w:w="851" w:type="pct"/>
            <w:vMerge w:val="continue"/>
            <w:tcBorders>
              <w:left w:val="nil"/>
              <w:bottom w:val="single" w:color="auto" w:sz="4" w:space="0"/>
              <w:right w:val="single" w:color="auto" w:sz="4" w:space="0"/>
            </w:tcBorders>
            <w:vAlign w:val="center"/>
          </w:tcPr>
          <w:p w14:paraId="67CB66B8">
            <w:pPr>
              <w:jc w:val="center"/>
              <w:rPr>
                <w:rFonts w:asciiTheme="minorEastAsia" w:hAnsiTheme="minorEastAsia" w:eastAsiaTheme="minorEastAsia"/>
                <w:bCs/>
                <w:sz w:val="24"/>
                <w:highlight w:val="none"/>
              </w:rPr>
            </w:pPr>
          </w:p>
        </w:tc>
        <w:tc>
          <w:tcPr>
            <w:tcW w:w="3472" w:type="dxa"/>
            <w:tcBorders>
              <w:top w:val="single" w:color="auto" w:sz="4" w:space="0"/>
              <w:left w:val="nil"/>
              <w:bottom w:val="single" w:color="auto" w:sz="4" w:space="0"/>
              <w:right w:val="single" w:color="auto" w:sz="4" w:space="0"/>
            </w:tcBorders>
            <w:vAlign w:val="center"/>
          </w:tcPr>
          <w:p w14:paraId="0DF88132">
            <w:pPr>
              <w:pStyle w:val="154"/>
              <w:spacing w:line="360" w:lineRule="exact"/>
              <w:rPr>
                <w:rFonts w:hint="eastAsia" w:ascii="宋体" w:hAnsi="宋体" w:cs="宋体"/>
                <w:color w:val="000000"/>
                <w:sz w:val="21"/>
                <w:szCs w:val="21"/>
                <w:highlight w:val="none"/>
              </w:rPr>
            </w:pPr>
            <w:r>
              <w:rPr>
                <w:rFonts w:hint="eastAsia" w:ascii="宋体" w:hAnsi="宋体" w:cs="宋体"/>
                <w:color w:val="000000"/>
                <w:sz w:val="21"/>
                <w:szCs w:val="21"/>
                <w:highlight w:val="none"/>
                <w:lang w:val="en-US" w:eastAsia="zh-CN"/>
              </w:rPr>
              <w:t>4.</w:t>
            </w:r>
            <w:r>
              <w:rPr>
                <w:rFonts w:hint="eastAsia" w:ascii="宋体" w:hAnsi="宋体" w:cs="宋体"/>
                <w:color w:val="000000"/>
                <w:sz w:val="21"/>
                <w:szCs w:val="21"/>
                <w:highlight w:val="none"/>
              </w:rPr>
              <w:t>近三年（截止报价文件递交时间）参加军队采购产品出现重要质量问题的，每次得-2分。</w:t>
            </w:r>
          </w:p>
          <w:p w14:paraId="2DA6A0E3">
            <w:pPr>
              <w:pStyle w:val="154"/>
              <w:spacing w:line="360" w:lineRule="exact"/>
              <w:ind w:firstLine="0" w:firstLineChars="0"/>
              <w:rPr>
                <w:rFonts w:asciiTheme="minorEastAsia" w:hAnsiTheme="minorEastAsia" w:eastAsiaTheme="minorEastAsia"/>
                <w:bCs/>
                <w:sz w:val="24"/>
                <w:highlight w:val="none"/>
              </w:rPr>
            </w:pPr>
            <w:r>
              <w:rPr>
                <w:rFonts w:hint="eastAsia" w:ascii="宋体" w:hAnsi="宋体" w:cs="宋体"/>
                <w:color w:val="000000"/>
                <w:sz w:val="21"/>
                <w:szCs w:val="21"/>
                <w:highlight w:val="none"/>
              </w:rPr>
              <w:t>（需求部门向采购管理部门提供违规供应商名单）</w:t>
            </w:r>
          </w:p>
        </w:tc>
        <w:tc>
          <w:tcPr>
            <w:tcW w:w="585" w:type="pct"/>
            <w:tcBorders>
              <w:top w:val="single" w:color="auto" w:sz="4" w:space="0"/>
              <w:left w:val="nil"/>
              <w:bottom w:val="single" w:color="auto" w:sz="4" w:space="0"/>
              <w:right w:val="single" w:color="auto" w:sz="4" w:space="0"/>
            </w:tcBorders>
            <w:vAlign w:val="center"/>
          </w:tcPr>
          <w:p w14:paraId="3DC33076">
            <w:pPr>
              <w:pStyle w:val="154"/>
              <w:spacing w:line="360" w:lineRule="exact"/>
              <w:ind w:firstLine="0" w:firstLineChars="0"/>
              <w:jc w:val="center"/>
              <w:rPr>
                <w:rFonts w:hint="eastAsia" w:asciiTheme="minorEastAsia" w:hAnsiTheme="minorEastAsia" w:eastAsiaTheme="minorEastAsia"/>
                <w:bCs/>
                <w:sz w:val="20"/>
                <w:szCs w:val="20"/>
                <w:highlight w:val="none"/>
              </w:rPr>
            </w:pPr>
            <w:r>
              <w:rPr>
                <w:rFonts w:hint="eastAsia" w:ascii="宋体" w:hAnsi="宋体" w:cs="宋体"/>
                <w:color w:val="000000"/>
                <w:sz w:val="21"/>
                <w:szCs w:val="21"/>
                <w:highlight w:val="none"/>
              </w:rPr>
              <w:t>可累计扣分</w:t>
            </w:r>
          </w:p>
        </w:tc>
        <w:tc>
          <w:tcPr>
            <w:tcW w:w="677" w:type="pct"/>
            <w:tcBorders>
              <w:top w:val="single" w:color="auto" w:sz="4" w:space="0"/>
              <w:left w:val="nil"/>
              <w:bottom w:val="single" w:color="auto" w:sz="4" w:space="0"/>
              <w:right w:val="single" w:color="auto" w:sz="4" w:space="0"/>
            </w:tcBorders>
            <w:vAlign w:val="center"/>
          </w:tcPr>
          <w:p w14:paraId="492E8490">
            <w:pPr>
              <w:jc w:val="center"/>
              <w:rPr>
                <w:bCs/>
                <w:sz w:val="24"/>
                <w:highlight w:val="none"/>
              </w:rPr>
            </w:pPr>
          </w:p>
        </w:tc>
        <w:tc>
          <w:tcPr>
            <w:tcW w:w="655" w:type="pct"/>
            <w:tcBorders>
              <w:top w:val="single" w:color="auto" w:sz="4" w:space="0"/>
              <w:left w:val="nil"/>
              <w:bottom w:val="single" w:color="auto" w:sz="4" w:space="0"/>
              <w:right w:val="single" w:color="auto" w:sz="4" w:space="0"/>
            </w:tcBorders>
            <w:vAlign w:val="center"/>
          </w:tcPr>
          <w:p w14:paraId="0D620D8B">
            <w:pPr>
              <w:jc w:val="center"/>
              <w:rPr>
                <w:bCs/>
                <w:sz w:val="24"/>
                <w:highlight w:val="none"/>
              </w:rPr>
            </w:pPr>
          </w:p>
        </w:tc>
      </w:tr>
      <w:tr w14:paraId="3A34E189">
        <w:tblPrEx>
          <w:tblCellMar>
            <w:top w:w="0" w:type="dxa"/>
            <w:left w:w="108" w:type="dxa"/>
            <w:bottom w:w="0" w:type="dxa"/>
            <w:right w:w="108" w:type="dxa"/>
          </w:tblCellMar>
        </w:tblPrEx>
        <w:trPr>
          <w:trHeight w:val="680" w:hRule="atLeast"/>
          <w:jc w:val="center"/>
        </w:trPr>
        <w:tc>
          <w:tcPr>
            <w:tcW w:w="417" w:type="pct"/>
            <w:tcBorders>
              <w:top w:val="single" w:color="auto" w:sz="4" w:space="0"/>
              <w:left w:val="single" w:color="auto" w:sz="4" w:space="0"/>
              <w:bottom w:val="single" w:color="auto" w:sz="4" w:space="0"/>
              <w:right w:val="single" w:color="auto" w:sz="4" w:space="0"/>
            </w:tcBorders>
            <w:vAlign w:val="center"/>
          </w:tcPr>
          <w:p w14:paraId="09B8AC53">
            <w:pPr>
              <w:jc w:val="center"/>
              <w:rPr>
                <w:rFonts w:hint="eastAsia" w:asciiTheme="minorEastAsia" w:hAnsiTheme="minorEastAsia" w:eastAsiaTheme="minorEastAsia"/>
                <w:bCs/>
                <w:sz w:val="24"/>
                <w:highlight w:val="none"/>
                <w:lang w:eastAsia="zh-CN"/>
              </w:rPr>
            </w:pPr>
            <w:r>
              <w:rPr>
                <w:rFonts w:hint="eastAsia" w:asciiTheme="minorEastAsia" w:hAnsiTheme="minorEastAsia" w:eastAsiaTheme="minorEastAsia"/>
                <w:bCs/>
                <w:sz w:val="24"/>
                <w:highlight w:val="none"/>
                <w:lang w:val="en-US" w:eastAsia="zh-CN"/>
              </w:rPr>
              <w:t>8</w:t>
            </w:r>
          </w:p>
        </w:tc>
        <w:tc>
          <w:tcPr>
            <w:tcW w:w="851" w:type="pct"/>
            <w:tcBorders>
              <w:top w:val="single" w:color="auto" w:sz="4" w:space="0"/>
              <w:left w:val="single" w:color="auto" w:sz="4" w:space="0"/>
              <w:bottom w:val="single" w:color="auto" w:sz="4" w:space="0"/>
              <w:right w:val="single" w:color="auto" w:sz="4" w:space="0"/>
            </w:tcBorders>
            <w:vAlign w:val="center"/>
          </w:tcPr>
          <w:p w14:paraId="6CCF9C98">
            <w:pPr>
              <w:jc w:val="center"/>
              <w:rPr>
                <w:rFonts w:hint="eastAsia" w:asciiTheme="minorEastAsia" w:hAnsiTheme="minorEastAsia" w:eastAsiaTheme="minorEastAsia"/>
                <w:bCs/>
                <w:sz w:val="24"/>
                <w:highlight w:val="none"/>
                <w:lang w:eastAsia="zh-CN"/>
              </w:rPr>
            </w:pPr>
            <w:r>
              <w:rPr>
                <w:rFonts w:hint="eastAsia" w:asciiTheme="minorEastAsia" w:hAnsiTheme="minorEastAsia" w:eastAsiaTheme="minorEastAsia"/>
                <w:bCs/>
                <w:sz w:val="24"/>
                <w:highlight w:val="none"/>
              </w:rPr>
              <w:t xml:space="preserve"> </w:t>
            </w:r>
            <w:r>
              <w:rPr>
                <w:rFonts w:hint="eastAsia" w:asciiTheme="minorEastAsia" w:hAnsiTheme="minorEastAsia" w:eastAsiaTheme="minorEastAsia"/>
                <w:bCs/>
                <w:sz w:val="24"/>
                <w:highlight w:val="none"/>
                <w:lang w:eastAsia="zh-CN"/>
              </w:rPr>
              <w:t>财务标准</w:t>
            </w:r>
          </w:p>
        </w:tc>
        <w:tc>
          <w:tcPr>
            <w:tcW w:w="3472" w:type="dxa"/>
            <w:tcBorders>
              <w:top w:val="single" w:color="auto" w:sz="4" w:space="0"/>
              <w:left w:val="single" w:color="auto" w:sz="4" w:space="0"/>
              <w:bottom w:val="single" w:color="auto" w:sz="4" w:space="0"/>
              <w:right w:val="single" w:color="auto" w:sz="4" w:space="0"/>
            </w:tcBorders>
            <w:vAlign w:val="center"/>
          </w:tcPr>
          <w:p w14:paraId="5F8FF8CD">
            <w:pPr>
              <w:pStyle w:val="154"/>
              <w:spacing w:line="360" w:lineRule="exact"/>
              <w:rPr>
                <w:rFonts w:hint="eastAsia" w:ascii="宋体" w:hAnsi="宋体" w:cs="宋体"/>
                <w:color w:val="000000"/>
                <w:sz w:val="21"/>
                <w:szCs w:val="21"/>
                <w:highlight w:val="none"/>
              </w:rPr>
            </w:pPr>
            <w:r>
              <w:rPr>
                <w:rFonts w:hint="eastAsia" w:ascii="宋体" w:hAnsi="宋体" w:cs="宋体"/>
                <w:color w:val="000000"/>
                <w:sz w:val="21"/>
                <w:szCs w:val="21"/>
                <w:highlight w:val="none"/>
              </w:rPr>
              <w:t>根据报价方近1年（202</w:t>
            </w:r>
            <w:r>
              <w:rPr>
                <w:rFonts w:hint="eastAsia" w:ascii="宋体" w:hAnsi="宋体" w:cs="宋体"/>
                <w:color w:val="000000"/>
                <w:sz w:val="21"/>
                <w:szCs w:val="21"/>
                <w:highlight w:val="none"/>
                <w:lang w:val="en-US" w:eastAsia="zh-CN"/>
              </w:rPr>
              <w:t>3</w:t>
            </w:r>
            <w:r>
              <w:rPr>
                <w:rFonts w:hint="eastAsia" w:ascii="宋体" w:hAnsi="宋体" w:cs="宋体"/>
                <w:color w:val="000000"/>
                <w:sz w:val="21"/>
                <w:szCs w:val="21"/>
                <w:highlight w:val="none"/>
              </w:rPr>
              <w:t>年）净利润金额排名进行评审：第一名得1分，依次递减0.2分，净利润为负值的得0分。</w:t>
            </w:r>
          </w:p>
          <w:p w14:paraId="3E2544F9">
            <w:pPr>
              <w:pStyle w:val="154"/>
              <w:spacing w:line="360" w:lineRule="exact"/>
              <w:ind w:firstLine="0" w:firstLineChars="0"/>
              <w:rPr>
                <w:rFonts w:asciiTheme="minorEastAsia" w:hAnsiTheme="minorEastAsia" w:eastAsiaTheme="minorEastAsia"/>
                <w:bCs/>
                <w:sz w:val="24"/>
                <w:highlight w:val="none"/>
              </w:rPr>
            </w:pPr>
            <w:r>
              <w:rPr>
                <w:rFonts w:hint="eastAsia" w:ascii="宋体" w:hAnsi="宋体" w:cs="宋体"/>
                <w:color w:val="000000"/>
                <w:sz w:val="21"/>
                <w:szCs w:val="21"/>
                <w:highlight w:val="none"/>
              </w:rPr>
              <w:t>【以第三方会计师事务所出具的审计报告或公司财务报告（表）数据为准，未提供的得0分】</w:t>
            </w:r>
          </w:p>
        </w:tc>
        <w:tc>
          <w:tcPr>
            <w:tcW w:w="585" w:type="pct"/>
            <w:tcBorders>
              <w:top w:val="single" w:color="auto" w:sz="4" w:space="0"/>
              <w:left w:val="single" w:color="auto" w:sz="4" w:space="0"/>
              <w:bottom w:val="single" w:color="auto" w:sz="4" w:space="0"/>
              <w:right w:val="single" w:color="auto" w:sz="4" w:space="0"/>
            </w:tcBorders>
            <w:vAlign w:val="center"/>
          </w:tcPr>
          <w:p w14:paraId="158FDC10">
            <w:pPr>
              <w:widowControl/>
              <w:snapToGrid w:val="0"/>
              <w:spacing w:line="360" w:lineRule="exact"/>
              <w:jc w:val="center"/>
              <w:rPr>
                <w:rFonts w:hint="eastAsia" w:asciiTheme="minorEastAsia" w:hAnsiTheme="minorEastAsia" w:eastAsiaTheme="minorEastAsia"/>
                <w:bCs/>
                <w:sz w:val="20"/>
                <w:szCs w:val="20"/>
                <w:highlight w:val="none"/>
                <w:lang w:val="en-US" w:eastAsia="zh-CN"/>
              </w:rPr>
            </w:pPr>
            <w:r>
              <w:rPr>
                <w:rFonts w:hint="eastAsia" w:ascii="宋体" w:hAnsi="宋体" w:cs="宋体"/>
                <w:color w:val="000000"/>
                <w:sz w:val="21"/>
                <w:szCs w:val="21"/>
                <w:highlight w:val="none"/>
              </w:rPr>
              <w:t>1分</w:t>
            </w:r>
          </w:p>
        </w:tc>
        <w:tc>
          <w:tcPr>
            <w:tcW w:w="677" w:type="pct"/>
            <w:tcBorders>
              <w:top w:val="single" w:color="auto" w:sz="4" w:space="0"/>
              <w:left w:val="single" w:color="auto" w:sz="4" w:space="0"/>
              <w:bottom w:val="single" w:color="auto" w:sz="4" w:space="0"/>
              <w:right w:val="single" w:color="auto" w:sz="4" w:space="0"/>
            </w:tcBorders>
            <w:vAlign w:val="center"/>
          </w:tcPr>
          <w:p w14:paraId="29837E29">
            <w:pPr>
              <w:jc w:val="center"/>
              <w:rPr>
                <w:bCs/>
                <w:sz w:val="24"/>
                <w:highlight w:val="none"/>
              </w:rPr>
            </w:pPr>
          </w:p>
        </w:tc>
        <w:tc>
          <w:tcPr>
            <w:tcW w:w="655" w:type="pct"/>
            <w:tcBorders>
              <w:top w:val="single" w:color="auto" w:sz="4" w:space="0"/>
              <w:left w:val="single" w:color="auto" w:sz="4" w:space="0"/>
              <w:bottom w:val="single" w:color="auto" w:sz="4" w:space="0"/>
              <w:right w:val="single" w:color="auto" w:sz="4" w:space="0"/>
            </w:tcBorders>
            <w:vAlign w:val="center"/>
          </w:tcPr>
          <w:p w14:paraId="30F774DF">
            <w:pPr>
              <w:jc w:val="center"/>
              <w:rPr>
                <w:bCs/>
                <w:sz w:val="24"/>
                <w:highlight w:val="none"/>
              </w:rPr>
            </w:pPr>
          </w:p>
        </w:tc>
      </w:tr>
      <w:tr w14:paraId="2A1796D5">
        <w:tblPrEx>
          <w:tblCellMar>
            <w:top w:w="0" w:type="dxa"/>
            <w:left w:w="108" w:type="dxa"/>
            <w:bottom w:w="0" w:type="dxa"/>
            <w:right w:w="108" w:type="dxa"/>
          </w:tblCellMar>
        </w:tblPrEx>
        <w:trPr>
          <w:trHeight w:val="680" w:hRule="atLeast"/>
          <w:jc w:val="center"/>
        </w:trPr>
        <w:tc>
          <w:tcPr>
            <w:tcW w:w="417" w:type="pct"/>
            <w:tcBorders>
              <w:top w:val="single" w:color="auto" w:sz="4" w:space="0"/>
              <w:left w:val="single" w:color="auto" w:sz="4" w:space="0"/>
              <w:bottom w:val="single" w:color="auto" w:sz="4" w:space="0"/>
              <w:right w:val="single" w:color="auto" w:sz="4" w:space="0"/>
            </w:tcBorders>
            <w:vAlign w:val="center"/>
          </w:tcPr>
          <w:p w14:paraId="5C13F28D">
            <w:pPr>
              <w:jc w:val="center"/>
              <w:rPr>
                <w:rFonts w:hint="eastAsia" w:asciiTheme="minorEastAsia" w:hAnsiTheme="minorEastAsia" w:eastAsiaTheme="minorEastAsia"/>
                <w:bCs/>
                <w:sz w:val="24"/>
                <w:highlight w:val="none"/>
                <w:lang w:val="en-US" w:eastAsia="zh-CN"/>
              </w:rPr>
            </w:pPr>
            <w:r>
              <w:rPr>
                <w:rFonts w:hint="eastAsia" w:asciiTheme="minorEastAsia" w:hAnsiTheme="minorEastAsia" w:eastAsiaTheme="minorEastAsia"/>
                <w:bCs/>
                <w:sz w:val="24"/>
                <w:highlight w:val="none"/>
                <w:lang w:val="en-US" w:eastAsia="zh-CN"/>
              </w:rPr>
              <w:t>9</w:t>
            </w:r>
          </w:p>
        </w:tc>
        <w:tc>
          <w:tcPr>
            <w:tcW w:w="851" w:type="pct"/>
            <w:tcBorders>
              <w:top w:val="single" w:color="auto" w:sz="4" w:space="0"/>
              <w:left w:val="single" w:color="auto" w:sz="4" w:space="0"/>
              <w:bottom w:val="single" w:color="auto" w:sz="4" w:space="0"/>
              <w:right w:val="single" w:color="auto" w:sz="4" w:space="0"/>
            </w:tcBorders>
            <w:vAlign w:val="center"/>
          </w:tcPr>
          <w:p w14:paraId="62E1C3F5">
            <w:pPr>
              <w:jc w:val="center"/>
              <w:rPr>
                <w:rFonts w:hint="eastAsia" w:asciiTheme="minorEastAsia" w:hAnsiTheme="minorEastAsia" w:eastAsiaTheme="minorEastAsia"/>
                <w:bCs/>
                <w:sz w:val="24"/>
                <w:highlight w:val="none"/>
                <w:lang w:eastAsia="zh-CN"/>
              </w:rPr>
            </w:pPr>
            <w:r>
              <w:rPr>
                <w:rFonts w:hint="eastAsia" w:asciiTheme="minorEastAsia" w:hAnsiTheme="minorEastAsia" w:eastAsiaTheme="minorEastAsia"/>
                <w:bCs/>
                <w:sz w:val="24"/>
                <w:highlight w:val="none"/>
                <w:lang w:eastAsia="zh-CN"/>
              </w:rPr>
              <w:t>报价人性质</w:t>
            </w:r>
          </w:p>
        </w:tc>
        <w:tc>
          <w:tcPr>
            <w:tcW w:w="3472" w:type="dxa"/>
            <w:tcBorders>
              <w:top w:val="single" w:color="auto" w:sz="4" w:space="0"/>
              <w:left w:val="single" w:color="auto" w:sz="4" w:space="0"/>
              <w:bottom w:val="single" w:color="auto" w:sz="4" w:space="0"/>
              <w:right w:val="single" w:color="auto" w:sz="4" w:space="0"/>
            </w:tcBorders>
            <w:vAlign w:val="center"/>
          </w:tcPr>
          <w:p w14:paraId="4EE8A472">
            <w:pPr>
              <w:pStyle w:val="154"/>
              <w:spacing w:line="360" w:lineRule="exact"/>
              <w:rPr>
                <w:rFonts w:hint="eastAsia" w:ascii="宋体" w:hAnsi="宋体" w:cs="宋体"/>
                <w:color w:val="000000"/>
                <w:sz w:val="21"/>
                <w:szCs w:val="21"/>
                <w:highlight w:val="none"/>
              </w:rPr>
            </w:pPr>
            <w:r>
              <w:rPr>
                <w:rFonts w:hint="eastAsia" w:ascii="宋体" w:hAnsi="宋体" w:cs="宋体"/>
                <w:color w:val="000000"/>
                <w:sz w:val="21"/>
                <w:szCs w:val="21"/>
                <w:highlight w:val="none"/>
              </w:rPr>
              <w:t>报价方是本项目所</w:t>
            </w:r>
            <w:r>
              <w:rPr>
                <w:rFonts w:hint="eastAsia" w:ascii="宋体" w:hAnsi="宋体" w:cs="宋体"/>
                <w:color w:val="000000"/>
                <w:sz w:val="21"/>
                <w:szCs w:val="21"/>
                <w:highlight w:val="none"/>
                <w:lang w:eastAsia="zh-CN"/>
              </w:rPr>
              <w:t>报</w:t>
            </w:r>
            <w:r>
              <w:rPr>
                <w:rFonts w:hint="eastAsia" w:ascii="宋体" w:hAnsi="宋体" w:cs="宋体"/>
                <w:color w:val="000000"/>
                <w:sz w:val="21"/>
                <w:szCs w:val="21"/>
                <w:highlight w:val="none"/>
              </w:rPr>
              <w:t>产品的生产企业或进口产品全国（大区）</w:t>
            </w:r>
            <w:r>
              <w:rPr>
                <w:rFonts w:hint="eastAsia" w:ascii="宋体" w:hAnsi="宋体" w:cs="宋体"/>
                <w:color w:val="000000"/>
                <w:sz w:val="21"/>
                <w:szCs w:val="21"/>
                <w:highlight w:val="none"/>
                <w:lang w:eastAsia="zh-CN"/>
              </w:rPr>
              <w:t>（</w:t>
            </w:r>
            <w:r>
              <w:rPr>
                <w:rFonts w:hint="eastAsia" w:ascii="宋体" w:hAnsi="宋体" w:cs="宋体"/>
                <w:color w:val="000000"/>
                <w:sz w:val="21"/>
                <w:szCs w:val="21"/>
                <w:highlight w:val="none"/>
              </w:rPr>
              <w:t>至少包含三个省级区域</w:t>
            </w:r>
            <w:r>
              <w:rPr>
                <w:rFonts w:hint="eastAsia" w:ascii="宋体" w:hAnsi="宋体" w:cs="宋体"/>
                <w:color w:val="000000"/>
                <w:sz w:val="21"/>
                <w:szCs w:val="21"/>
                <w:highlight w:val="none"/>
                <w:lang w:eastAsia="zh-CN"/>
              </w:rPr>
              <w:t>）</w:t>
            </w:r>
            <w:r>
              <w:rPr>
                <w:rFonts w:hint="eastAsia" w:ascii="宋体" w:hAnsi="宋体" w:cs="宋体"/>
                <w:color w:val="000000"/>
                <w:sz w:val="21"/>
                <w:szCs w:val="21"/>
                <w:highlight w:val="none"/>
              </w:rPr>
              <w:t>代理的得2分，否则得0分。</w:t>
            </w:r>
          </w:p>
          <w:p w14:paraId="04A93948">
            <w:pPr>
              <w:pStyle w:val="154"/>
              <w:spacing w:line="360" w:lineRule="exact"/>
              <w:ind w:firstLine="0" w:firstLineChars="0"/>
              <w:rPr>
                <w:rFonts w:asciiTheme="minorEastAsia" w:hAnsiTheme="minorEastAsia" w:eastAsiaTheme="minorEastAsia"/>
                <w:bCs/>
                <w:sz w:val="24"/>
                <w:highlight w:val="none"/>
              </w:rPr>
            </w:pPr>
            <w:r>
              <w:rPr>
                <w:rFonts w:hint="eastAsia" w:ascii="宋体" w:hAnsi="宋体" w:cs="宋体"/>
                <w:color w:val="000000"/>
                <w:sz w:val="21"/>
                <w:szCs w:val="21"/>
                <w:highlight w:val="none"/>
              </w:rPr>
              <w:t>【</w:t>
            </w:r>
            <w:r>
              <w:rPr>
                <w:rFonts w:hint="eastAsia" w:ascii="宋体" w:hAnsi="宋体" w:cs="宋体"/>
                <w:color w:val="000000"/>
                <w:sz w:val="21"/>
                <w:szCs w:val="21"/>
                <w:highlight w:val="none"/>
                <w:lang w:val="en-US" w:eastAsia="zh-CN"/>
              </w:rPr>
              <w:t>以</w:t>
            </w:r>
            <w:r>
              <w:rPr>
                <w:rFonts w:hint="eastAsia" w:ascii="宋体" w:hAnsi="宋体" w:cs="宋体"/>
                <w:color w:val="000000"/>
                <w:sz w:val="21"/>
                <w:szCs w:val="21"/>
                <w:highlight w:val="none"/>
                <w:lang w:eastAsia="zh-CN"/>
              </w:rPr>
              <w:t>报价</w:t>
            </w:r>
            <w:r>
              <w:rPr>
                <w:rFonts w:hint="eastAsia" w:ascii="宋体" w:hAnsi="宋体" w:cs="宋体"/>
                <w:color w:val="000000"/>
                <w:sz w:val="21"/>
                <w:szCs w:val="21"/>
                <w:highlight w:val="none"/>
              </w:rPr>
              <w:t>人提供的“生产厂家出具的授权文件”</w:t>
            </w:r>
            <w:r>
              <w:rPr>
                <w:rFonts w:hint="eastAsia" w:ascii="宋体" w:hAnsi="宋体" w:cs="宋体"/>
                <w:color w:val="000000"/>
                <w:sz w:val="21"/>
                <w:szCs w:val="21"/>
                <w:highlight w:val="none"/>
                <w:lang w:val="en-US" w:eastAsia="zh-CN"/>
              </w:rPr>
              <w:t>为准</w:t>
            </w:r>
            <w:r>
              <w:rPr>
                <w:rFonts w:hint="eastAsia" w:ascii="宋体" w:hAnsi="宋体" w:cs="宋体"/>
                <w:color w:val="000000"/>
                <w:sz w:val="21"/>
                <w:szCs w:val="21"/>
                <w:highlight w:val="none"/>
              </w:rPr>
              <w:t>】</w:t>
            </w:r>
          </w:p>
        </w:tc>
        <w:tc>
          <w:tcPr>
            <w:tcW w:w="585" w:type="pct"/>
            <w:tcBorders>
              <w:top w:val="single" w:color="auto" w:sz="4" w:space="0"/>
              <w:left w:val="single" w:color="auto" w:sz="4" w:space="0"/>
              <w:bottom w:val="single" w:color="auto" w:sz="4" w:space="0"/>
              <w:right w:val="single" w:color="auto" w:sz="4" w:space="0"/>
            </w:tcBorders>
            <w:vAlign w:val="center"/>
          </w:tcPr>
          <w:p w14:paraId="69B9EF4B">
            <w:pPr>
              <w:widowControl/>
              <w:snapToGrid w:val="0"/>
              <w:spacing w:line="360" w:lineRule="exact"/>
              <w:jc w:val="center"/>
              <w:rPr>
                <w:rFonts w:hint="eastAsia" w:asciiTheme="minorEastAsia" w:hAnsiTheme="minorEastAsia" w:eastAsiaTheme="minorEastAsia"/>
                <w:bCs/>
                <w:sz w:val="20"/>
                <w:szCs w:val="20"/>
                <w:highlight w:val="none"/>
                <w:lang w:val="en-US" w:eastAsia="zh-CN"/>
              </w:rPr>
            </w:pPr>
            <w:r>
              <w:rPr>
                <w:rFonts w:hint="eastAsia" w:ascii="宋体" w:hAnsi="宋体" w:cs="宋体"/>
                <w:color w:val="000000"/>
                <w:sz w:val="21"/>
                <w:szCs w:val="21"/>
                <w:highlight w:val="none"/>
              </w:rPr>
              <w:t>2分</w:t>
            </w:r>
          </w:p>
        </w:tc>
        <w:tc>
          <w:tcPr>
            <w:tcW w:w="677" w:type="pct"/>
            <w:tcBorders>
              <w:top w:val="single" w:color="auto" w:sz="4" w:space="0"/>
              <w:left w:val="single" w:color="auto" w:sz="4" w:space="0"/>
              <w:bottom w:val="single" w:color="auto" w:sz="4" w:space="0"/>
              <w:right w:val="single" w:color="auto" w:sz="4" w:space="0"/>
            </w:tcBorders>
            <w:vAlign w:val="center"/>
          </w:tcPr>
          <w:p w14:paraId="49DC1F7D">
            <w:pPr>
              <w:jc w:val="center"/>
              <w:rPr>
                <w:bCs/>
                <w:sz w:val="24"/>
                <w:highlight w:val="none"/>
              </w:rPr>
            </w:pPr>
          </w:p>
        </w:tc>
        <w:tc>
          <w:tcPr>
            <w:tcW w:w="655" w:type="pct"/>
            <w:tcBorders>
              <w:top w:val="single" w:color="auto" w:sz="4" w:space="0"/>
              <w:left w:val="single" w:color="auto" w:sz="4" w:space="0"/>
              <w:bottom w:val="single" w:color="auto" w:sz="4" w:space="0"/>
              <w:right w:val="single" w:color="auto" w:sz="4" w:space="0"/>
            </w:tcBorders>
            <w:vAlign w:val="center"/>
          </w:tcPr>
          <w:p w14:paraId="6755915A">
            <w:pPr>
              <w:jc w:val="center"/>
              <w:rPr>
                <w:bCs/>
                <w:sz w:val="24"/>
                <w:highlight w:val="none"/>
              </w:rPr>
            </w:pPr>
          </w:p>
        </w:tc>
      </w:tr>
      <w:tr w14:paraId="0A8A9E33">
        <w:tblPrEx>
          <w:tblCellMar>
            <w:top w:w="0" w:type="dxa"/>
            <w:left w:w="108" w:type="dxa"/>
            <w:bottom w:w="0" w:type="dxa"/>
            <w:right w:w="108" w:type="dxa"/>
          </w:tblCellMar>
        </w:tblPrEx>
        <w:trPr>
          <w:trHeight w:val="1299" w:hRule="atLeast"/>
          <w:jc w:val="center"/>
        </w:trPr>
        <w:tc>
          <w:tcPr>
            <w:tcW w:w="5000" w:type="pct"/>
            <w:gridSpan w:val="6"/>
            <w:tcBorders>
              <w:top w:val="single" w:color="auto" w:sz="4" w:space="0"/>
              <w:left w:val="single" w:color="auto" w:sz="4" w:space="0"/>
              <w:bottom w:val="single" w:color="auto" w:sz="4" w:space="0"/>
              <w:right w:val="single" w:color="auto" w:sz="4" w:space="0"/>
            </w:tcBorders>
            <w:vAlign w:val="center"/>
          </w:tcPr>
          <w:p w14:paraId="3ED7E445">
            <w:pPr>
              <w:spacing w:line="276" w:lineRule="auto"/>
              <w:rPr>
                <w:bCs/>
                <w:sz w:val="24"/>
                <w:highlight w:val="none"/>
              </w:rPr>
            </w:pPr>
            <w:r>
              <w:rPr>
                <w:rFonts w:hint="eastAsia"/>
                <w:bCs/>
                <w:sz w:val="24"/>
                <w:highlight w:val="none"/>
              </w:rPr>
              <w:t>备注：报价供应商按照《商务评审标准表》编制此表。报价供应商应当根据本单位实际情况填写指标值或评分项，并标注相关证明材料在资格证明文件或商务技术文件的位置页码，报价供应商不得虚报、瞒报、漏报或虚假承诺。</w:t>
            </w:r>
          </w:p>
        </w:tc>
      </w:tr>
    </w:tbl>
    <w:p w14:paraId="0CF09898">
      <w:pPr>
        <w:rPr>
          <w:rFonts w:hint="eastAsia"/>
          <w:highlight w:val="none"/>
        </w:rPr>
      </w:pPr>
    </w:p>
    <w:p w14:paraId="2ADADE19">
      <w:pPr>
        <w:rPr>
          <w:rFonts w:hint="eastAsia"/>
          <w:highlight w:val="none"/>
        </w:rPr>
      </w:pPr>
    </w:p>
    <w:p w14:paraId="3B871A66">
      <w:pPr>
        <w:rPr>
          <w:rFonts w:hint="eastAsia"/>
          <w:highlight w:val="none"/>
        </w:rPr>
      </w:pPr>
    </w:p>
    <w:p w14:paraId="3E2584FD">
      <w:pPr>
        <w:rPr>
          <w:rFonts w:hint="eastAsia"/>
          <w:highlight w:val="none"/>
        </w:rPr>
      </w:pPr>
    </w:p>
    <w:p w14:paraId="786F17ED">
      <w:pPr>
        <w:rPr>
          <w:rFonts w:hint="eastAsia"/>
          <w:highlight w:val="none"/>
        </w:rPr>
      </w:pPr>
    </w:p>
    <w:p w14:paraId="535FEB05">
      <w:pPr>
        <w:pStyle w:val="17"/>
        <w:rPr>
          <w:rFonts w:hint="eastAsia"/>
          <w:highlight w:val="none"/>
        </w:rPr>
      </w:pPr>
    </w:p>
    <w:p w14:paraId="08F85694">
      <w:pPr>
        <w:rPr>
          <w:rFonts w:hint="eastAsia"/>
          <w:highlight w:val="none"/>
        </w:rPr>
      </w:pPr>
    </w:p>
    <w:p w14:paraId="31BC8129">
      <w:pPr>
        <w:pStyle w:val="17"/>
        <w:rPr>
          <w:rFonts w:hint="eastAsia"/>
          <w:highlight w:val="none"/>
        </w:rPr>
      </w:pPr>
    </w:p>
    <w:p w14:paraId="1CBBA244">
      <w:pPr>
        <w:rPr>
          <w:rFonts w:hint="eastAsia"/>
          <w:highlight w:val="none"/>
        </w:rPr>
      </w:pPr>
    </w:p>
    <w:p w14:paraId="5DF3CB6F">
      <w:pPr>
        <w:pStyle w:val="17"/>
        <w:rPr>
          <w:rFonts w:hint="eastAsia"/>
          <w:highlight w:val="none"/>
        </w:rPr>
      </w:pPr>
    </w:p>
    <w:p w14:paraId="65E33E9C">
      <w:pPr>
        <w:rPr>
          <w:rFonts w:hint="eastAsia"/>
          <w:highlight w:val="none"/>
        </w:rPr>
      </w:pPr>
    </w:p>
    <w:p w14:paraId="02F2B1F8">
      <w:pPr>
        <w:pStyle w:val="17"/>
        <w:rPr>
          <w:rFonts w:hint="eastAsia"/>
          <w:highlight w:val="none"/>
        </w:rPr>
      </w:pPr>
    </w:p>
    <w:p w14:paraId="0FBCB9E5">
      <w:pPr>
        <w:rPr>
          <w:rFonts w:hint="eastAsia"/>
          <w:highlight w:val="none"/>
        </w:rPr>
      </w:pPr>
    </w:p>
    <w:p w14:paraId="6AA04894">
      <w:pPr>
        <w:pStyle w:val="17"/>
        <w:rPr>
          <w:rFonts w:hint="eastAsia"/>
          <w:highlight w:val="none"/>
        </w:rPr>
      </w:pPr>
    </w:p>
    <w:p w14:paraId="3233E5C8">
      <w:pPr>
        <w:rPr>
          <w:rFonts w:hint="eastAsia"/>
          <w:highlight w:val="none"/>
        </w:rPr>
      </w:pPr>
    </w:p>
    <w:p w14:paraId="18DA4EBB">
      <w:pPr>
        <w:pStyle w:val="17"/>
        <w:rPr>
          <w:rFonts w:hint="eastAsia"/>
          <w:highlight w:val="none"/>
        </w:rPr>
      </w:pPr>
    </w:p>
    <w:p w14:paraId="26CD7B96">
      <w:pPr>
        <w:rPr>
          <w:rFonts w:hint="eastAsia"/>
          <w:highlight w:val="none"/>
        </w:rPr>
      </w:pPr>
    </w:p>
    <w:p w14:paraId="101FBF87">
      <w:pPr>
        <w:pStyle w:val="17"/>
        <w:rPr>
          <w:rFonts w:hint="eastAsia"/>
          <w:highlight w:val="none"/>
        </w:rPr>
      </w:pPr>
    </w:p>
    <w:p w14:paraId="33E69759">
      <w:pPr>
        <w:rPr>
          <w:rFonts w:hint="eastAsia"/>
          <w:highlight w:val="none"/>
        </w:rPr>
      </w:pPr>
    </w:p>
    <w:p w14:paraId="168C87B4">
      <w:pPr>
        <w:pStyle w:val="17"/>
        <w:rPr>
          <w:rFonts w:hint="eastAsia"/>
          <w:highlight w:val="none"/>
        </w:rPr>
      </w:pPr>
    </w:p>
    <w:p w14:paraId="2A7F3AAD">
      <w:pPr>
        <w:rPr>
          <w:rFonts w:hint="eastAsia"/>
          <w:highlight w:val="none"/>
        </w:rPr>
      </w:pPr>
    </w:p>
    <w:p w14:paraId="0EB83F07">
      <w:pPr>
        <w:pStyle w:val="17"/>
        <w:rPr>
          <w:rFonts w:hint="eastAsia"/>
          <w:highlight w:val="none"/>
        </w:rPr>
      </w:pPr>
    </w:p>
    <w:p w14:paraId="47817186">
      <w:pPr>
        <w:rPr>
          <w:rFonts w:hint="eastAsia"/>
          <w:highlight w:val="none"/>
        </w:rPr>
      </w:pPr>
    </w:p>
    <w:p w14:paraId="65049C6A">
      <w:pPr>
        <w:pStyle w:val="17"/>
        <w:rPr>
          <w:rFonts w:hint="eastAsia"/>
          <w:highlight w:val="none"/>
        </w:rPr>
      </w:pPr>
    </w:p>
    <w:p w14:paraId="12974499">
      <w:pPr>
        <w:rPr>
          <w:rFonts w:hint="eastAsia"/>
          <w:highlight w:val="none"/>
        </w:rPr>
      </w:pPr>
    </w:p>
    <w:p w14:paraId="1E360C87">
      <w:pPr>
        <w:pStyle w:val="17"/>
        <w:rPr>
          <w:rFonts w:hint="eastAsia"/>
          <w:highlight w:val="none"/>
        </w:rPr>
      </w:pPr>
    </w:p>
    <w:p w14:paraId="320A4755">
      <w:pPr>
        <w:rPr>
          <w:rFonts w:hint="eastAsia"/>
          <w:highlight w:val="none"/>
        </w:rPr>
      </w:pPr>
    </w:p>
    <w:p w14:paraId="2EB431F9">
      <w:pPr>
        <w:pStyle w:val="17"/>
        <w:rPr>
          <w:rFonts w:hint="eastAsia"/>
          <w:highlight w:val="none"/>
        </w:rPr>
      </w:pPr>
    </w:p>
    <w:p w14:paraId="10185BB3">
      <w:pPr>
        <w:rPr>
          <w:rFonts w:hint="eastAsia"/>
          <w:highlight w:val="none"/>
        </w:rPr>
      </w:pPr>
    </w:p>
    <w:p w14:paraId="173CF429">
      <w:pPr>
        <w:pStyle w:val="17"/>
        <w:rPr>
          <w:rFonts w:hint="eastAsia"/>
          <w:highlight w:val="none"/>
        </w:rPr>
      </w:pPr>
    </w:p>
    <w:p w14:paraId="5F14E577">
      <w:pPr>
        <w:rPr>
          <w:rFonts w:hint="eastAsia"/>
          <w:highlight w:val="none"/>
        </w:rPr>
      </w:pPr>
    </w:p>
    <w:p w14:paraId="5EF00E07">
      <w:pPr>
        <w:pStyle w:val="17"/>
        <w:rPr>
          <w:rFonts w:hint="eastAsia"/>
          <w:highlight w:val="none"/>
        </w:rPr>
      </w:pPr>
    </w:p>
    <w:p w14:paraId="4F80395E">
      <w:pPr>
        <w:rPr>
          <w:rFonts w:hint="eastAsia"/>
          <w:highlight w:val="none"/>
        </w:rPr>
      </w:pPr>
    </w:p>
    <w:p w14:paraId="34C93FB7">
      <w:pPr>
        <w:pStyle w:val="17"/>
        <w:rPr>
          <w:rFonts w:hint="eastAsia"/>
          <w:highlight w:val="none"/>
        </w:rPr>
      </w:pPr>
    </w:p>
    <w:p w14:paraId="36093F1C">
      <w:pPr>
        <w:rPr>
          <w:rFonts w:hint="eastAsia"/>
          <w:highlight w:val="none"/>
        </w:rPr>
      </w:pPr>
    </w:p>
    <w:p w14:paraId="682B53A1">
      <w:pPr>
        <w:rPr>
          <w:rFonts w:hint="eastAsia"/>
          <w:highlight w:val="none"/>
        </w:rPr>
      </w:pPr>
    </w:p>
    <w:p w14:paraId="64341569">
      <w:pPr>
        <w:pStyle w:val="6"/>
        <w:spacing w:before="120" w:beforeLines="50" w:after="120" w:afterLines="50" w:line="560" w:lineRule="exact"/>
        <w:rPr>
          <w:rFonts w:ascii="宋体" w:hAnsi="宋体"/>
          <w:b w:val="0"/>
          <w:highlight w:val="none"/>
        </w:rPr>
      </w:pPr>
      <w:r>
        <w:rPr>
          <w:rFonts w:hint="eastAsia"/>
          <w:b w:val="0"/>
          <w:highlight w:val="none"/>
        </w:rPr>
        <w:t>附件</w:t>
      </w:r>
      <w:r>
        <w:rPr>
          <w:b w:val="0"/>
          <w:highlight w:val="none"/>
        </w:rPr>
        <w:t xml:space="preserve">2-3 </w:t>
      </w:r>
      <w:r>
        <w:rPr>
          <w:rFonts w:hint="eastAsia"/>
          <w:b w:val="0"/>
          <w:highlight w:val="none"/>
        </w:rPr>
        <w:t>技术评审索引表</w:t>
      </w:r>
      <w:bookmarkEnd w:id="600"/>
      <w:bookmarkEnd w:id="601"/>
      <w:bookmarkEnd w:id="602"/>
      <w:bookmarkEnd w:id="603"/>
      <w:bookmarkEnd w:id="604"/>
      <w:bookmarkEnd w:id="605"/>
    </w:p>
    <w:p w14:paraId="2661FC8C">
      <w:pPr>
        <w:spacing w:before="120" w:beforeLines="50" w:after="120" w:afterLines="50" w:line="560" w:lineRule="exact"/>
        <w:jc w:val="center"/>
        <w:rPr>
          <w:rFonts w:ascii="黑体" w:hAnsi="黑体" w:eastAsia="黑体" w:cs="黑体"/>
          <w:bCs/>
          <w:sz w:val="36"/>
          <w:szCs w:val="36"/>
          <w:highlight w:val="none"/>
        </w:rPr>
      </w:pPr>
      <w:r>
        <w:rPr>
          <w:rFonts w:hint="eastAsia" w:ascii="黑体" w:hAnsi="黑体" w:eastAsia="黑体" w:cs="黑体"/>
          <w:bCs/>
          <w:sz w:val="36"/>
          <w:szCs w:val="36"/>
          <w:highlight w:val="none"/>
        </w:rPr>
        <w:t>技术评审索引表</w:t>
      </w:r>
    </w:p>
    <w:p w14:paraId="68F4EF89">
      <w:pPr>
        <w:spacing w:line="400" w:lineRule="exact"/>
        <w:rPr>
          <w:rFonts w:ascii="黑体" w:hAnsi="黑体" w:eastAsia="黑体"/>
          <w:bCs/>
          <w:sz w:val="28"/>
          <w:szCs w:val="28"/>
          <w:highlight w:val="none"/>
        </w:rPr>
      </w:pPr>
      <w:r>
        <w:rPr>
          <w:rFonts w:hint="eastAsia" w:ascii="黑体" w:hAnsi="黑体" w:eastAsia="黑体"/>
          <w:bCs/>
          <w:sz w:val="28"/>
          <w:szCs w:val="28"/>
          <w:highlight w:val="none"/>
        </w:rPr>
        <w:t>报价供应商务必在商务技术文件正文前制作本索引表。</w:t>
      </w:r>
    </w:p>
    <w:tbl>
      <w:tblPr>
        <w:tblStyle w:val="42"/>
        <w:tblW w:w="5000" w:type="pct"/>
        <w:jc w:val="center"/>
        <w:tblLayout w:type="fixed"/>
        <w:tblCellMar>
          <w:top w:w="0" w:type="dxa"/>
          <w:left w:w="108" w:type="dxa"/>
          <w:bottom w:w="0" w:type="dxa"/>
          <w:right w:w="108" w:type="dxa"/>
        </w:tblCellMar>
      </w:tblPr>
      <w:tblGrid>
        <w:gridCol w:w="801"/>
        <w:gridCol w:w="1405"/>
        <w:gridCol w:w="2881"/>
        <w:gridCol w:w="1229"/>
        <w:gridCol w:w="1290"/>
        <w:gridCol w:w="1964"/>
      </w:tblGrid>
      <w:tr w14:paraId="2FD3BA3F">
        <w:tblPrEx>
          <w:tblCellMar>
            <w:top w:w="0" w:type="dxa"/>
            <w:left w:w="108" w:type="dxa"/>
            <w:bottom w:w="0" w:type="dxa"/>
            <w:right w:w="108" w:type="dxa"/>
          </w:tblCellMar>
        </w:tblPrEx>
        <w:trPr>
          <w:trHeight w:val="646" w:hRule="atLeast"/>
          <w:jc w:val="center"/>
        </w:trPr>
        <w:tc>
          <w:tcPr>
            <w:tcW w:w="418" w:type="pct"/>
            <w:vMerge w:val="restart"/>
            <w:tcBorders>
              <w:top w:val="single" w:color="auto" w:sz="4" w:space="0"/>
              <w:left w:val="single" w:color="auto" w:sz="4" w:space="0"/>
              <w:bottom w:val="single" w:color="auto" w:sz="4" w:space="0"/>
              <w:right w:val="single" w:color="auto" w:sz="4" w:space="0"/>
            </w:tcBorders>
            <w:vAlign w:val="center"/>
          </w:tcPr>
          <w:p w14:paraId="56D42C03">
            <w:pPr>
              <w:jc w:val="center"/>
              <w:rPr>
                <w:rFonts w:ascii="宋体" w:hAnsi="宋体" w:cs="宋体"/>
                <w:bCs/>
                <w:sz w:val="24"/>
                <w:highlight w:val="none"/>
              </w:rPr>
            </w:pPr>
            <w:r>
              <w:rPr>
                <w:rFonts w:hint="eastAsia" w:ascii="宋体" w:hAnsi="宋体" w:cs="宋体"/>
                <w:bCs/>
                <w:sz w:val="24"/>
                <w:highlight w:val="none"/>
              </w:rPr>
              <w:t>序号</w:t>
            </w:r>
          </w:p>
        </w:tc>
        <w:tc>
          <w:tcPr>
            <w:tcW w:w="2881" w:type="pct"/>
            <w:gridSpan w:val="3"/>
            <w:tcBorders>
              <w:top w:val="single" w:color="auto" w:sz="4" w:space="0"/>
              <w:left w:val="nil"/>
              <w:bottom w:val="single" w:color="auto" w:sz="4" w:space="0"/>
              <w:right w:val="single" w:color="auto" w:sz="4" w:space="0"/>
            </w:tcBorders>
            <w:vAlign w:val="center"/>
          </w:tcPr>
          <w:p w14:paraId="32412B3D">
            <w:pPr>
              <w:jc w:val="center"/>
              <w:rPr>
                <w:rFonts w:ascii="宋体" w:hAnsi="宋体" w:cs="宋体"/>
                <w:bCs/>
                <w:sz w:val="24"/>
                <w:highlight w:val="none"/>
              </w:rPr>
            </w:pPr>
            <w:r>
              <w:rPr>
                <w:rFonts w:hint="eastAsia" w:ascii="宋体" w:hAnsi="宋体" w:cs="宋体"/>
                <w:bCs/>
                <w:sz w:val="24"/>
                <w:highlight w:val="none"/>
              </w:rPr>
              <w:t>采购机构填写</w:t>
            </w:r>
          </w:p>
        </w:tc>
        <w:tc>
          <w:tcPr>
            <w:tcW w:w="1700" w:type="pct"/>
            <w:gridSpan w:val="2"/>
            <w:tcBorders>
              <w:top w:val="single" w:color="auto" w:sz="4" w:space="0"/>
              <w:left w:val="nil"/>
              <w:bottom w:val="single" w:color="auto" w:sz="4" w:space="0"/>
              <w:right w:val="single" w:color="auto" w:sz="4" w:space="0"/>
            </w:tcBorders>
            <w:vAlign w:val="center"/>
          </w:tcPr>
          <w:p w14:paraId="4A884E6C">
            <w:pPr>
              <w:jc w:val="center"/>
              <w:rPr>
                <w:rFonts w:ascii="宋体" w:hAnsi="宋体" w:cs="宋体"/>
                <w:bCs/>
                <w:sz w:val="24"/>
                <w:highlight w:val="none"/>
              </w:rPr>
            </w:pPr>
            <w:r>
              <w:rPr>
                <w:rFonts w:hint="eastAsia" w:ascii="宋体" w:hAnsi="宋体" w:cs="宋体"/>
                <w:bCs/>
                <w:sz w:val="24"/>
                <w:highlight w:val="none"/>
              </w:rPr>
              <w:t>报价供应商填写</w:t>
            </w:r>
          </w:p>
        </w:tc>
      </w:tr>
      <w:tr w14:paraId="437A1F2B">
        <w:tblPrEx>
          <w:tblCellMar>
            <w:top w:w="0" w:type="dxa"/>
            <w:left w:w="108" w:type="dxa"/>
            <w:bottom w:w="0" w:type="dxa"/>
            <w:right w:w="108" w:type="dxa"/>
          </w:tblCellMar>
        </w:tblPrEx>
        <w:trPr>
          <w:trHeight w:val="680" w:hRule="atLeast"/>
          <w:jc w:val="center"/>
        </w:trPr>
        <w:tc>
          <w:tcPr>
            <w:tcW w:w="418" w:type="pct"/>
            <w:vMerge w:val="continue"/>
            <w:tcBorders>
              <w:top w:val="single" w:color="auto" w:sz="4" w:space="0"/>
              <w:left w:val="single" w:color="auto" w:sz="4" w:space="0"/>
              <w:bottom w:val="single" w:color="auto" w:sz="4" w:space="0"/>
              <w:right w:val="single" w:color="auto" w:sz="4" w:space="0"/>
            </w:tcBorders>
            <w:vAlign w:val="center"/>
          </w:tcPr>
          <w:p w14:paraId="3065C018">
            <w:pPr>
              <w:jc w:val="center"/>
              <w:rPr>
                <w:rFonts w:ascii="宋体" w:hAnsi="宋体" w:cs="宋体"/>
                <w:bCs/>
                <w:sz w:val="24"/>
                <w:highlight w:val="none"/>
              </w:rPr>
            </w:pPr>
          </w:p>
        </w:tc>
        <w:tc>
          <w:tcPr>
            <w:tcW w:w="734" w:type="pct"/>
            <w:tcBorders>
              <w:top w:val="single" w:color="auto" w:sz="4" w:space="0"/>
              <w:left w:val="nil"/>
              <w:bottom w:val="single" w:color="auto" w:sz="4" w:space="0"/>
              <w:right w:val="single" w:color="auto" w:sz="4" w:space="0"/>
            </w:tcBorders>
            <w:vAlign w:val="center"/>
          </w:tcPr>
          <w:p w14:paraId="66398103">
            <w:pPr>
              <w:jc w:val="center"/>
              <w:rPr>
                <w:rFonts w:ascii="宋体" w:hAnsi="宋体" w:cs="宋体"/>
                <w:bCs/>
                <w:sz w:val="24"/>
                <w:highlight w:val="none"/>
              </w:rPr>
            </w:pPr>
            <w:r>
              <w:rPr>
                <w:rFonts w:hint="eastAsia" w:ascii="宋体" w:hAnsi="宋体" w:cs="宋体"/>
                <w:bCs/>
                <w:sz w:val="24"/>
                <w:highlight w:val="none"/>
              </w:rPr>
              <w:t>评审项目</w:t>
            </w:r>
          </w:p>
        </w:tc>
        <w:tc>
          <w:tcPr>
            <w:tcW w:w="1505" w:type="pct"/>
            <w:tcBorders>
              <w:top w:val="single" w:color="auto" w:sz="4" w:space="0"/>
              <w:left w:val="nil"/>
              <w:bottom w:val="single" w:color="auto" w:sz="4" w:space="0"/>
              <w:right w:val="single" w:color="auto" w:sz="4" w:space="0"/>
            </w:tcBorders>
            <w:vAlign w:val="center"/>
          </w:tcPr>
          <w:p w14:paraId="72E65212">
            <w:pPr>
              <w:jc w:val="center"/>
              <w:rPr>
                <w:rFonts w:ascii="宋体" w:hAnsi="宋体" w:cs="宋体"/>
                <w:bCs/>
                <w:sz w:val="24"/>
                <w:highlight w:val="none"/>
              </w:rPr>
            </w:pPr>
            <w:r>
              <w:rPr>
                <w:rFonts w:hint="eastAsia" w:ascii="宋体" w:hAnsi="宋体" w:cs="宋体"/>
                <w:bCs/>
                <w:sz w:val="24"/>
                <w:highlight w:val="none"/>
              </w:rPr>
              <w:t>计分模型</w:t>
            </w:r>
          </w:p>
        </w:tc>
        <w:tc>
          <w:tcPr>
            <w:tcW w:w="642" w:type="pct"/>
            <w:tcBorders>
              <w:top w:val="single" w:color="auto" w:sz="4" w:space="0"/>
              <w:left w:val="nil"/>
              <w:bottom w:val="single" w:color="auto" w:sz="4" w:space="0"/>
              <w:right w:val="single" w:color="auto" w:sz="4" w:space="0"/>
            </w:tcBorders>
            <w:vAlign w:val="center"/>
          </w:tcPr>
          <w:p w14:paraId="56028268">
            <w:pPr>
              <w:jc w:val="center"/>
              <w:rPr>
                <w:rFonts w:ascii="宋体" w:hAnsi="宋体" w:cs="宋体"/>
                <w:bCs/>
                <w:sz w:val="24"/>
                <w:highlight w:val="none"/>
              </w:rPr>
            </w:pPr>
            <w:r>
              <w:rPr>
                <w:rFonts w:hint="eastAsia" w:ascii="宋体" w:hAnsi="宋体" w:cs="宋体"/>
                <w:bCs/>
                <w:sz w:val="24"/>
                <w:highlight w:val="none"/>
              </w:rPr>
              <w:t>标准分值</w:t>
            </w:r>
          </w:p>
        </w:tc>
        <w:tc>
          <w:tcPr>
            <w:tcW w:w="673" w:type="pct"/>
            <w:tcBorders>
              <w:top w:val="single" w:color="auto" w:sz="4" w:space="0"/>
              <w:left w:val="nil"/>
              <w:bottom w:val="single" w:color="auto" w:sz="4" w:space="0"/>
              <w:right w:val="single" w:color="auto" w:sz="4" w:space="0"/>
            </w:tcBorders>
            <w:vAlign w:val="center"/>
          </w:tcPr>
          <w:p w14:paraId="5DCB6B27">
            <w:pPr>
              <w:jc w:val="center"/>
              <w:rPr>
                <w:rFonts w:ascii="宋体" w:hAnsi="宋体" w:cs="宋体"/>
                <w:bCs/>
                <w:sz w:val="24"/>
                <w:highlight w:val="none"/>
              </w:rPr>
            </w:pPr>
            <w:r>
              <w:rPr>
                <w:rFonts w:hint="eastAsia" w:ascii="宋体" w:hAnsi="宋体" w:cs="宋体"/>
                <w:bCs/>
                <w:sz w:val="24"/>
                <w:highlight w:val="none"/>
              </w:rPr>
              <w:t>指标值或评分项</w:t>
            </w:r>
          </w:p>
        </w:tc>
        <w:tc>
          <w:tcPr>
            <w:tcW w:w="1026" w:type="pct"/>
            <w:tcBorders>
              <w:top w:val="single" w:color="auto" w:sz="4" w:space="0"/>
              <w:left w:val="nil"/>
              <w:bottom w:val="single" w:color="auto" w:sz="4" w:space="0"/>
              <w:right w:val="single" w:color="auto" w:sz="4" w:space="0"/>
            </w:tcBorders>
            <w:vAlign w:val="center"/>
          </w:tcPr>
          <w:p w14:paraId="31D0F881">
            <w:pPr>
              <w:jc w:val="center"/>
              <w:rPr>
                <w:rFonts w:ascii="宋体" w:hAnsi="宋体" w:cs="宋体"/>
                <w:bCs/>
                <w:sz w:val="24"/>
                <w:highlight w:val="none"/>
              </w:rPr>
            </w:pPr>
            <w:r>
              <w:rPr>
                <w:rFonts w:hint="eastAsia"/>
                <w:bCs/>
                <w:sz w:val="24"/>
                <w:highlight w:val="none"/>
              </w:rPr>
              <w:t>文件名称∕页码</w:t>
            </w:r>
          </w:p>
        </w:tc>
      </w:tr>
      <w:tr w14:paraId="6A6E3EA6">
        <w:tblPrEx>
          <w:tblCellMar>
            <w:top w:w="0" w:type="dxa"/>
            <w:left w:w="108" w:type="dxa"/>
            <w:bottom w:w="0" w:type="dxa"/>
            <w:right w:w="108" w:type="dxa"/>
          </w:tblCellMar>
        </w:tblPrEx>
        <w:trPr>
          <w:trHeight w:val="680" w:hRule="atLeast"/>
          <w:jc w:val="center"/>
        </w:trPr>
        <w:tc>
          <w:tcPr>
            <w:tcW w:w="418" w:type="pct"/>
            <w:tcBorders>
              <w:top w:val="nil"/>
              <w:left w:val="single" w:color="auto" w:sz="4" w:space="0"/>
              <w:bottom w:val="single" w:color="auto" w:sz="4" w:space="0"/>
              <w:right w:val="single" w:color="auto" w:sz="4" w:space="0"/>
            </w:tcBorders>
            <w:vAlign w:val="center"/>
          </w:tcPr>
          <w:p w14:paraId="26179FBC">
            <w:pPr>
              <w:jc w:val="center"/>
              <w:rPr>
                <w:rFonts w:asciiTheme="minorEastAsia" w:hAnsiTheme="minorEastAsia" w:eastAsiaTheme="minorEastAsia"/>
                <w:bCs/>
                <w:sz w:val="24"/>
                <w:highlight w:val="none"/>
              </w:rPr>
            </w:pPr>
          </w:p>
        </w:tc>
        <w:tc>
          <w:tcPr>
            <w:tcW w:w="734" w:type="pct"/>
            <w:tcBorders>
              <w:top w:val="nil"/>
              <w:left w:val="nil"/>
              <w:bottom w:val="single" w:color="auto" w:sz="4" w:space="0"/>
              <w:right w:val="single" w:color="auto" w:sz="4" w:space="0"/>
            </w:tcBorders>
            <w:vAlign w:val="center"/>
          </w:tcPr>
          <w:p w14:paraId="6505E687">
            <w:pPr>
              <w:jc w:val="center"/>
              <w:rPr>
                <w:rFonts w:asciiTheme="minorEastAsia" w:hAnsiTheme="minorEastAsia" w:eastAsiaTheme="minorEastAsia"/>
                <w:bCs/>
                <w:sz w:val="24"/>
                <w:highlight w:val="none"/>
              </w:rPr>
            </w:pPr>
            <w:r>
              <w:rPr>
                <w:rFonts w:hint="eastAsia" w:asciiTheme="minorEastAsia" w:hAnsiTheme="minorEastAsia" w:eastAsiaTheme="minorEastAsia"/>
                <w:bCs/>
                <w:sz w:val="24"/>
                <w:highlight w:val="none"/>
              </w:rPr>
              <w:t>合</w:t>
            </w:r>
            <w:r>
              <w:rPr>
                <w:rFonts w:asciiTheme="minorEastAsia" w:hAnsiTheme="minorEastAsia" w:eastAsiaTheme="minorEastAsia"/>
                <w:bCs/>
                <w:sz w:val="24"/>
                <w:highlight w:val="none"/>
              </w:rPr>
              <w:t xml:space="preserve">  </w:t>
            </w:r>
            <w:r>
              <w:rPr>
                <w:rFonts w:hint="eastAsia" w:asciiTheme="minorEastAsia" w:hAnsiTheme="minorEastAsia" w:eastAsiaTheme="minorEastAsia"/>
                <w:bCs/>
                <w:sz w:val="24"/>
                <w:highlight w:val="none"/>
              </w:rPr>
              <w:t>计</w:t>
            </w:r>
          </w:p>
        </w:tc>
        <w:tc>
          <w:tcPr>
            <w:tcW w:w="1505" w:type="pct"/>
            <w:tcBorders>
              <w:top w:val="nil"/>
              <w:left w:val="nil"/>
              <w:bottom w:val="single" w:color="auto" w:sz="4" w:space="0"/>
              <w:right w:val="single" w:color="auto" w:sz="4" w:space="0"/>
            </w:tcBorders>
            <w:vAlign w:val="center"/>
          </w:tcPr>
          <w:p w14:paraId="211127D2">
            <w:pPr>
              <w:jc w:val="center"/>
              <w:rPr>
                <w:rFonts w:hint="default" w:asciiTheme="minorEastAsia" w:hAnsiTheme="minorEastAsia" w:eastAsiaTheme="minorEastAsia"/>
                <w:bCs/>
                <w:sz w:val="24"/>
                <w:highlight w:val="none"/>
                <w:lang w:val="en-US" w:eastAsia="zh-CN"/>
              </w:rPr>
            </w:pPr>
          </w:p>
        </w:tc>
        <w:tc>
          <w:tcPr>
            <w:tcW w:w="642" w:type="pct"/>
            <w:tcBorders>
              <w:top w:val="nil"/>
              <w:left w:val="nil"/>
              <w:bottom w:val="single" w:color="auto" w:sz="4" w:space="0"/>
              <w:right w:val="single" w:color="auto" w:sz="4" w:space="0"/>
            </w:tcBorders>
            <w:vAlign w:val="center"/>
          </w:tcPr>
          <w:p w14:paraId="075E46D9">
            <w:pPr>
              <w:jc w:val="center"/>
              <w:rPr>
                <w:rFonts w:hint="eastAsia" w:asciiTheme="minorEastAsia" w:hAnsiTheme="minorEastAsia" w:eastAsiaTheme="minorEastAsia"/>
                <w:bCs/>
                <w:sz w:val="24"/>
                <w:highlight w:val="none"/>
                <w:lang w:val="en-US" w:eastAsia="zh-CN"/>
              </w:rPr>
            </w:pPr>
            <w:r>
              <w:rPr>
                <w:rFonts w:hint="eastAsia" w:asciiTheme="minorEastAsia" w:hAnsiTheme="minorEastAsia" w:eastAsiaTheme="minorEastAsia"/>
                <w:bCs/>
                <w:sz w:val="24"/>
                <w:highlight w:val="none"/>
                <w:lang w:val="en-US" w:eastAsia="zh-CN"/>
              </w:rPr>
              <w:t>60</w:t>
            </w:r>
            <w:r>
              <w:rPr>
                <w:rFonts w:hint="eastAsia" w:ascii="宋体" w:hAnsi="宋体" w:cs="宋体"/>
                <w:color w:val="000000"/>
                <w:sz w:val="21"/>
                <w:szCs w:val="21"/>
                <w:highlight w:val="none"/>
              </w:rPr>
              <w:t>分</w:t>
            </w:r>
          </w:p>
        </w:tc>
        <w:tc>
          <w:tcPr>
            <w:tcW w:w="673" w:type="pct"/>
            <w:tcBorders>
              <w:top w:val="single" w:color="auto" w:sz="4" w:space="0"/>
              <w:left w:val="nil"/>
              <w:bottom w:val="single" w:color="auto" w:sz="4" w:space="0"/>
              <w:right w:val="single" w:color="auto" w:sz="4" w:space="0"/>
            </w:tcBorders>
            <w:vAlign w:val="center"/>
          </w:tcPr>
          <w:p w14:paraId="01BE380F">
            <w:pPr>
              <w:jc w:val="center"/>
              <w:rPr>
                <w:bCs/>
                <w:sz w:val="24"/>
                <w:highlight w:val="none"/>
              </w:rPr>
            </w:pPr>
          </w:p>
        </w:tc>
        <w:tc>
          <w:tcPr>
            <w:tcW w:w="1026" w:type="pct"/>
            <w:tcBorders>
              <w:top w:val="single" w:color="auto" w:sz="4" w:space="0"/>
              <w:left w:val="nil"/>
              <w:bottom w:val="single" w:color="auto" w:sz="4" w:space="0"/>
              <w:right w:val="single" w:color="auto" w:sz="4" w:space="0"/>
            </w:tcBorders>
            <w:vAlign w:val="center"/>
          </w:tcPr>
          <w:p w14:paraId="417ADC91">
            <w:pPr>
              <w:jc w:val="center"/>
              <w:rPr>
                <w:bCs/>
                <w:sz w:val="24"/>
                <w:highlight w:val="none"/>
              </w:rPr>
            </w:pPr>
          </w:p>
        </w:tc>
      </w:tr>
      <w:tr w14:paraId="2158B664">
        <w:tblPrEx>
          <w:tblCellMar>
            <w:top w:w="0" w:type="dxa"/>
            <w:left w:w="108" w:type="dxa"/>
            <w:bottom w:w="0" w:type="dxa"/>
            <w:right w:w="108" w:type="dxa"/>
          </w:tblCellMar>
        </w:tblPrEx>
        <w:trPr>
          <w:trHeight w:val="680" w:hRule="atLeast"/>
          <w:jc w:val="center"/>
        </w:trPr>
        <w:tc>
          <w:tcPr>
            <w:tcW w:w="418" w:type="pct"/>
            <w:vMerge w:val="restart"/>
            <w:tcBorders>
              <w:top w:val="single" w:color="auto" w:sz="4" w:space="0"/>
              <w:left w:val="single" w:color="auto" w:sz="4" w:space="0"/>
              <w:right w:val="single" w:color="auto" w:sz="4" w:space="0"/>
            </w:tcBorders>
            <w:vAlign w:val="center"/>
          </w:tcPr>
          <w:p w14:paraId="2CF5F657">
            <w:pPr>
              <w:jc w:val="center"/>
              <w:rPr>
                <w:rFonts w:hint="default" w:asciiTheme="minorEastAsia" w:hAnsiTheme="minorEastAsia" w:eastAsiaTheme="minorEastAsia"/>
                <w:bCs/>
                <w:sz w:val="24"/>
                <w:highlight w:val="none"/>
                <w:lang w:val="en-US" w:eastAsia="zh-CN"/>
              </w:rPr>
            </w:pPr>
            <w:r>
              <w:rPr>
                <w:rFonts w:hint="eastAsia" w:asciiTheme="minorEastAsia" w:hAnsiTheme="minorEastAsia" w:eastAsiaTheme="minorEastAsia"/>
                <w:bCs/>
                <w:sz w:val="24"/>
                <w:highlight w:val="none"/>
                <w:lang w:val="en-US" w:eastAsia="zh-CN"/>
              </w:rPr>
              <w:t>1</w:t>
            </w:r>
          </w:p>
        </w:tc>
        <w:tc>
          <w:tcPr>
            <w:tcW w:w="734" w:type="pct"/>
            <w:vMerge w:val="restart"/>
            <w:tcBorders>
              <w:top w:val="single" w:color="auto" w:sz="4" w:space="0"/>
              <w:left w:val="nil"/>
              <w:right w:val="single" w:color="auto" w:sz="4" w:space="0"/>
            </w:tcBorders>
            <w:vAlign w:val="center"/>
          </w:tcPr>
          <w:p w14:paraId="7971365E">
            <w:pPr>
              <w:jc w:val="center"/>
              <w:rPr>
                <w:rFonts w:hint="eastAsia" w:asciiTheme="minorEastAsia" w:hAnsiTheme="minorEastAsia" w:eastAsiaTheme="minorEastAsia"/>
                <w:bCs/>
                <w:sz w:val="24"/>
                <w:highlight w:val="none"/>
                <w:lang w:eastAsia="zh-CN"/>
              </w:rPr>
            </w:pPr>
            <w:r>
              <w:rPr>
                <w:rFonts w:hint="eastAsia" w:asciiTheme="minorEastAsia" w:hAnsiTheme="minorEastAsia" w:eastAsiaTheme="minorEastAsia"/>
                <w:bCs/>
                <w:sz w:val="24"/>
                <w:highlight w:val="none"/>
                <w:lang w:eastAsia="zh-CN"/>
              </w:rPr>
              <w:t>产品技术性能指标参数满足情况</w:t>
            </w:r>
          </w:p>
        </w:tc>
        <w:tc>
          <w:tcPr>
            <w:tcW w:w="1505" w:type="pct"/>
            <w:tcBorders>
              <w:top w:val="single" w:color="auto" w:sz="4" w:space="0"/>
              <w:left w:val="nil"/>
              <w:bottom w:val="single" w:color="auto" w:sz="4" w:space="0"/>
              <w:right w:val="single" w:color="auto" w:sz="4" w:space="0"/>
            </w:tcBorders>
            <w:vAlign w:val="center"/>
          </w:tcPr>
          <w:p w14:paraId="1700975C">
            <w:pPr>
              <w:spacing w:line="360" w:lineRule="atLeast"/>
              <w:rPr>
                <w:rFonts w:hint="eastAsia" w:ascii="宋体" w:hAnsi="宋体" w:cs="宋体"/>
                <w:color w:val="000000"/>
                <w:sz w:val="21"/>
                <w:szCs w:val="21"/>
                <w:highlight w:val="none"/>
              </w:rPr>
            </w:pPr>
            <w:r>
              <w:rPr>
                <w:rFonts w:hint="eastAsia" w:ascii="宋体" w:hAnsi="宋体" w:cs="宋体"/>
                <w:color w:val="000000"/>
                <w:sz w:val="21"/>
                <w:szCs w:val="21"/>
                <w:highlight w:val="none"/>
                <w:lang w:val="zh-CN"/>
              </w:rPr>
              <w:t>★</w:t>
            </w:r>
            <w:r>
              <w:rPr>
                <w:rFonts w:hint="eastAsia" w:ascii="宋体" w:hAnsi="宋体" w:cs="宋体"/>
                <w:color w:val="000000"/>
                <w:sz w:val="21"/>
                <w:szCs w:val="21"/>
                <w:highlight w:val="none"/>
                <w:lang w:val="en-US"/>
              </w:rPr>
              <w:t>1.可进行有氧呼吸基础代谢率、有氧呼吸极限呼吸率、有氧呼吸储备能力、质子漏水平、糖酵解水平、糖酵解能力最大值、糖酵解能力储备值、glycoATP产生速率、mitoatp产生速率、总ATP生成速率、糖酵解质子流出速率、补偿性糖酵解等指标的检测；</w:t>
            </w:r>
          </w:p>
        </w:tc>
        <w:tc>
          <w:tcPr>
            <w:tcW w:w="642" w:type="pct"/>
            <w:tcBorders>
              <w:top w:val="single" w:color="auto" w:sz="4" w:space="0"/>
              <w:left w:val="nil"/>
              <w:bottom w:val="single" w:color="auto" w:sz="4" w:space="0"/>
              <w:right w:val="single" w:color="auto" w:sz="4" w:space="0"/>
            </w:tcBorders>
            <w:vAlign w:val="center"/>
          </w:tcPr>
          <w:p w14:paraId="25D58686">
            <w:pPr>
              <w:jc w:val="center"/>
              <w:rPr>
                <w:rFonts w:hint="default" w:asciiTheme="minorEastAsia" w:hAnsiTheme="minorEastAsia" w:eastAsiaTheme="minorEastAsia"/>
                <w:bCs/>
                <w:sz w:val="24"/>
                <w:highlight w:val="none"/>
                <w:lang w:val="en-US" w:eastAsia="zh-CN"/>
              </w:rPr>
            </w:pPr>
            <w:r>
              <w:rPr>
                <w:rFonts w:hint="eastAsia"/>
                <w:bCs/>
                <w:sz w:val="24"/>
                <w:highlight w:val="none"/>
                <w:lang w:val="en-US" w:eastAsia="zh-CN"/>
              </w:rPr>
              <w:t>8.62分</w:t>
            </w:r>
          </w:p>
        </w:tc>
        <w:tc>
          <w:tcPr>
            <w:tcW w:w="673" w:type="pct"/>
            <w:tcBorders>
              <w:top w:val="single" w:color="auto" w:sz="4" w:space="0"/>
              <w:left w:val="nil"/>
              <w:bottom w:val="single" w:color="auto" w:sz="4" w:space="0"/>
              <w:right w:val="single" w:color="auto" w:sz="4" w:space="0"/>
            </w:tcBorders>
            <w:vAlign w:val="center"/>
          </w:tcPr>
          <w:p w14:paraId="352E7D38">
            <w:pPr>
              <w:jc w:val="center"/>
              <w:rPr>
                <w:bCs/>
                <w:sz w:val="24"/>
                <w:highlight w:val="none"/>
              </w:rPr>
            </w:pPr>
          </w:p>
        </w:tc>
        <w:tc>
          <w:tcPr>
            <w:tcW w:w="1026" w:type="pct"/>
            <w:tcBorders>
              <w:top w:val="single" w:color="auto" w:sz="4" w:space="0"/>
              <w:left w:val="nil"/>
              <w:bottom w:val="single" w:color="auto" w:sz="4" w:space="0"/>
              <w:right w:val="single" w:color="auto" w:sz="4" w:space="0"/>
            </w:tcBorders>
            <w:vAlign w:val="center"/>
          </w:tcPr>
          <w:p w14:paraId="3CBE61B5">
            <w:pPr>
              <w:jc w:val="center"/>
              <w:rPr>
                <w:bCs/>
                <w:sz w:val="24"/>
                <w:highlight w:val="none"/>
              </w:rPr>
            </w:pPr>
          </w:p>
        </w:tc>
      </w:tr>
      <w:tr w14:paraId="3AF4CE21">
        <w:tblPrEx>
          <w:tblCellMar>
            <w:top w:w="0" w:type="dxa"/>
            <w:left w:w="108" w:type="dxa"/>
            <w:bottom w:w="0" w:type="dxa"/>
            <w:right w:w="108" w:type="dxa"/>
          </w:tblCellMar>
        </w:tblPrEx>
        <w:trPr>
          <w:trHeight w:val="680" w:hRule="atLeast"/>
          <w:jc w:val="center"/>
        </w:trPr>
        <w:tc>
          <w:tcPr>
            <w:tcW w:w="418" w:type="pct"/>
            <w:vMerge w:val="continue"/>
            <w:tcBorders>
              <w:left w:val="single" w:color="auto" w:sz="4" w:space="0"/>
              <w:right w:val="single" w:color="auto" w:sz="4" w:space="0"/>
            </w:tcBorders>
            <w:vAlign w:val="center"/>
          </w:tcPr>
          <w:p w14:paraId="3940BB94">
            <w:pPr>
              <w:jc w:val="center"/>
              <w:rPr>
                <w:rFonts w:hint="default" w:asciiTheme="minorEastAsia" w:hAnsiTheme="minorEastAsia" w:eastAsiaTheme="minorEastAsia"/>
                <w:bCs/>
                <w:sz w:val="24"/>
                <w:highlight w:val="none"/>
                <w:lang w:val="en-US" w:eastAsia="zh-CN"/>
              </w:rPr>
            </w:pPr>
          </w:p>
        </w:tc>
        <w:tc>
          <w:tcPr>
            <w:tcW w:w="734" w:type="pct"/>
            <w:vMerge w:val="continue"/>
            <w:tcBorders>
              <w:left w:val="nil"/>
              <w:right w:val="single" w:color="auto" w:sz="4" w:space="0"/>
            </w:tcBorders>
            <w:vAlign w:val="center"/>
          </w:tcPr>
          <w:p w14:paraId="76D2F47C">
            <w:pPr>
              <w:jc w:val="center"/>
              <w:rPr>
                <w:rFonts w:hint="eastAsia" w:asciiTheme="minorEastAsia" w:hAnsiTheme="minorEastAsia" w:eastAsiaTheme="minorEastAsia"/>
                <w:bCs/>
                <w:sz w:val="24"/>
                <w:highlight w:val="none"/>
                <w:lang w:eastAsia="zh-CN"/>
              </w:rPr>
            </w:pPr>
          </w:p>
        </w:tc>
        <w:tc>
          <w:tcPr>
            <w:tcW w:w="1505" w:type="pct"/>
            <w:tcBorders>
              <w:top w:val="single" w:color="auto" w:sz="4" w:space="0"/>
              <w:left w:val="nil"/>
              <w:bottom w:val="single" w:color="auto" w:sz="4" w:space="0"/>
              <w:right w:val="single" w:color="auto" w:sz="4" w:space="0"/>
            </w:tcBorders>
            <w:vAlign w:val="center"/>
          </w:tcPr>
          <w:p w14:paraId="7E910ECC">
            <w:pPr>
              <w:spacing w:line="360" w:lineRule="atLeast"/>
              <w:rPr>
                <w:rFonts w:hint="eastAsia" w:ascii="宋体" w:hAnsi="宋体" w:cs="宋体"/>
                <w:color w:val="000000"/>
                <w:sz w:val="21"/>
                <w:szCs w:val="21"/>
                <w:highlight w:val="none"/>
              </w:rPr>
            </w:pPr>
            <w:r>
              <w:rPr>
                <w:rFonts w:hint="eastAsia" w:ascii="宋体" w:hAnsi="宋体" w:cs="宋体"/>
                <w:color w:val="000000"/>
                <w:sz w:val="21"/>
                <w:szCs w:val="21"/>
                <w:highlight w:val="none"/>
              </w:rPr>
              <w:t>▲</w:t>
            </w:r>
            <w:r>
              <w:rPr>
                <w:rFonts w:hint="eastAsia" w:ascii="宋体" w:hAnsi="宋体" w:cs="宋体"/>
                <w:color w:val="000000"/>
                <w:sz w:val="21"/>
                <w:szCs w:val="21"/>
                <w:highlight w:val="none"/>
                <w:lang w:val="en-US" w:eastAsia="zh-CN"/>
              </w:rPr>
              <w:t>2.</w:t>
            </w:r>
            <w:r>
              <w:rPr>
                <w:rFonts w:hint="eastAsia" w:ascii="宋体" w:hAnsi="宋体" w:cs="宋体"/>
                <w:color w:val="000000"/>
                <w:sz w:val="21"/>
                <w:szCs w:val="21"/>
                <w:highlight w:val="none"/>
                <w:lang w:eastAsia="zh-CN"/>
              </w:rPr>
              <w:t>具备≥</w:t>
            </w:r>
            <w:r>
              <w:rPr>
                <w:rFonts w:hint="eastAsia" w:ascii="宋体" w:hAnsi="宋体" w:cs="宋体"/>
                <w:color w:val="000000"/>
                <w:sz w:val="21"/>
                <w:szCs w:val="21"/>
                <w:highlight w:val="none"/>
                <w:lang w:val="en-US" w:eastAsia="zh-CN"/>
              </w:rPr>
              <w:t>6个独立的光电二极管检测器，同时对所有样品孔进行数据采集；一次实验可满足</w:t>
            </w:r>
            <w:r>
              <w:rPr>
                <w:rFonts w:hint="eastAsia" w:ascii="宋体" w:hAnsi="宋体" w:cs="宋体"/>
                <w:color w:val="000000"/>
                <w:sz w:val="21"/>
                <w:szCs w:val="21"/>
                <w:highlight w:val="none"/>
                <w:lang w:eastAsia="zh-CN"/>
              </w:rPr>
              <w:t>≥</w:t>
            </w:r>
            <w:r>
              <w:rPr>
                <w:rFonts w:hint="eastAsia" w:ascii="宋体" w:hAnsi="宋体" w:cs="宋体"/>
                <w:color w:val="000000"/>
                <w:sz w:val="21"/>
                <w:szCs w:val="21"/>
                <w:highlight w:val="none"/>
                <w:lang w:val="en-US" w:eastAsia="zh-CN"/>
              </w:rPr>
              <w:t>6个样品的平行、同时检测；</w:t>
            </w:r>
          </w:p>
        </w:tc>
        <w:tc>
          <w:tcPr>
            <w:tcW w:w="642" w:type="pct"/>
            <w:tcBorders>
              <w:top w:val="single" w:color="auto" w:sz="4" w:space="0"/>
              <w:left w:val="nil"/>
              <w:bottom w:val="single" w:color="auto" w:sz="4" w:space="0"/>
              <w:right w:val="single" w:color="auto" w:sz="4" w:space="0"/>
            </w:tcBorders>
            <w:vAlign w:val="center"/>
          </w:tcPr>
          <w:p w14:paraId="18275665">
            <w:pPr>
              <w:jc w:val="center"/>
              <w:rPr>
                <w:rFonts w:hint="default" w:asciiTheme="minorEastAsia" w:hAnsiTheme="minorEastAsia" w:eastAsiaTheme="minorEastAsia"/>
                <w:bCs/>
                <w:sz w:val="24"/>
                <w:highlight w:val="none"/>
                <w:lang w:val="en-US" w:eastAsia="zh-CN"/>
              </w:rPr>
            </w:pPr>
            <w:r>
              <w:rPr>
                <w:rFonts w:hint="eastAsia"/>
                <w:bCs/>
                <w:sz w:val="24"/>
                <w:highlight w:val="none"/>
                <w:lang w:val="en-US" w:eastAsia="zh-CN"/>
              </w:rPr>
              <w:t>5.17分</w:t>
            </w:r>
          </w:p>
        </w:tc>
        <w:tc>
          <w:tcPr>
            <w:tcW w:w="673" w:type="pct"/>
            <w:tcBorders>
              <w:top w:val="single" w:color="auto" w:sz="4" w:space="0"/>
              <w:left w:val="nil"/>
              <w:bottom w:val="single" w:color="auto" w:sz="4" w:space="0"/>
              <w:right w:val="single" w:color="auto" w:sz="4" w:space="0"/>
            </w:tcBorders>
            <w:vAlign w:val="center"/>
          </w:tcPr>
          <w:p w14:paraId="3F745F74">
            <w:pPr>
              <w:jc w:val="center"/>
              <w:rPr>
                <w:bCs/>
                <w:sz w:val="24"/>
                <w:highlight w:val="none"/>
              </w:rPr>
            </w:pPr>
          </w:p>
        </w:tc>
        <w:tc>
          <w:tcPr>
            <w:tcW w:w="1026" w:type="pct"/>
            <w:tcBorders>
              <w:top w:val="single" w:color="auto" w:sz="4" w:space="0"/>
              <w:left w:val="nil"/>
              <w:bottom w:val="single" w:color="auto" w:sz="4" w:space="0"/>
              <w:right w:val="single" w:color="auto" w:sz="4" w:space="0"/>
            </w:tcBorders>
            <w:vAlign w:val="center"/>
          </w:tcPr>
          <w:p w14:paraId="360C9447">
            <w:pPr>
              <w:jc w:val="center"/>
              <w:rPr>
                <w:bCs/>
                <w:sz w:val="24"/>
                <w:highlight w:val="none"/>
              </w:rPr>
            </w:pPr>
          </w:p>
        </w:tc>
      </w:tr>
      <w:tr w14:paraId="10DD8AC8">
        <w:tblPrEx>
          <w:tblCellMar>
            <w:top w:w="0" w:type="dxa"/>
            <w:left w:w="108" w:type="dxa"/>
            <w:bottom w:w="0" w:type="dxa"/>
            <w:right w:w="108" w:type="dxa"/>
          </w:tblCellMar>
        </w:tblPrEx>
        <w:trPr>
          <w:trHeight w:val="680" w:hRule="atLeast"/>
          <w:jc w:val="center"/>
        </w:trPr>
        <w:tc>
          <w:tcPr>
            <w:tcW w:w="418" w:type="pct"/>
            <w:vMerge w:val="continue"/>
            <w:tcBorders>
              <w:left w:val="single" w:color="auto" w:sz="4" w:space="0"/>
              <w:right w:val="single" w:color="auto" w:sz="4" w:space="0"/>
            </w:tcBorders>
            <w:vAlign w:val="center"/>
          </w:tcPr>
          <w:p w14:paraId="10AF3679">
            <w:pPr>
              <w:jc w:val="center"/>
              <w:rPr>
                <w:rFonts w:hint="eastAsia" w:asciiTheme="minorEastAsia" w:hAnsiTheme="minorEastAsia" w:eastAsiaTheme="minorEastAsia"/>
                <w:bCs/>
                <w:sz w:val="24"/>
                <w:highlight w:val="none"/>
                <w:lang w:eastAsia="zh-CN"/>
              </w:rPr>
            </w:pPr>
          </w:p>
        </w:tc>
        <w:tc>
          <w:tcPr>
            <w:tcW w:w="734" w:type="pct"/>
            <w:vMerge w:val="continue"/>
            <w:tcBorders>
              <w:left w:val="nil"/>
              <w:right w:val="single" w:color="auto" w:sz="4" w:space="0"/>
            </w:tcBorders>
            <w:vAlign w:val="center"/>
          </w:tcPr>
          <w:p w14:paraId="00885A92">
            <w:pPr>
              <w:jc w:val="center"/>
              <w:rPr>
                <w:rFonts w:hint="eastAsia" w:asciiTheme="minorEastAsia" w:hAnsiTheme="minorEastAsia" w:eastAsiaTheme="minorEastAsia"/>
                <w:bCs/>
                <w:sz w:val="24"/>
                <w:highlight w:val="none"/>
                <w:lang w:eastAsia="zh-CN"/>
              </w:rPr>
            </w:pPr>
          </w:p>
        </w:tc>
        <w:tc>
          <w:tcPr>
            <w:tcW w:w="1505" w:type="pct"/>
            <w:tcBorders>
              <w:top w:val="single" w:color="auto" w:sz="4" w:space="0"/>
              <w:left w:val="nil"/>
              <w:bottom w:val="single" w:color="auto" w:sz="4" w:space="0"/>
              <w:right w:val="single" w:color="auto" w:sz="4" w:space="0"/>
            </w:tcBorders>
            <w:vAlign w:val="center"/>
          </w:tcPr>
          <w:p w14:paraId="41AB7627">
            <w:pPr>
              <w:spacing w:line="360" w:lineRule="atLeast"/>
              <w:rPr>
                <w:rFonts w:hint="eastAsia" w:ascii="宋体" w:hAnsi="宋体" w:cs="宋体"/>
                <w:color w:val="000000"/>
                <w:sz w:val="21"/>
                <w:szCs w:val="21"/>
                <w:highlight w:val="none"/>
              </w:rPr>
            </w:pPr>
            <w:r>
              <w:rPr>
                <w:rFonts w:hint="eastAsia" w:ascii="宋体" w:hAnsi="宋体" w:cs="宋体"/>
                <w:color w:val="000000"/>
                <w:sz w:val="21"/>
                <w:szCs w:val="21"/>
                <w:highlight w:val="none"/>
              </w:rPr>
              <w:t>▲</w:t>
            </w:r>
            <w:r>
              <w:rPr>
                <w:rFonts w:hint="eastAsia" w:ascii="宋体" w:hAnsi="宋体" w:cs="宋体"/>
                <w:color w:val="000000"/>
                <w:sz w:val="21"/>
                <w:szCs w:val="21"/>
                <w:highlight w:val="none"/>
                <w:lang w:val="en-US" w:eastAsia="zh-CN"/>
              </w:rPr>
              <w:t>3.实时多因子参数检测：所有样品孔同时检测，每个样品孔中同时分析O2与H+，同时检测0CR与ECAR值，侦测有氧与无氧代谢途径;</w:t>
            </w:r>
          </w:p>
        </w:tc>
        <w:tc>
          <w:tcPr>
            <w:tcW w:w="642" w:type="pct"/>
            <w:tcBorders>
              <w:top w:val="single" w:color="auto" w:sz="4" w:space="0"/>
              <w:left w:val="nil"/>
              <w:bottom w:val="single" w:color="auto" w:sz="4" w:space="0"/>
              <w:right w:val="single" w:color="auto" w:sz="4" w:space="0"/>
            </w:tcBorders>
            <w:vAlign w:val="center"/>
          </w:tcPr>
          <w:p w14:paraId="77B12354">
            <w:pPr>
              <w:jc w:val="center"/>
              <w:rPr>
                <w:rFonts w:hint="default" w:asciiTheme="minorEastAsia" w:hAnsiTheme="minorEastAsia" w:eastAsiaTheme="minorEastAsia"/>
                <w:bCs/>
                <w:sz w:val="24"/>
                <w:highlight w:val="none"/>
                <w:lang w:val="en-US" w:eastAsia="zh-CN"/>
              </w:rPr>
            </w:pPr>
            <w:r>
              <w:rPr>
                <w:rFonts w:hint="eastAsia"/>
                <w:bCs/>
                <w:sz w:val="24"/>
                <w:highlight w:val="none"/>
                <w:lang w:val="en-US" w:eastAsia="zh-CN"/>
              </w:rPr>
              <w:t>5.17分</w:t>
            </w:r>
          </w:p>
        </w:tc>
        <w:tc>
          <w:tcPr>
            <w:tcW w:w="673" w:type="pct"/>
            <w:tcBorders>
              <w:top w:val="single" w:color="auto" w:sz="4" w:space="0"/>
              <w:left w:val="nil"/>
              <w:bottom w:val="single" w:color="auto" w:sz="4" w:space="0"/>
              <w:right w:val="single" w:color="auto" w:sz="4" w:space="0"/>
            </w:tcBorders>
            <w:vAlign w:val="center"/>
          </w:tcPr>
          <w:p w14:paraId="4E2D4A6B">
            <w:pPr>
              <w:jc w:val="center"/>
              <w:rPr>
                <w:bCs/>
                <w:sz w:val="24"/>
                <w:highlight w:val="none"/>
              </w:rPr>
            </w:pPr>
          </w:p>
        </w:tc>
        <w:tc>
          <w:tcPr>
            <w:tcW w:w="1026" w:type="pct"/>
            <w:tcBorders>
              <w:top w:val="single" w:color="auto" w:sz="4" w:space="0"/>
              <w:left w:val="nil"/>
              <w:bottom w:val="single" w:color="auto" w:sz="4" w:space="0"/>
              <w:right w:val="single" w:color="auto" w:sz="4" w:space="0"/>
            </w:tcBorders>
            <w:vAlign w:val="center"/>
          </w:tcPr>
          <w:p w14:paraId="6B6186F6">
            <w:pPr>
              <w:jc w:val="center"/>
              <w:rPr>
                <w:bCs/>
                <w:sz w:val="24"/>
                <w:highlight w:val="none"/>
              </w:rPr>
            </w:pPr>
          </w:p>
        </w:tc>
      </w:tr>
      <w:tr w14:paraId="774E9F66">
        <w:tblPrEx>
          <w:tblCellMar>
            <w:top w:w="0" w:type="dxa"/>
            <w:left w:w="108" w:type="dxa"/>
            <w:bottom w:w="0" w:type="dxa"/>
            <w:right w:w="108" w:type="dxa"/>
          </w:tblCellMar>
        </w:tblPrEx>
        <w:trPr>
          <w:trHeight w:val="680" w:hRule="atLeast"/>
          <w:jc w:val="center"/>
        </w:trPr>
        <w:tc>
          <w:tcPr>
            <w:tcW w:w="418" w:type="pct"/>
            <w:vMerge w:val="continue"/>
            <w:tcBorders>
              <w:left w:val="single" w:color="auto" w:sz="4" w:space="0"/>
              <w:right w:val="single" w:color="auto" w:sz="4" w:space="0"/>
            </w:tcBorders>
            <w:vAlign w:val="center"/>
          </w:tcPr>
          <w:p w14:paraId="5DE86100">
            <w:pPr>
              <w:jc w:val="center"/>
              <w:rPr>
                <w:rFonts w:hint="default" w:asciiTheme="minorEastAsia" w:hAnsiTheme="minorEastAsia" w:eastAsiaTheme="minorEastAsia"/>
                <w:bCs/>
                <w:sz w:val="24"/>
                <w:highlight w:val="none"/>
                <w:lang w:val="en-US" w:eastAsia="zh-CN"/>
              </w:rPr>
            </w:pPr>
          </w:p>
        </w:tc>
        <w:tc>
          <w:tcPr>
            <w:tcW w:w="734" w:type="pct"/>
            <w:vMerge w:val="continue"/>
            <w:tcBorders>
              <w:left w:val="nil"/>
              <w:bottom w:val="single" w:color="auto" w:sz="4" w:space="0"/>
              <w:right w:val="single" w:color="auto" w:sz="4" w:space="0"/>
            </w:tcBorders>
            <w:vAlign w:val="center"/>
          </w:tcPr>
          <w:p w14:paraId="74929936">
            <w:pPr>
              <w:jc w:val="center"/>
              <w:rPr>
                <w:rFonts w:hint="eastAsia" w:asciiTheme="minorEastAsia" w:hAnsiTheme="minorEastAsia" w:eastAsiaTheme="minorEastAsia"/>
                <w:bCs/>
                <w:sz w:val="24"/>
                <w:highlight w:val="none"/>
                <w:lang w:eastAsia="zh-CN"/>
              </w:rPr>
            </w:pPr>
          </w:p>
        </w:tc>
        <w:tc>
          <w:tcPr>
            <w:tcW w:w="1505" w:type="pct"/>
            <w:tcBorders>
              <w:top w:val="single" w:color="auto" w:sz="4" w:space="0"/>
              <w:left w:val="nil"/>
              <w:bottom w:val="single" w:color="auto" w:sz="4" w:space="0"/>
              <w:right w:val="single" w:color="auto" w:sz="4" w:space="0"/>
            </w:tcBorders>
            <w:vAlign w:val="center"/>
          </w:tcPr>
          <w:p w14:paraId="0222906A">
            <w:pPr>
              <w:spacing w:line="360" w:lineRule="atLeast"/>
              <w:rPr>
                <w:rFonts w:hint="eastAsia" w:ascii="宋体" w:hAnsi="宋体" w:cs="宋体"/>
                <w:color w:val="000000"/>
                <w:sz w:val="21"/>
                <w:szCs w:val="21"/>
                <w:highlight w:val="none"/>
              </w:rPr>
            </w:pPr>
            <w:r>
              <w:rPr>
                <w:rFonts w:hint="eastAsia" w:ascii="宋体" w:hAnsi="宋体" w:cs="宋体"/>
                <w:color w:val="000000"/>
                <w:sz w:val="21"/>
                <w:szCs w:val="21"/>
                <w:highlight w:val="none"/>
                <w:lang w:val="en-US" w:eastAsia="zh-CN"/>
              </w:rPr>
              <w:t>▲4.探针类型:固态荧光探针。无需对细胞进行染色标记，对细胞不造成损伤，最大限度降低探针对细胞状态的影响；</w:t>
            </w:r>
          </w:p>
        </w:tc>
        <w:tc>
          <w:tcPr>
            <w:tcW w:w="642" w:type="pct"/>
            <w:tcBorders>
              <w:top w:val="single" w:color="auto" w:sz="4" w:space="0"/>
              <w:left w:val="nil"/>
              <w:bottom w:val="single" w:color="auto" w:sz="4" w:space="0"/>
              <w:right w:val="single" w:color="auto" w:sz="4" w:space="0"/>
            </w:tcBorders>
            <w:vAlign w:val="center"/>
          </w:tcPr>
          <w:p w14:paraId="5D53B08E">
            <w:pPr>
              <w:jc w:val="center"/>
              <w:rPr>
                <w:rFonts w:hint="default" w:asciiTheme="minorEastAsia" w:hAnsiTheme="minorEastAsia" w:eastAsiaTheme="minorEastAsia"/>
                <w:bCs/>
                <w:sz w:val="24"/>
                <w:highlight w:val="none"/>
                <w:lang w:val="en-US" w:eastAsia="zh-CN"/>
              </w:rPr>
            </w:pPr>
            <w:r>
              <w:rPr>
                <w:rFonts w:hint="eastAsia"/>
                <w:bCs/>
                <w:sz w:val="24"/>
                <w:highlight w:val="none"/>
                <w:lang w:val="en-US" w:eastAsia="zh-CN"/>
              </w:rPr>
              <w:t>5.17分</w:t>
            </w:r>
          </w:p>
        </w:tc>
        <w:tc>
          <w:tcPr>
            <w:tcW w:w="673" w:type="pct"/>
            <w:tcBorders>
              <w:top w:val="single" w:color="auto" w:sz="4" w:space="0"/>
              <w:left w:val="nil"/>
              <w:bottom w:val="single" w:color="auto" w:sz="4" w:space="0"/>
              <w:right w:val="single" w:color="auto" w:sz="4" w:space="0"/>
            </w:tcBorders>
            <w:vAlign w:val="center"/>
          </w:tcPr>
          <w:p w14:paraId="6679C760">
            <w:pPr>
              <w:jc w:val="center"/>
              <w:rPr>
                <w:bCs/>
                <w:sz w:val="24"/>
                <w:highlight w:val="none"/>
              </w:rPr>
            </w:pPr>
          </w:p>
        </w:tc>
        <w:tc>
          <w:tcPr>
            <w:tcW w:w="1026" w:type="pct"/>
            <w:tcBorders>
              <w:top w:val="single" w:color="auto" w:sz="4" w:space="0"/>
              <w:left w:val="nil"/>
              <w:bottom w:val="single" w:color="auto" w:sz="4" w:space="0"/>
              <w:right w:val="single" w:color="auto" w:sz="4" w:space="0"/>
            </w:tcBorders>
            <w:vAlign w:val="center"/>
          </w:tcPr>
          <w:p w14:paraId="3C2886AA">
            <w:pPr>
              <w:jc w:val="center"/>
              <w:rPr>
                <w:bCs/>
                <w:sz w:val="24"/>
                <w:highlight w:val="none"/>
              </w:rPr>
            </w:pPr>
          </w:p>
        </w:tc>
      </w:tr>
      <w:tr w14:paraId="31C98012">
        <w:tblPrEx>
          <w:tblCellMar>
            <w:top w:w="0" w:type="dxa"/>
            <w:left w:w="108" w:type="dxa"/>
            <w:bottom w:w="0" w:type="dxa"/>
            <w:right w:w="108" w:type="dxa"/>
          </w:tblCellMar>
        </w:tblPrEx>
        <w:trPr>
          <w:trHeight w:val="680" w:hRule="atLeast"/>
          <w:jc w:val="center"/>
        </w:trPr>
        <w:tc>
          <w:tcPr>
            <w:tcW w:w="418" w:type="pct"/>
            <w:vMerge w:val="continue"/>
            <w:tcBorders>
              <w:left w:val="single" w:color="auto" w:sz="4" w:space="0"/>
              <w:right w:val="single" w:color="auto" w:sz="4" w:space="0"/>
            </w:tcBorders>
            <w:vAlign w:val="center"/>
          </w:tcPr>
          <w:p w14:paraId="0358249C">
            <w:pPr>
              <w:jc w:val="center"/>
              <w:rPr>
                <w:rFonts w:hint="default" w:asciiTheme="minorEastAsia" w:hAnsiTheme="minorEastAsia" w:eastAsiaTheme="minorEastAsia"/>
                <w:bCs/>
                <w:sz w:val="24"/>
                <w:highlight w:val="none"/>
                <w:lang w:val="en-US" w:eastAsia="zh-CN"/>
              </w:rPr>
            </w:pPr>
          </w:p>
        </w:tc>
        <w:tc>
          <w:tcPr>
            <w:tcW w:w="734" w:type="pct"/>
            <w:vMerge w:val="continue"/>
            <w:tcBorders>
              <w:top w:val="single" w:color="auto" w:sz="4" w:space="0"/>
              <w:left w:val="single" w:color="auto" w:sz="4" w:space="0"/>
              <w:bottom w:val="single" w:color="auto" w:sz="4" w:space="0"/>
              <w:right w:val="single" w:color="auto" w:sz="4" w:space="0"/>
            </w:tcBorders>
            <w:vAlign w:val="center"/>
          </w:tcPr>
          <w:p w14:paraId="11FECB05">
            <w:pPr>
              <w:jc w:val="center"/>
              <w:rPr>
                <w:rFonts w:hint="eastAsia" w:asciiTheme="minorEastAsia" w:hAnsiTheme="minorEastAsia" w:eastAsiaTheme="minorEastAsia"/>
                <w:bCs/>
                <w:sz w:val="24"/>
                <w:highlight w:val="none"/>
                <w:lang w:eastAsia="zh-CN"/>
              </w:rPr>
            </w:pPr>
          </w:p>
        </w:tc>
        <w:tc>
          <w:tcPr>
            <w:tcW w:w="1505" w:type="pct"/>
            <w:tcBorders>
              <w:top w:val="single" w:color="auto" w:sz="4" w:space="0"/>
              <w:left w:val="single" w:color="auto" w:sz="4" w:space="0"/>
              <w:bottom w:val="single" w:color="auto" w:sz="4" w:space="0"/>
              <w:right w:val="single" w:color="auto" w:sz="4" w:space="0"/>
            </w:tcBorders>
            <w:vAlign w:val="center"/>
          </w:tcPr>
          <w:p w14:paraId="4DD5DF37">
            <w:pPr>
              <w:spacing w:line="360" w:lineRule="atLeast"/>
              <w:rPr>
                <w:rFonts w:hint="eastAsia" w:ascii="宋体" w:hAnsi="宋体" w:cs="宋体"/>
                <w:color w:val="000000"/>
                <w:sz w:val="21"/>
                <w:szCs w:val="21"/>
                <w:highlight w:val="none"/>
              </w:rPr>
            </w:pPr>
            <w:r>
              <w:rPr>
                <w:rFonts w:hint="eastAsia" w:ascii="宋体" w:hAnsi="宋体" w:cs="宋体"/>
                <w:color w:val="000000"/>
                <w:sz w:val="21"/>
                <w:szCs w:val="21"/>
                <w:highlight w:val="none"/>
                <w:lang w:val="en-US" w:eastAsia="zh-CN"/>
              </w:rPr>
              <w:t>▲5.全自动加药口:具有自动化药物注入功能，可通过气体驱动药物传递，并自动混匀。每个样品孔配有</w:t>
            </w:r>
            <w:r>
              <w:rPr>
                <w:rFonts w:hint="eastAsia" w:ascii="宋体" w:hAnsi="宋体" w:cs="宋体"/>
                <w:color w:val="000000"/>
                <w:sz w:val="21"/>
                <w:szCs w:val="21"/>
                <w:highlight w:val="none"/>
                <w:lang w:eastAsia="zh-CN"/>
              </w:rPr>
              <w:t>≥</w:t>
            </w:r>
            <w:r>
              <w:rPr>
                <w:rFonts w:hint="eastAsia" w:ascii="宋体" w:hAnsi="宋体" w:cs="宋体"/>
                <w:color w:val="000000"/>
                <w:sz w:val="21"/>
                <w:szCs w:val="21"/>
                <w:highlight w:val="none"/>
                <w:lang w:val="en-US" w:eastAsia="zh-CN"/>
              </w:rPr>
              <w:t>3个全自动加药口，可在实验进程中定时、定量自动加入≥3种不同的研究介质或化合物；</w:t>
            </w:r>
          </w:p>
        </w:tc>
        <w:tc>
          <w:tcPr>
            <w:tcW w:w="642" w:type="pct"/>
            <w:tcBorders>
              <w:top w:val="single" w:color="auto" w:sz="4" w:space="0"/>
              <w:left w:val="single" w:color="auto" w:sz="4" w:space="0"/>
              <w:bottom w:val="single" w:color="auto" w:sz="4" w:space="0"/>
              <w:right w:val="single" w:color="auto" w:sz="4" w:space="0"/>
            </w:tcBorders>
            <w:vAlign w:val="center"/>
          </w:tcPr>
          <w:p w14:paraId="03F4EBA1">
            <w:pPr>
              <w:jc w:val="center"/>
              <w:rPr>
                <w:rFonts w:hint="default" w:asciiTheme="minorEastAsia" w:hAnsiTheme="minorEastAsia" w:eastAsiaTheme="minorEastAsia"/>
                <w:bCs/>
                <w:sz w:val="24"/>
                <w:highlight w:val="none"/>
                <w:lang w:val="en-US" w:eastAsia="zh-CN"/>
              </w:rPr>
            </w:pPr>
            <w:r>
              <w:rPr>
                <w:rFonts w:hint="eastAsia"/>
                <w:bCs/>
                <w:sz w:val="24"/>
                <w:highlight w:val="none"/>
                <w:lang w:val="en-US" w:eastAsia="zh-CN"/>
              </w:rPr>
              <w:t>5.17分</w:t>
            </w:r>
          </w:p>
        </w:tc>
        <w:tc>
          <w:tcPr>
            <w:tcW w:w="673" w:type="pct"/>
            <w:tcBorders>
              <w:top w:val="single" w:color="auto" w:sz="4" w:space="0"/>
              <w:left w:val="single" w:color="auto" w:sz="4" w:space="0"/>
              <w:bottom w:val="single" w:color="auto" w:sz="4" w:space="0"/>
              <w:right w:val="single" w:color="auto" w:sz="4" w:space="0"/>
            </w:tcBorders>
            <w:vAlign w:val="center"/>
          </w:tcPr>
          <w:p w14:paraId="0A3FFAE2">
            <w:pPr>
              <w:jc w:val="center"/>
              <w:rPr>
                <w:bCs/>
                <w:sz w:val="24"/>
                <w:highlight w:val="none"/>
              </w:rPr>
            </w:pPr>
          </w:p>
        </w:tc>
        <w:tc>
          <w:tcPr>
            <w:tcW w:w="1026" w:type="pct"/>
            <w:tcBorders>
              <w:top w:val="single" w:color="auto" w:sz="4" w:space="0"/>
              <w:left w:val="single" w:color="auto" w:sz="4" w:space="0"/>
              <w:bottom w:val="single" w:color="auto" w:sz="4" w:space="0"/>
              <w:right w:val="single" w:color="auto" w:sz="4" w:space="0"/>
            </w:tcBorders>
            <w:vAlign w:val="center"/>
          </w:tcPr>
          <w:p w14:paraId="3277247A">
            <w:pPr>
              <w:jc w:val="center"/>
              <w:rPr>
                <w:bCs/>
                <w:sz w:val="24"/>
                <w:highlight w:val="none"/>
              </w:rPr>
            </w:pPr>
          </w:p>
        </w:tc>
      </w:tr>
      <w:tr w14:paraId="3B0EB404">
        <w:tblPrEx>
          <w:tblCellMar>
            <w:top w:w="0" w:type="dxa"/>
            <w:left w:w="108" w:type="dxa"/>
            <w:bottom w:w="0" w:type="dxa"/>
            <w:right w:w="108" w:type="dxa"/>
          </w:tblCellMar>
        </w:tblPrEx>
        <w:trPr>
          <w:trHeight w:val="680" w:hRule="atLeast"/>
          <w:jc w:val="center"/>
        </w:trPr>
        <w:tc>
          <w:tcPr>
            <w:tcW w:w="418" w:type="pct"/>
            <w:vMerge w:val="continue"/>
            <w:tcBorders>
              <w:left w:val="single" w:color="auto" w:sz="4" w:space="0"/>
              <w:right w:val="single" w:color="auto" w:sz="4" w:space="0"/>
            </w:tcBorders>
            <w:vAlign w:val="center"/>
          </w:tcPr>
          <w:p w14:paraId="527926AD">
            <w:pPr>
              <w:jc w:val="center"/>
              <w:rPr>
                <w:rFonts w:hint="default" w:asciiTheme="minorEastAsia" w:hAnsiTheme="minorEastAsia" w:eastAsiaTheme="minorEastAsia"/>
                <w:bCs/>
                <w:sz w:val="24"/>
                <w:highlight w:val="none"/>
                <w:lang w:val="en-US" w:eastAsia="zh-CN"/>
              </w:rPr>
            </w:pPr>
          </w:p>
        </w:tc>
        <w:tc>
          <w:tcPr>
            <w:tcW w:w="734" w:type="pct"/>
            <w:vMerge w:val="continue"/>
            <w:tcBorders>
              <w:top w:val="single" w:color="auto" w:sz="4" w:space="0"/>
              <w:left w:val="single" w:color="auto" w:sz="4" w:space="0"/>
              <w:bottom w:val="single" w:color="auto" w:sz="4" w:space="0"/>
              <w:right w:val="single" w:color="auto" w:sz="4" w:space="0"/>
            </w:tcBorders>
            <w:vAlign w:val="center"/>
          </w:tcPr>
          <w:p w14:paraId="61B7A7B2">
            <w:pPr>
              <w:jc w:val="center"/>
              <w:rPr>
                <w:rFonts w:hint="eastAsia" w:asciiTheme="minorEastAsia" w:hAnsiTheme="minorEastAsia" w:eastAsiaTheme="minorEastAsia"/>
                <w:bCs/>
                <w:sz w:val="24"/>
                <w:highlight w:val="none"/>
                <w:lang w:eastAsia="zh-CN"/>
              </w:rPr>
            </w:pPr>
          </w:p>
        </w:tc>
        <w:tc>
          <w:tcPr>
            <w:tcW w:w="1505" w:type="pct"/>
            <w:tcBorders>
              <w:top w:val="single" w:color="auto" w:sz="4" w:space="0"/>
              <w:left w:val="single" w:color="auto" w:sz="4" w:space="0"/>
              <w:bottom w:val="single" w:color="auto" w:sz="4" w:space="0"/>
              <w:right w:val="single" w:color="auto" w:sz="4" w:space="0"/>
            </w:tcBorders>
            <w:vAlign w:val="center"/>
          </w:tcPr>
          <w:p w14:paraId="160DA57D">
            <w:pPr>
              <w:spacing w:line="360" w:lineRule="atLeast"/>
              <w:rPr>
                <w:rFonts w:hint="eastAsia" w:ascii="宋体" w:hAnsi="宋体" w:cs="宋体"/>
                <w:color w:val="000000"/>
                <w:sz w:val="21"/>
                <w:szCs w:val="21"/>
                <w:highlight w:val="none"/>
              </w:rPr>
            </w:pPr>
            <w:r>
              <w:rPr>
                <w:rFonts w:hint="eastAsia" w:ascii="宋体" w:hAnsi="宋体" w:cs="宋体"/>
                <w:color w:val="000000"/>
                <w:sz w:val="21"/>
                <w:szCs w:val="21"/>
                <w:highlight w:val="none"/>
                <w:lang w:val="en-US" w:eastAsia="zh-CN"/>
              </w:rPr>
              <w:t>6.数据采集:可同时检测线粒体功能与无氧代谢，即时反应细胞生理状态变化，单次检测时间间隔≤20秒；</w:t>
            </w:r>
          </w:p>
        </w:tc>
        <w:tc>
          <w:tcPr>
            <w:tcW w:w="642" w:type="pct"/>
            <w:tcBorders>
              <w:top w:val="single" w:color="auto" w:sz="4" w:space="0"/>
              <w:left w:val="single" w:color="auto" w:sz="4" w:space="0"/>
              <w:bottom w:val="single" w:color="auto" w:sz="4" w:space="0"/>
              <w:right w:val="single" w:color="auto" w:sz="4" w:space="0"/>
            </w:tcBorders>
            <w:vAlign w:val="center"/>
          </w:tcPr>
          <w:p w14:paraId="3357BC34">
            <w:pPr>
              <w:jc w:val="center"/>
              <w:rPr>
                <w:rFonts w:hint="default" w:asciiTheme="minorEastAsia" w:hAnsiTheme="minorEastAsia" w:eastAsiaTheme="minorEastAsia"/>
                <w:bCs/>
                <w:sz w:val="24"/>
                <w:highlight w:val="none"/>
                <w:lang w:val="en-US" w:eastAsia="zh-CN"/>
              </w:rPr>
            </w:pPr>
            <w:r>
              <w:rPr>
                <w:rFonts w:hint="eastAsia"/>
                <w:bCs/>
                <w:sz w:val="24"/>
                <w:highlight w:val="none"/>
                <w:lang w:val="en-US" w:eastAsia="zh-CN"/>
              </w:rPr>
              <w:t>3.45分</w:t>
            </w:r>
          </w:p>
        </w:tc>
        <w:tc>
          <w:tcPr>
            <w:tcW w:w="673" w:type="pct"/>
            <w:tcBorders>
              <w:top w:val="single" w:color="auto" w:sz="4" w:space="0"/>
              <w:left w:val="single" w:color="auto" w:sz="4" w:space="0"/>
              <w:bottom w:val="single" w:color="auto" w:sz="4" w:space="0"/>
              <w:right w:val="single" w:color="auto" w:sz="4" w:space="0"/>
            </w:tcBorders>
            <w:vAlign w:val="center"/>
          </w:tcPr>
          <w:p w14:paraId="1798B473">
            <w:pPr>
              <w:jc w:val="center"/>
              <w:rPr>
                <w:bCs/>
                <w:sz w:val="24"/>
                <w:highlight w:val="none"/>
              </w:rPr>
            </w:pPr>
          </w:p>
        </w:tc>
        <w:tc>
          <w:tcPr>
            <w:tcW w:w="1026" w:type="pct"/>
            <w:tcBorders>
              <w:top w:val="single" w:color="auto" w:sz="4" w:space="0"/>
              <w:left w:val="single" w:color="auto" w:sz="4" w:space="0"/>
              <w:bottom w:val="single" w:color="auto" w:sz="4" w:space="0"/>
              <w:right w:val="single" w:color="auto" w:sz="4" w:space="0"/>
            </w:tcBorders>
            <w:vAlign w:val="center"/>
          </w:tcPr>
          <w:p w14:paraId="724A3ADE">
            <w:pPr>
              <w:jc w:val="center"/>
              <w:rPr>
                <w:bCs/>
                <w:sz w:val="24"/>
                <w:highlight w:val="none"/>
              </w:rPr>
            </w:pPr>
          </w:p>
        </w:tc>
      </w:tr>
      <w:tr w14:paraId="696ED420">
        <w:tblPrEx>
          <w:tblCellMar>
            <w:top w:w="0" w:type="dxa"/>
            <w:left w:w="108" w:type="dxa"/>
            <w:bottom w:w="0" w:type="dxa"/>
            <w:right w:w="108" w:type="dxa"/>
          </w:tblCellMar>
        </w:tblPrEx>
        <w:trPr>
          <w:trHeight w:val="680" w:hRule="atLeast"/>
          <w:jc w:val="center"/>
        </w:trPr>
        <w:tc>
          <w:tcPr>
            <w:tcW w:w="418" w:type="pct"/>
            <w:vMerge w:val="continue"/>
            <w:tcBorders>
              <w:left w:val="single" w:color="auto" w:sz="4" w:space="0"/>
              <w:right w:val="single" w:color="auto" w:sz="4" w:space="0"/>
            </w:tcBorders>
            <w:vAlign w:val="center"/>
          </w:tcPr>
          <w:p w14:paraId="7CE9CC4B">
            <w:pPr>
              <w:jc w:val="center"/>
              <w:rPr>
                <w:rFonts w:hint="default" w:asciiTheme="minorEastAsia" w:hAnsiTheme="minorEastAsia" w:eastAsiaTheme="minorEastAsia"/>
                <w:bCs/>
                <w:sz w:val="24"/>
                <w:highlight w:val="none"/>
                <w:lang w:val="en-US" w:eastAsia="zh-CN"/>
              </w:rPr>
            </w:pPr>
          </w:p>
        </w:tc>
        <w:tc>
          <w:tcPr>
            <w:tcW w:w="734" w:type="pct"/>
            <w:vMerge w:val="continue"/>
            <w:tcBorders>
              <w:top w:val="single" w:color="auto" w:sz="4" w:space="0"/>
              <w:left w:val="single" w:color="auto" w:sz="4" w:space="0"/>
              <w:bottom w:val="single" w:color="auto" w:sz="4" w:space="0"/>
              <w:right w:val="single" w:color="auto" w:sz="4" w:space="0"/>
            </w:tcBorders>
            <w:vAlign w:val="center"/>
          </w:tcPr>
          <w:p w14:paraId="5E31DFA3">
            <w:pPr>
              <w:jc w:val="center"/>
              <w:rPr>
                <w:rFonts w:hint="eastAsia" w:asciiTheme="minorEastAsia" w:hAnsiTheme="minorEastAsia" w:eastAsiaTheme="minorEastAsia"/>
                <w:bCs/>
                <w:sz w:val="24"/>
                <w:highlight w:val="none"/>
                <w:lang w:eastAsia="zh-CN"/>
              </w:rPr>
            </w:pPr>
          </w:p>
        </w:tc>
        <w:tc>
          <w:tcPr>
            <w:tcW w:w="1505" w:type="pct"/>
            <w:tcBorders>
              <w:top w:val="single" w:color="auto" w:sz="4" w:space="0"/>
              <w:left w:val="single" w:color="auto" w:sz="4" w:space="0"/>
              <w:bottom w:val="single" w:color="auto" w:sz="4" w:space="0"/>
              <w:right w:val="single" w:color="auto" w:sz="4" w:space="0"/>
            </w:tcBorders>
            <w:vAlign w:val="center"/>
          </w:tcPr>
          <w:p w14:paraId="6E757E8B">
            <w:pPr>
              <w:spacing w:line="360" w:lineRule="atLeast"/>
              <w:rPr>
                <w:rFonts w:hint="eastAsia" w:ascii="宋体" w:hAnsi="宋体" w:cs="宋体"/>
                <w:color w:val="000000"/>
                <w:sz w:val="21"/>
                <w:szCs w:val="21"/>
                <w:highlight w:val="none"/>
              </w:rPr>
            </w:pPr>
            <w:r>
              <w:rPr>
                <w:rFonts w:hint="eastAsia" w:ascii="宋体" w:hAnsi="宋体" w:cs="宋体"/>
                <w:color w:val="000000"/>
                <w:sz w:val="21"/>
                <w:szCs w:val="21"/>
                <w:highlight w:val="none"/>
                <w:lang w:val="en-US" w:eastAsia="zh-CN"/>
              </w:rPr>
              <w:t>7.无需样品提取或标记，实时检测活细胞对底物、抑制剂及其他化合物的反应；</w:t>
            </w:r>
          </w:p>
        </w:tc>
        <w:tc>
          <w:tcPr>
            <w:tcW w:w="642" w:type="pct"/>
            <w:tcBorders>
              <w:top w:val="single" w:color="auto" w:sz="4" w:space="0"/>
              <w:left w:val="single" w:color="auto" w:sz="4" w:space="0"/>
              <w:bottom w:val="single" w:color="auto" w:sz="4" w:space="0"/>
              <w:right w:val="single" w:color="auto" w:sz="4" w:space="0"/>
            </w:tcBorders>
            <w:vAlign w:val="center"/>
          </w:tcPr>
          <w:p w14:paraId="7B9C3013">
            <w:pPr>
              <w:jc w:val="center"/>
              <w:rPr>
                <w:rFonts w:hint="eastAsia" w:asciiTheme="minorEastAsia" w:hAnsiTheme="minorEastAsia" w:eastAsiaTheme="minorEastAsia"/>
                <w:bCs/>
                <w:sz w:val="24"/>
                <w:highlight w:val="none"/>
                <w:lang w:val="en-US" w:eastAsia="zh-CN"/>
              </w:rPr>
            </w:pPr>
            <w:r>
              <w:rPr>
                <w:rFonts w:hint="eastAsia"/>
                <w:bCs/>
                <w:sz w:val="24"/>
                <w:highlight w:val="none"/>
                <w:lang w:val="en-US" w:eastAsia="zh-CN"/>
              </w:rPr>
              <w:t>3.45分</w:t>
            </w:r>
          </w:p>
        </w:tc>
        <w:tc>
          <w:tcPr>
            <w:tcW w:w="673" w:type="pct"/>
            <w:tcBorders>
              <w:top w:val="single" w:color="auto" w:sz="4" w:space="0"/>
              <w:left w:val="single" w:color="auto" w:sz="4" w:space="0"/>
              <w:bottom w:val="single" w:color="auto" w:sz="4" w:space="0"/>
              <w:right w:val="single" w:color="auto" w:sz="4" w:space="0"/>
            </w:tcBorders>
            <w:vAlign w:val="center"/>
          </w:tcPr>
          <w:p w14:paraId="54728081">
            <w:pPr>
              <w:jc w:val="center"/>
              <w:rPr>
                <w:bCs/>
                <w:sz w:val="24"/>
                <w:highlight w:val="none"/>
              </w:rPr>
            </w:pPr>
          </w:p>
        </w:tc>
        <w:tc>
          <w:tcPr>
            <w:tcW w:w="1026" w:type="pct"/>
            <w:tcBorders>
              <w:top w:val="single" w:color="auto" w:sz="4" w:space="0"/>
              <w:left w:val="single" w:color="auto" w:sz="4" w:space="0"/>
              <w:bottom w:val="single" w:color="auto" w:sz="4" w:space="0"/>
              <w:right w:val="single" w:color="auto" w:sz="4" w:space="0"/>
            </w:tcBorders>
            <w:vAlign w:val="center"/>
          </w:tcPr>
          <w:p w14:paraId="300C104F">
            <w:pPr>
              <w:jc w:val="center"/>
              <w:rPr>
                <w:bCs/>
                <w:sz w:val="24"/>
                <w:highlight w:val="none"/>
              </w:rPr>
            </w:pPr>
          </w:p>
        </w:tc>
      </w:tr>
      <w:tr w14:paraId="62010F8B">
        <w:tblPrEx>
          <w:tblCellMar>
            <w:top w:w="0" w:type="dxa"/>
            <w:left w:w="108" w:type="dxa"/>
            <w:bottom w:w="0" w:type="dxa"/>
            <w:right w:w="108" w:type="dxa"/>
          </w:tblCellMar>
        </w:tblPrEx>
        <w:trPr>
          <w:trHeight w:val="680" w:hRule="atLeast"/>
          <w:jc w:val="center"/>
        </w:trPr>
        <w:tc>
          <w:tcPr>
            <w:tcW w:w="418" w:type="pct"/>
            <w:vMerge w:val="continue"/>
            <w:tcBorders>
              <w:left w:val="single" w:color="auto" w:sz="4" w:space="0"/>
              <w:right w:val="single" w:color="auto" w:sz="4" w:space="0"/>
            </w:tcBorders>
            <w:vAlign w:val="center"/>
          </w:tcPr>
          <w:p w14:paraId="7C21C2F1">
            <w:pPr>
              <w:jc w:val="center"/>
              <w:rPr>
                <w:rFonts w:hint="default" w:asciiTheme="minorEastAsia" w:hAnsiTheme="minorEastAsia" w:eastAsiaTheme="minorEastAsia"/>
                <w:bCs/>
                <w:sz w:val="24"/>
                <w:highlight w:val="none"/>
                <w:lang w:val="en-US" w:eastAsia="zh-CN"/>
              </w:rPr>
            </w:pPr>
          </w:p>
        </w:tc>
        <w:tc>
          <w:tcPr>
            <w:tcW w:w="734" w:type="pct"/>
            <w:vMerge w:val="continue"/>
            <w:tcBorders>
              <w:top w:val="single" w:color="auto" w:sz="4" w:space="0"/>
              <w:left w:val="single" w:color="auto" w:sz="4" w:space="0"/>
              <w:bottom w:val="single" w:color="auto" w:sz="4" w:space="0"/>
              <w:right w:val="single" w:color="auto" w:sz="4" w:space="0"/>
            </w:tcBorders>
            <w:vAlign w:val="center"/>
          </w:tcPr>
          <w:p w14:paraId="4A5C9E11">
            <w:pPr>
              <w:jc w:val="center"/>
              <w:rPr>
                <w:rFonts w:hint="eastAsia" w:asciiTheme="minorEastAsia" w:hAnsiTheme="minorEastAsia" w:eastAsiaTheme="minorEastAsia"/>
                <w:bCs/>
                <w:sz w:val="24"/>
                <w:highlight w:val="none"/>
                <w:lang w:eastAsia="zh-CN"/>
              </w:rPr>
            </w:pPr>
          </w:p>
        </w:tc>
        <w:tc>
          <w:tcPr>
            <w:tcW w:w="1505" w:type="pct"/>
            <w:tcBorders>
              <w:top w:val="single" w:color="auto" w:sz="4" w:space="0"/>
              <w:left w:val="single" w:color="auto" w:sz="4" w:space="0"/>
              <w:bottom w:val="single" w:color="auto" w:sz="4" w:space="0"/>
              <w:right w:val="single" w:color="auto" w:sz="4" w:space="0"/>
            </w:tcBorders>
            <w:vAlign w:val="center"/>
          </w:tcPr>
          <w:p w14:paraId="221BABBA">
            <w:pPr>
              <w:spacing w:line="360" w:lineRule="atLeast"/>
              <w:rPr>
                <w:rFonts w:hint="eastAsia" w:ascii="宋体" w:hAnsi="宋体" w:cs="宋体"/>
                <w:color w:val="000000"/>
                <w:sz w:val="21"/>
                <w:szCs w:val="21"/>
                <w:highlight w:val="none"/>
              </w:rPr>
            </w:pPr>
            <w:r>
              <w:rPr>
                <w:rFonts w:hint="eastAsia" w:ascii="宋体" w:hAnsi="宋体" w:cs="宋体"/>
                <w:color w:val="000000"/>
                <w:sz w:val="21"/>
                <w:szCs w:val="21"/>
                <w:highlight w:val="none"/>
                <w:lang w:val="en-US" w:eastAsia="zh-CN"/>
              </w:rPr>
              <w:t>8.有氧与无氧代谢检测分别具备独立反应底物，与样本不接触，对细胞生长状态无影响；</w:t>
            </w:r>
          </w:p>
        </w:tc>
        <w:tc>
          <w:tcPr>
            <w:tcW w:w="642" w:type="pct"/>
            <w:tcBorders>
              <w:top w:val="single" w:color="auto" w:sz="4" w:space="0"/>
              <w:left w:val="single" w:color="auto" w:sz="4" w:space="0"/>
              <w:bottom w:val="single" w:color="auto" w:sz="4" w:space="0"/>
              <w:right w:val="single" w:color="auto" w:sz="4" w:space="0"/>
            </w:tcBorders>
            <w:vAlign w:val="center"/>
          </w:tcPr>
          <w:p w14:paraId="291B134A">
            <w:pPr>
              <w:jc w:val="center"/>
              <w:rPr>
                <w:rFonts w:hint="eastAsia" w:asciiTheme="minorEastAsia" w:hAnsiTheme="minorEastAsia" w:eastAsiaTheme="minorEastAsia"/>
                <w:bCs/>
                <w:sz w:val="24"/>
                <w:highlight w:val="none"/>
                <w:lang w:val="en-US" w:eastAsia="zh-CN"/>
              </w:rPr>
            </w:pPr>
            <w:r>
              <w:rPr>
                <w:rFonts w:hint="eastAsia"/>
                <w:bCs/>
                <w:sz w:val="24"/>
                <w:highlight w:val="none"/>
                <w:lang w:val="en-US" w:eastAsia="zh-CN"/>
              </w:rPr>
              <w:t>3.45分</w:t>
            </w:r>
          </w:p>
        </w:tc>
        <w:tc>
          <w:tcPr>
            <w:tcW w:w="673" w:type="pct"/>
            <w:tcBorders>
              <w:top w:val="single" w:color="auto" w:sz="4" w:space="0"/>
              <w:left w:val="single" w:color="auto" w:sz="4" w:space="0"/>
              <w:bottom w:val="single" w:color="auto" w:sz="4" w:space="0"/>
              <w:right w:val="single" w:color="auto" w:sz="4" w:space="0"/>
            </w:tcBorders>
            <w:vAlign w:val="center"/>
          </w:tcPr>
          <w:p w14:paraId="1365BB3F">
            <w:pPr>
              <w:jc w:val="center"/>
              <w:rPr>
                <w:bCs/>
                <w:sz w:val="24"/>
                <w:highlight w:val="none"/>
              </w:rPr>
            </w:pPr>
          </w:p>
        </w:tc>
        <w:tc>
          <w:tcPr>
            <w:tcW w:w="1026" w:type="pct"/>
            <w:tcBorders>
              <w:top w:val="single" w:color="auto" w:sz="4" w:space="0"/>
              <w:left w:val="single" w:color="auto" w:sz="4" w:space="0"/>
              <w:bottom w:val="single" w:color="auto" w:sz="4" w:space="0"/>
              <w:right w:val="single" w:color="auto" w:sz="4" w:space="0"/>
            </w:tcBorders>
            <w:vAlign w:val="center"/>
          </w:tcPr>
          <w:p w14:paraId="733A0B6C">
            <w:pPr>
              <w:jc w:val="center"/>
              <w:rPr>
                <w:bCs/>
                <w:sz w:val="24"/>
                <w:highlight w:val="none"/>
              </w:rPr>
            </w:pPr>
          </w:p>
        </w:tc>
      </w:tr>
      <w:tr w14:paraId="3842B0AA">
        <w:tblPrEx>
          <w:tblCellMar>
            <w:top w:w="0" w:type="dxa"/>
            <w:left w:w="108" w:type="dxa"/>
            <w:bottom w:w="0" w:type="dxa"/>
            <w:right w:w="108" w:type="dxa"/>
          </w:tblCellMar>
        </w:tblPrEx>
        <w:trPr>
          <w:trHeight w:val="680" w:hRule="atLeast"/>
          <w:jc w:val="center"/>
        </w:trPr>
        <w:tc>
          <w:tcPr>
            <w:tcW w:w="418" w:type="pct"/>
            <w:vMerge w:val="continue"/>
            <w:tcBorders>
              <w:left w:val="single" w:color="auto" w:sz="4" w:space="0"/>
              <w:right w:val="single" w:color="auto" w:sz="4" w:space="0"/>
            </w:tcBorders>
            <w:vAlign w:val="center"/>
          </w:tcPr>
          <w:p w14:paraId="39F09003">
            <w:pPr>
              <w:jc w:val="center"/>
              <w:rPr>
                <w:rFonts w:hint="default" w:asciiTheme="minorEastAsia" w:hAnsiTheme="minorEastAsia" w:eastAsiaTheme="minorEastAsia"/>
                <w:bCs/>
                <w:sz w:val="24"/>
                <w:highlight w:val="none"/>
                <w:lang w:val="en-US" w:eastAsia="zh-CN"/>
              </w:rPr>
            </w:pPr>
          </w:p>
        </w:tc>
        <w:tc>
          <w:tcPr>
            <w:tcW w:w="734" w:type="pct"/>
            <w:vMerge w:val="continue"/>
            <w:tcBorders>
              <w:top w:val="single" w:color="auto" w:sz="4" w:space="0"/>
              <w:left w:val="single" w:color="auto" w:sz="4" w:space="0"/>
              <w:bottom w:val="single" w:color="auto" w:sz="4" w:space="0"/>
              <w:right w:val="single" w:color="auto" w:sz="4" w:space="0"/>
            </w:tcBorders>
            <w:vAlign w:val="center"/>
          </w:tcPr>
          <w:p w14:paraId="14DC6A2E">
            <w:pPr>
              <w:jc w:val="center"/>
              <w:rPr>
                <w:rFonts w:hint="eastAsia" w:asciiTheme="minorEastAsia" w:hAnsiTheme="minorEastAsia" w:eastAsiaTheme="minorEastAsia"/>
                <w:bCs/>
                <w:sz w:val="24"/>
                <w:highlight w:val="none"/>
                <w:lang w:eastAsia="zh-CN"/>
              </w:rPr>
            </w:pPr>
          </w:p>
        </w:tc>
        <w:tc>
          <w:tcPr>
            <w:tcW w:w="1505" w:type="pct"/>
            <w:tcBorders>
              <w:top w:val="single" w:color="auto" w:sz="4" w:space="0"/>
              <w:left w:val="single" w:color="auto" w:sz="4" w:space="0"/>
              <w:bottom w:val="single" w:color="auto" w:sz="4" w:space="0"/>
              <w:right w:val="single" w:color="auto" w:sz="4" w:space="0"/>
            </w:tcBorders>
            <w:vAlign w:val="center"/>
          </w:tcPr>
          <w:p w14:paraId="1324932F">
            <w:pPr>
              <w:spacing w:line="360" w:lineRule="atLeast"/>
              <w:rPr>
                <w:rFonts w:hint="eastAsia" w:ascii="宋体" w:hAnsi="宋体" w:cs="宋体"/>
                <w:color w:val="000000"/>
                <w:sz w:val="21"/>
                <w:szCs w:val="21"/>
                <w:highlight w:val="none"/>
              </w:rPr>
            </w:pPr>
            <w:r>
              <w:rPr>
                <w:rFonts w:hint="eastAsia" w:ascii="宋体" w:hAnsi="宋体" w:cs="宋体"/>
                <w:color w:val="000000"/>
                <w:sz w:val="21"/>
                <w:szCs w:val="21"/>
                <w:highlight w:val="none"/>
                <w:lang w:val="en-US" w:eastAsia="zh-CN"/>
              </w:rPr>
              <w:t>9.传感器:</w:t>
            </w:r>
            <w:r>
              <w:rPr>
                <w:rFonts w:hint="eastAsia" w:ascii="宋体" w:hAnsi="宋体" w:cs="宋体"/>
                <w:color w:val="000000"/>
                <w:sz w:val="21"/>
                <w:szCs w:val="21"/>
                <w:highlight w:val="none"/>
                <w:lang w:eastAsia="zh-CN"/>
              </w:rPr>
              <w:t>≥</w:t>
            </w:r>
            <w:r>
              <w:rPr>
                <w:rFonts w:hint="eastAsia" w:ascii="宋体" w:hAnsi="宋体" w:cs="宋体"/>
                <w:color w:val="000000"/>
                <w:sz w:val="21"/>
                <w:szCs w:val="21"/>
                <w:highlight w:val="none"/>
                <w:lang w:val="en-US" w:eastAsia="zh-CN"/>
              </w:rPr>
              <w:t>6个独立于各样品孔的固态光纤传感器；</w:t>
            </w:r>
          </w:p>
        </w:tc>
        <w:tc>
          <w:tcPr>
            <w:tcW w:w="642" w:type="pct"/>
            <w:tcBorders>
              <w:top w:val="single" w:color="auto" w:sz="4" w:space="0"/>
              <w:left w:val="single" w:color="auto" w:sz="4" w:space="0"/>
              <w:bottom w:val="single" w:color="auto" w:sz="4" w:space="0"/>
              <w:right w:val="single" w:color="auto" w:sz="4" w:space="0"/>
            </w:tcBorders>
            <w:vAlign w:val="center"/>
          </w:tcPr>
          <w:p w14:paraId="039EC34C">
            <w:pPr>
              <w:jc w:val="center"/>
              <w:rPr>
                <w:rFonts w:hint="eastAsia" w:asciiTheme="minorEastAsia" w:hAnsiTheme="minorEastAsia" w:eastAsiaTheme="minorEastAsia"/>
                <w:bCs/>
                <w:sz w:val="24"/>
                <w:highlight w:val="none"/>
                <w:lang w:val="en-US" w:eastAsia="zh-CN"/>
              </w:rPr>
            </w:pPr>
            <w:r>
              <w:rPr>
                <w:rFonts w:hint="eastAsia"/>
                <w:bCs/>
                <w:sz w:val="24"/>
                <w:highlight w:val="none"/>
                <w:lang w:val="en-US" w:eastAsia="zh-CN"/>
              </w:rPr>
              <w:t>3.45分</w:t>
            </w:r>
          </w:p>
        </w:tc>
        <w:tc>
          <w:tcPr>
            <w:tcW w:w="673" w:type="pct"/>
            <w:tcBorders>
              <w:top w:val="single" w:color="auto" w:sz="4" w:space="0"/>
              <w:left w:val="single" w:color="auto" w:sz="4" w:space="0"/>
              <w:bottom w:val="single" w:color="auto" w:sz="4" w:space="0"/>
              <w:right w:val="single" w:color="auto" w:sz="4" w:space="0"/>
            </w:tcBorders>
            <w:vAlign w:val="center"/>
          </w:tcPr>
          <w:p w14:paraId="6DE9FF80">
            <w:pPr>
              <w:jc w:val="center"/>
              <w:rPr>
                <w:bCs/>
                <w:sz w:val="24"/>
                <w:highlight w:val="none"/>
              </w:rPr>
            </w:pPr>
          </w:p>
        </w:tc>
        <w:tc>
          <w:tcPr>
            <w:tcW w:w="1026" w:type="pct"/>
            <w:tcBorders>
              <w:top w:val="single" w:color="auto" w:sz="4" w:space="0"/>
              <w:left w:val="single" w:color="auto" w:sz="4" w:space="0"/>
              <w:bottom w:val="single" w:color="auto" w:sz="4" w:space="0"/>
              <w:right w:val="single" w:color="auto" w:sz="4" w:space="0"/>
            </w:tcBorders>
            <w:vAlign w:val="center"/>
          </w:tcPr>
          <w:p w14:paraId="26D8E803">
            <w:pPr>
              <w:jc w:val="center"/>
              <w:rPr>
                <w:bCs/>
                <w:sz w:val="24"/>
                <w:highlight w:val="none"/>
              </w:rPr>
            </w:pPr>
          </w:p>
        </w:tc>
      </w:tr>
      <w:tr w14:paraId="3C225A29">
        <w:tblPrEx>
          <w:tblCellMar>
            <w:top w:w="0" w:type="dxa"/>
            <w:left w:w="108" w:type="dxa"/>
            <w:bottom w:w="0" w:type="dxa"/>
            <w:right w:w="108" w:type="dxa"/>
          </w:tblCellMar>
        </w:tblPrEx>
        <w:trPr>
          <w:trHeight w:val="680" w:hRule="atLeast"/>
          <w:jc w:val="center"/>
        </w:trPr>
        <w:tc>
          <w:tcPr>
            <w:tcW w:w="418" w:type="pct"/>
            <w:vMerge w:val="continue"/>
            <w:tcBorders>
              <w:left w:val="single" w:color="auto" w:sz="4" w:space="0"/>
              <w:right w:val="single" w:color="auto" w:sz="4" w:space="0"/>
            </w:tcBorders>
            <w:vAlign w:val="center"/>
          </w:tcPr>
          <w:p w14:paraId="6034E891">
            <w:pPr>
              <w:jc w:val="center"/>
              <w:rPr>
                <w:rFonts w:hint="default" w:asciiTheme="minorEastAsia" w:hAnsiTheme="minorEastAsia" w:eastAsiaTheme="minorEastAsia"/>
                <w:bCs/>
                <w:sz w:val="24"/>
                <w:highlight w:val="none"/>
                <w:lang w:val="en-US" w:eastAsia="zh-CN"/>
              </w:rPr>
            </w:pPr>
          </w:p>
        </w:tc>
        <w:tc>
          <w:tcPr>
            <w:tcW w:w="734" w:type="pct"/>
            <w:vMerge w:val="continue"/>
            <w:tcBorders>
              <w:top w:val="single" w:color="auto" w:sz="4" w:space="0"/>
              <w:left w:val="single" w:color="auto" w:sz="4" w:space="0"/>
              <w:bottom w:val="single" w:color="auto" w:sz="4" w:space="0"/>
              <w:right w:val="single" w:color="auto" w:sz="4" w:space="0"/>
            </w:tcBorders>
            <w:vAlign w:val="center"/>
          </w:tcPr>
          <w:p w14:paraId="1BD9F62C">
            <w:pPr>
              <w:jc w:val="center"/>
              <w:rPr>
                <w:rFonts w:hint="eastAsia" w:asciiTheme="minorEastAsia" w:hAnsiTheme="minorEastAsia" w:eastAsiaTheme="minorEastAsia"/>
                <w:bCs/>
                <w:sz w:val="24"/>
                <w:highlight w:val="none"/>
                <w:lang w:eastAsia="zh-CN"/>
              </w:rPr>
            </w:pPr>
          </w:p>
        </w:tc>
        <w:tc>
          <w:tcPr>
            <w:tcW w:w="1505" w:type="pct"/>
            <w:tcBorders>
              <w:top w:val="single" w:color="auto" w:sz="4" w:space="0"/>
              <w:left w:val="single" w:color="auto" w:sz="4" w:space="0"/>
              <w:bottom w:val="single" w:color="auto" w:sz="4" w:space="0"/>
              <w:right w:val="single" w:color="auto" w:sz="4" w:space="0"/>
            </w:tcBorders>
            <w:vAlign w:val="center"/>
          </w:tcPr>
          <w:p w14:paraId="6977E39D">
            <w:pPr>
              <w:spacing w:line="360" w:lineRule="atLeast"/>
              <w:rPr>
                <w:rFonts w:hint="eastAsia" w:ascii="宋体" w:hAnsi="宋体" w:cs="宋体"/>
                <w:color w:val="000000"/>
                <w:sz w:val="21"/>
                <w:szCs w:val="21"/>
                <w:highlight w:val="none"/>
              </w:rPr>
            </w:pPr>
            <w:r>
              <w:rPr>
                <w:rFonts w:hint="eastAsia" w:ascii="宋体" w:hAnsi="宋体" w:cs="宋体"/>
                <w:color w:val="000000"/>
                <w:sz w:val="21"/>
                <w:szCs w:val="21"/>
                <w:highlight w:val="none"/>
                <w:lang w:val="en-US" w:eastAsia="zh-CN"/>
              </w:rPr>
              <w:t>10.微室体积:≤3uL；体积越小培养基中氧和质子浓度变化越快速与明显，可为检测代谢提供更加出色灵敏度。</w:t>
            </w:r>
          </w:p>
        </w:tc>
        <w:tc>
          <w:tcPr>
            <w:tcW w:w="642" w:type="pct"/>
            <w:tcBorders>
              <w:top w:val="single" w:color="auto" w:sz="4" w:space="0"/>
              <w:left w:val="single" w:color="auto" w:sz="4" w:space="0"/>
              <w:bottom w:val="single" w:color="auto" w:sz="4" w:space="0"/>
              <w:right w:val="single" w:color="auto" w:sz="4" w:space="0"/>
            </w:tcBorders>
            <w:vAlign w:val="center"/>
          </w:tcPr>
          <w:p w14:paraId="1C4DA42A">
            <w:pPr>
              <w:jc w:val="center"/>
              <w:rPr>
                <w:rFonts w:hint="default" w:asciiTheme="minorEastAsia" w:hAnsiTheme="minorEastAsia" w:eastAsiaTheme="minorEastAsia"/>
                <w:bCs/>
                <w:sz w:val="24"/>
                <w:highlight w:val="none"/>
                <w:lang w:val="en-US" w:eastAsia="zh-CN"/>
              </w:rPr>
            </w:pPr>
            <w:r>
              <w:rPr>
                <w:rFonts w:hint="eastAsia"/>
                <w:bCs/>
                <w:sz w:val="24"/>
                <w:highlight w:val="none"/>
                <w:lang w:val="en-US" w:eastAsia="zh-CN"/>
              </w:rPr>
              <w:t>3.45分</w:t>
            </w:r>
          </w:p>
        </w:tc>
        <w:tc>
          <w:tcPr>
            <w:tcW w:w="673" w:type="pct"/>
            <w:tcBorders>
              <w:top w:val="single" w:color="auto" w:sz="4" w:space="0"/>
              <w:left w:val="single" w:color="auto" w:sz="4" w:space="0"/>
              <w:bottom w:val="single" w:color="auto" w:sz="4" w:space="0"/>
              <w:right w:val="single" w:color="auto" w:sz="4" w:space="0"/>
            </w:tcBorders>
            <w:vAlign w:val="center"/>
          </w:tcPr>
          <w:p w14:paraId="2EF01FB6">
            <w:pPr>
              <w:jc w:val="center"/>
              <w:rPr>
                <w:bCs/>
                <w:sz w:val="24"/>
                <w:highlight w:val="none"/>
              </w:rPr>
            </w:pPr>
          </w:p>
        </w:tc>
        <w:tc>
          <w:tcPr>
            <w:tcW w:w="1026" w:type="pct"/>
            <w:tcBorders>
              <w:top w:val="single" w:color="auto" w:sz="4" w:space="0"/>
              <w:left w:val="single" w:color="auto" w:sz="4" w:space="0"/>
              <w:bottom w:val="single" w:color="auto" w:sz="4" w:space="0"/>
              <w:right w:val="single" w:color="auto" w:sz="4" w:space="0"/>
            </w:tcBorders>
            <w:vAlign w:val="center"/>
          </w:tcPr>
          <w:p w14:paraId="5B8C47FD">
            <w:pPr>
              <w:jc w:val="center"/>
              <w:rPr>
                <w:bCs/>
                <w:sz w:val="24"/>
                <w:highlight w:val="none"/>
              </w:rPr>
            </w:pPr>
          </w:p>
        </w:tc>
      </w:tr>
      <w:tr w14:paraId="412FF7AA">
        <w:tblPrEx>
          <w:tblCellMar>
            <w:top w:w="0" w:type="dxa"/>
            <w:left w:w="108" w:type="dxa"/>
            <w:bottom w:w="0" w:type="dxa"/>
            <w:right w:w="108" w:type="dxa"/>
          </w:tblCellMar>
        </w:tblPrEx>
        <w:trPr>
          <w:trHeight w:val="680" w:hRule="atLeast"/>
          <w:jc w:val="center"/>
        </w:trPr>
        <w:tc>
          <w:tcPr>
            <w:tcW w:w="418" w:type="pct"/>
            <w:vMerge w:val="continue"/>
            <w:tcBorders>
              <w:left w:val="single" w:color="auto" w:sz="4" w:space="0"/>
              <w:bottom w:val="single" w:color="auto" w:sz="4" w:space="0"/>
              <w:right w:val="single" w:color="auto" w:sz="4" w:space="0"/>
            </w:tcBorders>
            <w:vAlign w:val="center"/>
          </w:tcPr>
          <w:p w14:paraId="18761843">
            <w:pPr>
              <w:jc w:val="center"/>
              <w:rPr>
                <w:rFonts w:hint="default" w:asciiTheme="minorEastAsia" w:hAnsiTheme="minorEastAsia" w:eastAsiaTheme="minorEastAsia"/>
                <w:bCs/>
                <w:sz w:val="24"/>
                <w:highlight w:val="none"/>
                <w:lang w:val="en-US" w:eastAsia="zh-CN"/>
              </w:rPr>
            </w:pPr>
          </w:p>
        </w:tc>
        <w:tc>
          <w:tcPr>
            <w:tcW w:w="734" w:type="pct"/>
            <w:vMerge w:val="continue"/>
            <w:tcBorders>
              <w:top w:val="single" w:color="auto" w:sz="4" w:space="0"/>
              <w:left w:val="single" w:color="auto" w:sz="4" w:space="0"/>
              <w:bottom w:val="single" w:color="auto" w:sz="4" w:space="0"/>
              <w:right w:val="single" w:color="auto" w:sz="4" w:space="0"/>
            </w:tcBorders>
            <w:vAlign w:val="center"/>
          </w:tcPr>
          <w:p w14:paraId="6A277A0D">
            <w:pPr>
              <w:jc w:val="center"/>
              <w:rPr>
                <w:rFonts w:hint="eastAsia" w:asciiTheme="minorEastAsia" w:hAnsiTheme="minorEastAsia" w:eastAsiaTheme="minorEastAsia"/>
                <w:bCs/>
                <w:sz w:val="24"/>
                <w:highlight w:val="none"/>
                <w:lang w:eastAsia="zh-CN"/>
              </w:rPr>
            </w:pPr>
          </w:p>
        </w:tc>
        <w:tc>
          <w:tcPr>
            <w:tcW w:w="1505" w:type="pct"/>
            <w:tcBorders>
              <w:top w:val="single" w:color="auto" w:sz="4" w:space="0"/>
              <w:left w:val="single" w:color="auto" w:sz="4" w:space="0"/>
              <w:bottom w:val="single" w:color="auto" w:sz="4" w:space="0"/>
              <w:right w:val="single" w:color="auto" w:sz="4" w:space="0"/>
            </w:tcBorders>
            <w:vAlign w:val="center"/>
          </w:tcPr>
          <w:p w14:paraId="6B29B7AD">
            <w:pPr>
              <w:spacing w:line="360" w:lineRule="atLeast"/>
              <w:rPr>
                <w:rFonts w:hint="eastAsia" w:ascii="宋体" w:hAnsi="宋体" w:cs="宋体"/>
                <w:color w:val="000000"/>
                <w:sz w:val="21"/>
                <w:szCs w:val="21"/>
                <w:highlight w:val="none"/>
              </w:rPr>
            </w:pPr>
            <w:r>
              <w:rPr>
                <w:rFonts w:hint="eastAsia" w:ascii="宋体" w:hAnsi="宋体" w:cs="宋体"/>
                <w:color w:val="000000"/>
                <w:sz w:val="21"/>
                <w:szCs w:val="21"/>
                <w:highlight w:val="none"/>
                <w:lang w:val="en-US" w:eastAsia="zh-CN"/>
              </w:rPr>
              <w:t>11.样品类型:各类悬浮细胞、贴壁细胞、分离线粒体样品等；</w:t>
            </w:r>
          </w:p>
        </w:tc>
        <w:tc>
          <w:tcPr>
            <w:tcW w:w="642" w:type="pct"/>
            <w:tcBorders>
              <w:top w:val="single" w:color="auto" w:sz="4" w:space="0"/>
              <w:left w:val="single" w:color="auto" w:sz="4" w:space="0"/>
              <w:bottom w:val="single" w:color="auto" w:sz="4" w:space="0"/>
              <w:right w:val="single" w:color="auto" w:sz="4" w:space="0"/>
            </w:tcBorders>
            <w:vAlign w:val="center"/>
          </w:tcPr>
          <w:p w14:paraId="4B588E5C">
            <w:pPr>
              <w:jc w:val="center"/>
              <w:rPr>
                <w:rFonts w:hint="eastAsia" w:asciiTheme="minorEastAsia" w:hAnsiTheme="minorEastAsia" w:eastAsiaTheme="minorEastAsia"/>
                <w:bCs/>
                <w:sz w:val="24"/>
                <w:highlight w:val="none"/>
                <w:lang w:val="en-US" w:eastAsia="zh-CN"/>
              </w:rPr>
            </w:pPr>
            <w:r>
              <w:rPr>
                <w:rFonts w:hint="eastAsia"/>
                <w:bCs/>
                <w:sz w:val="24"/>
                <w:highlight w:val="none"/>
                <w:lang w:val="en-US" w:eastAsia="zh-CN"/>
              </w:rPr>
              <w:t>3.45分</w:t>
            </w:r>
          </w:p>
        </w:tc>
        <w:tc>
          <w:tcPr>
            <w:tcW w:w="673" w:type="pct"/>
            <w:tcBorders>
              <w:top w:val="single" w:color="auto" w:sz="4" w:space="0"/>
              <w:left w:val="single" w:color="auto" w:sz="4" w:space="0"/>
              <w:bottom w:val="single" w:color="auto" w:sz="4" w:space="0"/>
              <w:right w:val="single" w:color="auto" w:sz="4" w:space="0"/>
            </w:tcBorders>
            <w:vAlign w:val="center"/>
          </w:tcPr>
          <w:p w14:paraId="66621CFD">
            <w:pPr>
              <w:jc w:val="center"/>
              <w:rPr>
                <w:bCs/>
                <w:sz w:val="24"/>
                <w:highlight w:val="none"/>
              </w:rPr>
            </w:pPr>
          </w:p>
        </w:tc>
        <w:tc>
          <w:tcPr>
            <w:tcW w:w="1026" w:type="pct"/>
            <w:tcBorders>
              <w:top w:val="single" w:color="auto" w:sz="4" w:space="0"/>
              <w:left w:val="single" w:color="auto" w:sz="4" w:space="0"/>
              <w:bottom w:val="single" w:color="auto" w:sz="4" w:space="0"/>
              <w:right w:val="single" w:color="auto" w:sz="4" w:space="0"/>
            </w:tcBorders>
            <w:vAlign w:val="center"/>
          </w:tcPr>
          <w:p w14:paraId="3E213401">
            <w:pPr>
              <w:jc w:val="center"/>
              <w:rPr>
                <w:bCs/>
                <w:sz w:val="24"/>
                <w:highlight w:val="none"/>
              </w:rPr>
            </w:pPr>
          </w:p>
        </w:tc>
      </w:tr>
      <w:tr w14:paraId="1A56447D">
        <w:tblPrEx>
          <w:tblCellMar>
            <w:top w:w="0" w:type="dxa"/>
            <w:left w:w="108" w:type="dxa"/>
            <w:bottom w:w="0" w:type="dxa"/>
            <w:right w:w="108" w:type="dxa"/>
          </w:tblCellMar>
        </w:tblPrEx>
        <w:trPr>
          <w:trHeight w:val="680" w:hRule="atLeast"/>
          <w:jc w:val="center"/>
        </w:trPr>
        <w:tc>
          <w:tcPr>
            <w:tcW w:w="418" w:type="pct"/>
            <w:vMerge w:val="restart"/>
            <w:tcBorders>
              <w:top w:val="single" w:color="auto" w:sz="4" w:space="0"/>
              <w:left w:val="single" w:color="auto" w:sz="4" w:space="0"/>
              <w:right w:val="single" w:color="auto" w:sz="4" w:space="0"/>
            </w:tcBorders>
            <w:vAlign w:val="center"/>
          </w:tcPr>
          <w:p w14:paraId="2D80CEAE">
            <w:pPr>
              <w:jc w:val="center"/>
              <w:rPr>
                <w:rFonts w:hint="default" w:asciiTheme="minorEastAsia" w:hAnsiTheme="minorEastAsia" w:eastAsiaTheme="minorEastAsia"/>
                <w:bCs/>
                <w:sz w:val="24"/>
                <w:highlight w:val="none"/>
                <w:lang w:val="en-US" w:eastAsia="zh-CN"/>
              </w:rPr>
            </w:pPr>
            <w:r>
              <w:rPr>
                <w:rFonts w:hint="eastAsia" w:asciiTheme="minorEastAsia" w:hAnsiTheme="minorEastAsia" w:eastAsiaTheme="minorEastAsia"/>
                <w:bCs/>
                <w:sz w:val="24"/>
                <w:highlight w:val="none"/>
                <w:lang w:val="en-US" w:eastAsia="zh-CN"/>
              </w:rPr>
              <w:t>2</w:t>
            </w:r>
          </w:p>
        </w:tc>
        <w:tc>
          <w:tcPr>
            <w:tcW w:w="734" w:type="pct"/>
            <w:vMerge w:val="restart"/>
            <w:tcBorders>
              <w:top w:val="single" w:color="auto" w:sz="4" w:space="0"/>
              <w:left w:val="nil"/>
              <w:right w:val="single" w:color="auto" w:sz="4" w:space="0"/>
            </w:tcBorders>
            <w:vAlign w:val="center"/>
          </w:tcPr>
          <w:p w14:paraId="017BDCB7">
            <w:pPr>
              <w:jc w:val="center"/>
              <w:rPr>
                <w:rFonts w:hint="eastAsia" w:asciiTheme="minorEastAsia" w:hAnsiTheme="minorEastAsia" w:eastAsiaTheme="minorEastAsia"/>
                <w:bCs/>
                <w:sz w:val="24"/>
                <w:highlight w:val="none"/>
              </w:rPr>
            </w:pPr>
            <w:r>
              <w:rPr>
                <w:rFonts w:hint="eastAsia" w:asciiTheme="minorEastAsia" w:hAnsiTheme="minorEastAsia" w:eastAsiaTheme="minorEastAsia"/>
                <w:bCs/>
                <w:sz w:val="24"/>
                <w:highlight w:val="none"/>
              </w:rPr>
              <w:t xml:space="preserve"> </w:t>
            </w:r>
            <w:r>
              <w:rPr>
                <w:rFonts w:hint="eastAsia" w:asciiTheme="minorEastAsia" w:hAnsiTheme="minorEastAsia" w:eastAsiaTheme="minorEastAsia"/>
                <w:bCs/>
                <w:sz w:val="24"/>
                <w:highlight w:val="none"/>
                <w:lang w:eastAsia="zh-CN"/>
              </w:rPr>
              <w:t>售后服务</w:t>
            </w:r>
          </w:p>
          <w:p w14:paraId="6ED02C29">
            <w:pPr>
              <w:jc w:val="center"/>
              <w:rPr>
                <w:bCs/>
                <w:sz w:val="24"/>
                <w:highlight w:val="none"/>
              </w:rPr>
            </w:pPr>
          </w:p>
        </w:tc>
        <w:tc>
          <w:tcPr>
            <w:tcW w:w="1505" w:type="pct"/>
            <w:tcBorders>
              <w:top w:val="single" w:color="auto" w:sz="4" w:space="0"/>
              <w:left w:val="nil"/>
              <w:bottom w:val="single" w:color="auto" w:sz="4" w:space="0"/>
              <w:right w:val="single" w:color="auto" w:sz="4" w:space="0"/>
            </w:tcBorders>
            <w:vAlign w:val="center"/>
          </w:tcPr>
          <w:p w14:paraId="176CD5A1">
            <w:pPr>
              <w:spacing w:line="360" w:lineRule="atLeast"/>
              <w:rPr>
                <w:rFonts w:asciiTheme="minorEastAsia" w:hAnsiTheme="minorEastAsia" w:eastAsiaTheme="minorEastAsia"/>
                <w:bCs/>
                <w:sz w:val="24"/>
                <w:highlight w:val="none"/>
              </w:rPr>
            </w:pPr>
            <w:r>
              <w:rPr>
                <w:rFonts w:hint="eastAsia" w:ascii="宋体" w:hAnsi="宋体" w:cs="宋体"/>
                <w:color w:val="000000"/>
                <w:sz w:val="21"/>
                <w:szCs w:val="21"/>
                <w:highlight w:val="none"/>
              </w:rPr>
              <w:t>1.免费保修期：在满足</w:t>
            </w:r>
            <w:r>
              <w:rPr>
                <w:rFonts w:hint="eastAsia" w:ascii="宋体" w:hAnsi="宋体" w:cs="宋体"/>
                <w:color w:val="000000"/>
                <w:sz w:val="21"/>
                <w:szCs w:val="21"/>
                <w:highlight w:val="none"/>
                <w:lang w:eastAsia="zh-CN"/>
              </w:rPr>
              <w:t>竞争性谈判文件</w:t>
            </w:r>
            <w:r>
              <w:rPr>
                <w:rFonts w:hint="eastAsia" w:ascii="宋体" w:hAnsi="宋体" w:cs="宋体"/>
                <w:color w:val="000000"/>
                <w:sz w:val="21"/>
                <w:szCs w:val="21"/>
                <w:highlight w:val="none"/>
              </w:rPr>
              <w:t>要求的基础上，每增加6个月得0.5分，最多得3分，不符合</w:t>
            </w:r>
            <w:r>
              <w:rPr>
                <w:rFonts w:hint="eastAsia" w:ascii="宋体" w:hAnsi="宋体" w:cs="宋体"/>
                <w:color w:val="000000"/>
                <w:sz w:val="21"/>
                <w:szCs w:val="21"/>
                <w:highlight w:val="none"/>
                <w:lang w:eastAsia="zh-CN"/>
              </w:rPr>
              <w:t>竞争性谈判文件</w:t>
            </w:r>
            <w:r>
              <w:rPr>
                <w:rFonts w:hint="eastAsia" w:ascii="宋体" w:hAnsi="宋体" w:cs="宋体"/>
                <w:color w:val="000000"/>
                <w:sz w:val="21"/>
                <w:szCs w:val="21"/>
                <w:highlight w:val="none"/>
              </w:rPr>
              <w:t>要求按无效投标处理。（未履行保修承诺的，相关企业将列入黑名单。）</w:t>
            </w:r>
          </w:p>
        </w:tc>
        <w:tc>
          <w:tcPr>
            <w:tcW w:w="642" w:type="pct"/>
            <w:tcBorders>
              <w:top w:val="single" w:color="auto" w:sz="4" w:space="0"/>
              <w:left w:val="nil"/>
              <w:bottom w:val="single" w:color="auto" w:sz="4" w:space="0"/>
              <w:right w:val="single" w:color="auto" w:sz="4" w:space="0"/>
            </w:tcBorders>
            <w:vAlign w:val="center"/>
          </w:tcPr>
          <w:p w14:paraId="471AC01F">
            <w:pPr>
              <w:spacing w:line="360" w:lineRule="atLeast"/>
              <w:jc w:val="center"/>
              <w:rPr>
                <w:rFonts w:hint="eastAsia" w:asciiTheme="minorEastAsia" w:hAnsiTheme="minorEastAsia" w:eastAsiaTheme="minorEastAsia"/>
                <w:bCs/>
                <w:sz w:val="24"/>
                <w:highlight w:val="none"/>
                <w:lang w:val="en-US" w:eastAsia="zh-CN"/>
              </w:rPr>
            </w:pPr>
            <w:r>
              <w:rPr>
                <w:rFonts w:hint="eastAsia" w:ascii="宋体" w:hAnsi="宋体" w:cs="宋体"/>
                <w:color w:val="000000"/>
                <w:sz w:val="21"/>
                <w:szCs w:val="21"/>
                <w:highlight w:val="none"/>
              </w:rPr>
              <w:t>3分</w:t>
            </w:r>
          </w:p>
        </w:tc>
        <w:tc>
          <w:tcPr>
            <w:tcW w:w="673" w:type="pct"/>
            <w:tcBorders>
              <w:top w:val="single" w:color="auto" w:sz="4" w:space="0"/>
              <w:left w:val="nil"/>
              <w:bottom w:val="single" w:color="auto" w:sz="4" w:space="0"/>
              <w:right w:val="single" w:color="auto" w:sz="4" w:space="0"/>
            </w:tcBorders>
            <w:vAlign w:val="center"/>
          </w:tcPr>
          <w:p w14:paraId="3C7498C1">
            <w:pPr>
              <w:jc w:val="center"/>
              <w:rPr>
                <w:bCs/>
                <w:sz w:val="24"/>
                <w:highlight w:val="none"/>
              </w:rPr>
            </w:pPr>
          </w:p>
        </w:tc>
        <w:tc>
          <w:tcPr>
            <w:tcW w:w="1026" w:type="pct"/>
            <w:tcBorders>
              <w:top w:val="single" w:color="auto" w:sz="4" w:space="0"/>
              <w:left w:val="nil"/>
              <w:bottom w:val="single" w:color="auto" w:sz="4" w:space="0"/>
              <w:right w:val="single" w:color="auto" w:sz="4" w:space="0"/>
            </w:tcBorders>
            <w:vAlign w:val="center"/>
          </w:tcPr>
          <w:p w14:paraId="586CA1CB">
            <w:pPr>
              <w:jc w:val="center"/>
              <w:rPr>
                <w:bCs/>
                <w:sz w:val="24"/>
                <w:highlight w:val="none"/>
              </w:rPr>
            </w:pPr>
          </w:p>
        </w:tc>
      </w:tr>
      <w:tr w14:paraId="5C6263FD">
        <w:tblPrEx>
          <w:tblCellMar>
            <w:top w:w="0" w:type="dxa"/>
            <w:left w:w="108" w:type="dxa"/>
            <w:bottom w:w="0" w:type="dxa"/>
            <w:right w:w="108" w:type="dxa"/>
          </w:tblCellMar>
        </w:tblPrEx>
        <w:trPr>
          <w:trHeight w:val="680" w:hRule="atLeast"/>
          <w:jc w:val="center"/>
        </w:trPr>
        <w:tc>
          <w:tcPr>
            <w:tcW w:w="418" w:type="pct"/>
            <w:vMerge w:val="continue"/>
            <w:tcBorders>
              <w:left w:val="single" w:color="auto" w:sz="4" w:space="0"/>
              <w:right w:val="single" w:color="auto" w:sz="4" w:space="0"/>
            </w:tcBorders>
            <w:vAlign w:val="center"/>
          </w:tcPr>
          <w:p w14:paraId="65F5DE0F">
            <w:pPr>
              <w:jc w:val="center"/>
              <w:rPr>
                <w:rFonts w:hint="default" w:asciiTheme="minorEastAsia" w:hAnsiTheme="minorEastAsia" w:eastAsiaTheme="minorEastAsia"/>
                <w:bCs/>
                <w:sz w:val="24"/>
                <w:highlight w:val="none"/>
                <w:lang w:val="en-US" w:eastAsia="zh-CN"/>
              </w:rPr>
            </w:pPr>
          </w:p>
        </w:tc>
        <w:tc>
          <w:tcPr>
            <w:tcW w:w="734" w:type="pct"/>
            <w:vMerge w:val="continue"/>
            <w:tcBorders>
              <w:left w:val="nil"/>
              <w:bottom w:val="single" w:color="auto" w:sz="4" w:space="0"/>
              <w:right w:val="single" w:color="auto" w:sz="4" w:space="0"/>
            </w:tcBorders>
            <w:vAlign w:val="center"/>
          </w:tcPr>
          <w:p w14:paraId="3D7E4FEE">
            <w:pPr>
              <w:jc w:val="center"/>
              <w:rPr>
                <w:rFonts w:asciiTheme="minorEastAsia" w:hAnsiTheme="minorEastAsia" w:eastAsiaTheme="minorEastAsia"/>
                <w:bCs/>
                <w:sz w:val="24"/>
                <w:highlight w:val="none"/>
              </w:rPr>
            </w:pPr>
          </w:p>
        </w:tc>
        <w:tc>
          <w:tcPr>
            <w:tcW w:w="1505" w:type="pct"/>
            <w:tcBorders>
              <w:top w:val="single" w:color="auto" w:sz="4" w:space="0"/>
              <w:left w:val="single" w:color="auto" w:sz="4" w:space="0"/>
              <w:bottom w:val="single" w:color="auto" w:sz="4" w:space="0"/>
              <w:right w:val="single" w:color="auto" w:sz="4" w:space="0"/>
            </w:tcBorders>
            <w:vAlign w:val="center"/>
          </w:tcPr>
          <w:p w14:paraId="2E8B5B21">
            <w:pPr>
              <w:spacing w:line="360" w:lineRule="atLeast"/>
              <w:rPr>
                <w:rFonts w:asciiTheme="minorEastAsia" w:hAnsiTheme="minorEastAsia" w:eastAsiaTheme="minorEastAsia"/>
                <w:bCs/>
                <w:sz w:val="24"/>
                <w:highlight w:val="none"/>
              </w:rPr>
            </w:pPr>
            <w:r>
              <w:rPr>
                <w:rFonts w:hint="eastAsia" w:ascii="宋体" w:hAnsi="宋体" w:cs="宋体"/>
                <w:color w:val="000000"/>
                <w:sz w:val="21"/>
                <w:szCs w:val="21"/>
                <w:highlight w:val="none"/>
              </w:rPr>
              <w:t>2.零配件支持：提供零配件全国统一报价，采购单位更换配件价格不超过统一报价的70%。在满足此要求的基础上，根据主要零配件价格排名，报价最低的得2分，其余排名依次按25%递减，最低得0分。三分之二及以上技术专家认为报价不合理的得0分。</w:t>
            </w:r>
          </w:p>
        </w:tc>
        <w:tc>
          <w:tcPr>
            <w:tcW w:w="642" w:type="pct"/>
            <w:tcBorders>
              <w:top w:val="single" w:color="auto" w:sz="4" w:space="0"/>
              <w:left w:val="single" w:color="auto" w:sz="4" w:space="0"/>
              <w:bottom w:val="single" w:color="auto" w:sz="4" w:space="0"/>
              <w:right w:val="single" w:color="auto" w:sz="4" w:space="0"/>
            </w:tcBorders>
            <w:vAlign w:val="center"/>
          </w:tcPr>
          <w:p w14:paraId="01B8083C">
            <w:pPr>
              <w:spacing w:line="360" w:lineRule="atLeast"/>
              <w:jc w:val="center"/>
              <w:rPr>
                <w:rFonts w:hint="eastAsia" w:asciiTheme="minorEastAsia" w:hAnsiTheme="minorEastAsia" w:eastAsiaTheme="minorEastAsia"/>
                <w:bCs/>
                <w:sz w:val="24"/>
                <w:highlight w:val="none"/>
                <w:lang w:val="en-US" w:eastAsia="zh-CN"/>
              </w:rPr>
            </w:pPr>
            <w:r>
              <w:rPr>
                <w:rFonts w:hint="eastAsia" w:ascii="宋体" w:hAnsi="宋体" w:cs="宋体"/>
                <w:color w:val="000000"/>
                <w:sz w:val="21"/>
                <w:szCs w:val="21"/>
                <w:highlight w:val="none"/>
              </w:rPr>
              <w:t>2分</w:t>
            </w:r>
          </w:p>
        </w:tc>
        <w:tc>
          <w:tcPr>
            <w:tcW w:w="673" w:type="pct"/>
            <w:tcBorders>
              <w:top w:val="single" w:color="auto" w:sz="4" w:space="0"/>
              <w:left w:val="single" w:color="auto" w:sz="4" w:space="0"/>
              <w:bottom w:val="single" w:color="auto" w:sz="4" w:space="0"/>
              <w:right w:val="single" w:color="auto" w:sz="4" w:space="0"/>
            </w:tcBorders>
            <w:vAlign w:val="center"/>
          </w:tcPr>
          <w:p w14:paraId="198FCEFD">
            <w:pPr>
              <w:jc w:val="center"/>
              <w:rPr>
                <w:bCs/>
                <w:sz w:val="24"/>
                <w:highlight w:val="none"/>
              </w:rPr>
            </w:pPr>
          </w:p>
        </w:tc>
        <w:tc>
          <w:tcPr>
            <w:tcW w:w="1026" w:type="pct"/>
            <w:tcBorders>
              <w:top w:val="single" w:color="auto" w:sz="4" w:space="0"/>
              <w:left w:val="single" w:color="auto" w:sz="4" w:space="0"/>
              <w:bottom w:val="single" w:color="auto" w:sz="4" w:space="0"/>
              <w:right w:val="single" w:color="auto" w:sz="4" w:space="0"/>
            </w:tcBorders>
            <w:vAlign w:val="center"/>
          </w:tcPr>
          <w:p w14:paraId="75101921">
            <w:pPr>
              <w:jc w:val="center"/>
              <w:rPr>
                <w:bCs/>
                <w:sz w:val="24"/>
                <w:highlight w:val="none"/>
              </w:rPr>
            </w:pPr>
          </w:p>
        </w:tc>
      </w:tr>
      <w:tr w14:paraId="7845626E">
        <w:tblPrEx>
          <w:tblCellMar>
            <w:top w:w="0" w:type="dxa"/>
            <w:left w:w="108" w:type="dxa"/>
            <w:bottom w:w="0" w:type="dxa"/>
            <w:right w:w="108" w:type="dxa"/>
          </w:tblCellMar>
        </w:tblPrEx>
        <w:trPr>
          <w:trHeight w:val="680" w:hRule="atLeast"/>
          <w:jc w:val="center"/>
        </w:trPr>
        <w:tc>
          <w:tcPr>
            <w:tcW w:w="418" w:type="pct"/>
            <w:vMerge w:val="continue"/>
            <w:tcBorders>
              <w:left w:val="single" w:color="auto" w:sz="4" w:space="0"/>
              <w:right w:val="single" w:color="auto" w:sz="4" w:space="0"/>
            </w:tcBorders>
            <w:vAlign w:val="center"/>
          </w:tcPr>
          <w:p w14:paraId="226CE9F3">
            <w:pPr>
              <w:jc w:val="center"/>
              <w:rPr>
                <w:rFonts w:hint="default" w:asciiTheme="minorEastAsia" w:hAnsiTheme="minorEastAsia" w:eastAsiaTheme="minorEastAsia"/>
                <w:bCs/>
                <w:sz w:val="24"/>
                <w:highlight w:val="none"/>
                <w:lang w:val="en-US" w:eastAsia="zh-CN"/>
              </w:rPr>
            </w:pPr>
          </w:p>
        </w:tc>
        <w:tc>
          <w:tcPr>
            <w:tcW w:w="734" w:type="pct"/>
            <w:vMerge w:val="continue"/>
            <w:tcBorders>
              <w:top w:val="single" w:color="auto" w:sz="4" w:space="0"/>
              <w:left w:val="single" w:color="auto" w:sz="4" w:space="0"/>
              <w:bottom w:val="single" w:color="auto" w:sz="4" w:space="0"/>
              <w:right w:val="single" w:color="auto" w:sz="4" w:space="0"/>
            </w:tcBorders>
            <w:vAlign w:val="center"/>
          </w:tcPr>
          <w:p w14:paraId="21B5D23A">
            <w:pPr>
              <w:jc w:val="center"/>
              <w:rPr>
                <w:rFonts w:asciiTheme="minorEastAsia" w:hAnsiTheme="minorEastAsia" w:eastAsiaTheme="minorEastAsia"/>
                <w:bCs/>
                <w:sz w:val="24"/>
                <w:highlight w:val="none"/>
              </w:rPr>
            </w:pPr>
          </w:p>
        </w:tc>
        <w:tc>
          <w:tcPr>
            <w:tcW w:w="1505" w:type="pct"/>
            <w:tcBorders>
              <w:top w:val="single" w:color="auto" w:sz="4" w:space="0"/>
              <w:left w:val="single" w:color="auto" w:sz="4" w:space="0"/>
              <w:bottom w:val="single" w:color="auto" w:sz="4" w:space="0"/>
              <w:right w:val="single" w:color="auto" w:sz="4" w:space="0"/>
            </w:tcBorders>
            <w:vAlign w:val="center"/>
          </w:tcPr>
          <w:p w14:paraId="6861AACA">
            <w:pPr>
              <w:spacing w:line="360" w:lineRule="atLeast"/>
              <w:rPr>
                <w:rFonts w:asciiTheme="minorEastAsia" w:hAnsiTheme="minorEastAsia" w:eastAsiaTheme="minorEastAsia"/>
                <w:bCs/>
                <w:sz w:val="24"/>
                <w:highlight w:val="none"/>
              </w:rPr>
            </w:pPr>
            <w:r>
              <w:rPr>
                <w:rFonts w:hint="eastAsia" w:ascii="宋体" w:hAnsi="宋体" w:cs="宋体"/>
                <w:color w:val="000000"/>
                <w:sz w:val="21"/>
                <w:szCs w:val="21"/>
                <w:highlight w:val="none"/>
              </w:rPr>
              <w:t>3.零配件保证供应时间：按照投标产品制造商承诺的零配件保证供应时间长短排名，时间最长的得1分，依次递减0.2分，最低得0分。</w:t>
            </w:r>
          </w:p>
        </w:tc>
        <w:tc>
          <w:tcPr>
            <w:tcW w:w="642" w:type="pct"/>
            <w:tcBorders>
              <w:top w:val="single" w:color="auto" w:sz="4" w:space="0"/>
              <w:left w:val="single" w:color="auto" w:sz="4" w:space="0"/>
              <w:bottom w:val="single" w:color="auto" w:sz="4" w:space="0"/>
              <w:right w:val="single" w:color="auto" w:sz="4" w:space="0"/>
            </w:tcBorders>
            <w:vAlign w:val="center"/>
          </w:tcPr>
          <w:p w14:paraId="5D2DDF8D">
            <w:pPr>
              <w:spacing w:line="360" w:lineRule="atLeast"/>
              <w:jc w:val="center"/>
              <w:rPr>
                <w:rFonts w:hint="eastAsia" w:asciiTheme="minorEastAsia" w:hAnsiTheme="minorEastAsia" w:eastAsiaTheme="minorEastAsia"/>
                <w:bCs/>
                <w:sz w:val="24"/>
                <w:highlight w:val="none"/>
                <w:lang w:val="en-US" w:eastAsia="zh-CN"/>
              </w:rPr>
            </w:pPr>
            <w:r>
              <w:rPr>
                <w:rFonts w:hint="eastAsia" w:ascii="宋体" w:hAnsi="宋体" w:cs="宋体"/>
                <w:color w:val="000000"/>
                <w:sz w:val="21"/>
                <w:szCs w:val="21"/>
                <w:highlight w:val="none"/>
              </w:rPr>
              <w:t>1分</w:t>
            </w:r>
          </w:p>
        </w:tc>
        <w:tc>
          <w:tcPr>
            <w:tcW w:w="673" w:type="pct"/>
            <w:tcBorders>
              <w:top w:val="single" w:color="auto" w:sz="4" w:space="0"/>
              <w:left w:val="single" w:color="auto" w:sz="4" w:space="0"/>
              <w:bottom w:val="single" w:color="auto" w:sz="4" w:space="0"/>
              <w:right w:val="single" w:color="auto" w:sz="4" w:space="0"/>
            </w:tcBorders>
            <w:vAlign w:val="center"/>
          </w:tcPr>
          <w:p w14:paraId="6FE0FA82">
            <w:pPr>
              <w:jc w:val="center"/>
              <w:rPr>
                <w:bCs/>
                <w:sz w:val="24"/>
                <w:highlight w:val="none"/>
              </w:rPr>
            </w:pPr>
          </w:p>
        </w:tc>
        <w:tc>
          <w:tcPr>
            <w:tcW w:w="1026" w:type="pct"/>
            <w:tcBorders>
              <w:top w:val="single" w:color="auto" w:sz="4" w:space="0"/>
              <w:left w:val="single" w:color="auto" w:sz="4" w:space="0"/>
              <w:bottom w:val="single" w:color="auto" w:sz="4" w:space="0"/>
              <w:right w:val="single" w:color="auto" w:sz="4" w:space="0"/>
            </w:tcBorders>
            <w:vAlign w:val="center"/>
          </w:tcPr>
          <w:p w14:paraId="0BAB7FF1">
            <w:pPr>
              <w:jc w:val="center"/>
              <w:rPr>
                <w:bCs/>
                <w:sz w:val="24"/>
                <w:highlight w:val="none"/>
              </w:rPr>
            </w:pPr>
          </w:p>
        </w:tc>
      </w:tr>
      <w:tr w14:paraId="6117BF6A">
        <w:tblPrEx>
          <w:tblCellMar>
            <w:top w:w="0" w:type="dxa"/>
            <w:left w:w="108" w:type="dxa"/>
            <w:bottom w:w="0" w:type="dxa"/>
            <w:right w:w="108" w:type="dxa"/>
          </w:tblCellMar>
        </w:tblPrEx>
        <w:trPr>
          <w:trHeight w:val="680" w:hRule="atLeast"/>
          <w:jc w:val="center"/>
        </w:trPr>
        <w:tc>
          <w:tcPr>
            <w:tcW w:w="418" w:type="pct"/>
            <w:vMerge w:val="continue"/>
            <w:tcBorders>
              <w:left w:val="single" w:color="auto" w:sz="4" w:space="0"/>
              <w:right w:val="single" w:color="auto" w:sz="4" w:space="0"/>
            </w:tcBorders>
            <w:vAlign w:val="center"/>
          </w:tcPr>
          <w:p w14:paraId="6DD58360">
            <w:pPr>
              <w:jc w:val="center"/>
              <w:rPr>
                <w:rFonts w:hint="default" w:eastAsia="宋体"/>
                <w:bCs/>
                <w:sz w:val="24"/>
                <w:highlight w:val="none"/>
                <w:lang w:val="en-US" w:eastAsia="zh-CN"/>
              </w:rPr>
            </w:pPr>
          </w:p>
        </w:tc>
        <w:tc>
          <w:tcPr>
            <w:tcW w:w="734" w:type="pct"/>
            <w:vMerge w:val="continue"/>
            <w:tcBorders>
              <w:top w:val="single" w:color="auto" w:sz="4" w:space="0"/>
              <w:left w:val="single" w:color="auto" w:sz="4" w:space="0"/>
              <w:bottom w:val="single" w:color="auto" w:sz="4" w:space="0"/>
              <w:right w:val="single" w:color="auto" w:sz="4" w:space="0"/>
            </w:tcBorders>
            <w:vAlign w:val="center"/>
          </w:tcPr>
          <w:p w14:paraId="63993EBB">
            <w:pPr>
              <w:jc w:val="center"/>
              <w:rPr>
                <w:bCs/>
                <w:sz w:val="24"/>
                <w:highlight w:val="none"/>
              </w:rPr>
            </w:pPr>
          </w:p>
        </w:tc>
        <w:tc>
          <w:tcPr>
            <w:tcW w:w="1505" w:type="pct"/>
            <w:tcBorders>
              <w:top w:val="single" w:color="auto" w:sz="4" w:space="0"/>
              <w:left w:val="single" w:color="auto" w:sz="4" w:space="0"/>
              <w:bottom w:val="single" w:color="auto" w:sz="4" w:space="0"/>
              <w:right w:val="single" w:color="auto" w:sz="4" w:space="0"/>
            </w:tcBorders>
            <w:vAlign w:val="center"/>
          </w:tcPr>
          <w:p w14:paraId="2D4C44E4">
            <w:pPr>
              <w:spacing w:line="360" w:lineRule="atLeast"/>
              <w:rPr>
                <w:bCs/>
                <w:sz w:val="24"/>
                <w:highlight w:val="none"/>
              </w:rPr>
            </w:pPr>
            <w:r>
              <w:rPr>
                <w:rFonts w:hint="eastAsia" w:ascii="宋体" w:hAnsi="宋体" w:cs="宋体"/>
                <w:color w:val="000000"/>
                <w:sz w:val="21"/>
                <w:szCs w:val="21"/>
                <w:highlight w:val="none"/>
              </w:rPr>
              <w:t>4.到位维修响应：满足</w:t>
            </w:r>
            <w:r>
              <w:rPr>
                <w:rFonts w:hint="eastAsia" w:ascii="宋体" w:hAnsi="宋体" w:cs="宋体"/>
                <w:color w:val="000000"/>
                <w:sz w:val="21"/>
                <w:szCs w:val="21"/>
                <w:highlight w:val="none"/>
                <w:lang w:eastAsia="zh-CN"/>
              </w:rPr>
              <w:t>竞争性谈判文件</w:t>
            </w:r>
            <w:r>
              <w:rPr>
                <w:rFonts w:hint="eastAsia" w:ascii="宋体" w:hAnsi="宋体" w:cs="宋体"/>
                <w:color w:val="000000"/>
                <w:sz w:val="21"/>
                <w:szCs w:val="21"/>
                <w:highlight w:val="none"/>
              </w:rPr>
              <w:t>“第</w:t>
            </w:r>
            <w:r>
              <w:rPr>
                <w:rFonts w:hint="eastAsia" w:ascii="宋体" w:hAnsi="宋体" w:cs="宋体"/>
                <w:color w:val="000000"/>
                <w:sz w:val="21"/>
                <w:szCs w:val="21"/>
                <w:highlight w:val="none"/>
                <w:lang w:eastAsia="zh-CN"/>
              </w:rPr>
              <w:t>五章</w:t>
            </w:r>
            <w:r>
              <w:rPr>
                <w:rFonts w:hint="eastAsia" w:ascii="宋体" w:hAnsi="宋体" w:cs="宋体"/>
                <w:color w:val="000000"/>
                <w:sz w:val="21"/>
                <w:szCs w:val="21"/>
                <w:highlight w:val="none"/>
              </w:rPr>
              <w:t>”——“</w:t>
            </w:r>
            <w:r>
              <w:rPr>
                <w:rFonts w:hint="eastAsia" w:ascii="宋体" w:hAnsi="宋体" w:cs="宋体"/>
                <w:color w:val="000000"/>
                <w:sz w:val="21"/>
                <w:szCs w:val="21"/>
                <w:highlight w:val="none"/>
                <w:lang w:eastAsia="zh-CN"/>
              </w:rPr>
              <w:t>三</w:t>
            </w:r>
            <w:r>
              <w:rPr>
                <w:rFonts w:hint="eastAsia" w:ascii="宋体" w:hAnsi="宋体" w:cs="宋体"/>
                <w:color w:val="000000"/>
                <w:sz w:val="21"/>
                <w:szCs w:val="21"/>
                <w:highlight w:val="none"/>
              </w:rPr>
              <w:t>、商务要求”——“</w:t>
            </w:r>
            <w:r>
              <w:rPr>
                <w:rFonts w:hint="eastAsia" w:ascii="宋体" w:hAnsi="宋体" w:cs="宋体"/>
                <w:color w:val="000000"/>
                <w:sz w:val="21"/>
                <w:szCs w:val="21"/>
                <w:highlight w:val="none"/>
                <w:lang w:eastAsia="zh-CN"/>
              </w:rPr>
              <w:t>（二）</w:t>
            </w:r>
            <w:r>
              <w:rPr>
                <w:rFonts w:hint="eastAsia" w:ascii="宋体" w:hAnsi="宋体" w:cs="宋体"/>
                <w:color w:val="000000"/>
                <w:sz w:val="21"/>
                <w:szCs w:val="21"/>
                <w:highlight w:val="none"/>
              </w:rPr>
              <w:t>、售后服务”的第2条要求的基础上，根据对维修所投产品的到位维修响应时间排名，三分之二及以上技术专家认为合理且最快的得1分，依次按25%比例递减，最低得0分。三分之二及以上技术专家认为不合理的得0分。</w:t>
            </w:r>
          </w:p>
        </w:tc>
        <w:tc>
          <w:tcPr>
            <w:tcW w:w="642" w:type="pct"/>
            <w:tcBorders>
              <w:top w:val="single" w:color="auto" w:sz="4" w:space="0"/>
              <w:left w:val="single" w:color="auto" w:sz="4" w:space="0"/>
              <w:bottom w:val="single" w:color="auto" w:sz="4" w:space="0"/>
              <w:right w:val="single" w:color="auto" w:sz="4" w:space="0"/>
            </w:tcBorders>
            <w:vAlign w:val="center"/>
          </w:tcPr>
          <w:p w14:paraId="72EB407D">
            <w:pPr>
              <w:spacing w:line="360" w:lineRule="atLeast"/>
              <w:jc w:val="center"/>
              <w:rPr>
                <w:rFonts w:hint="eastAsia" w:asciiTheme="minorEastAsia" w:hAnsiTheme="minorEastAsia" w:eastAsiaTheme="minorEastAsia"/>
                <w:bCs/>
                <w:sz w:val="24"/>
                <w:highlight w:val="none"/>
                <w:lang w:val="en-US" w:eastAsia="zh-CN"/>
              </w:rPr>
            </w:pPr>
            <w:r>
              <w:rPr>
                <w:rFonts w:hint="eastAsia" w:ascii="宋体" w:hAnsi="宋体" w:cs="宋体"/>
                <w:color w:val="000000"/>
                <w:sz w:val="21"/>
                <w:szCs w:val="21"/>
                <w:highlight w:val="none"/>
              </w:rPr>
              <w:t>1分</w:t>
            </w:r>
          </w:p>
        </w:tc>
        <w:tc>
          <w:tcPr>
            <w:tcW w:w="673" w:type="pct"/>
            <w:tcBorders>
              <w:top w:val="single" w:color="auto" w:sz="4" w:space="0"/>
              <w:left w:val="single" w:color="auto" w:sz="4" w:space="0"/>
              <w:bottom w:val="single" w:color="auto" w:sz="4" w:space="0"/>
              <w:right w:val="single" w:color="auto" w:sz="4" w:space="0"/>
            </w:tcBorders>
            <w:vAlign w:val="center"/>
          </w:tcPr>
          <w:p w14:paraId="09439F46">
            <w:pPr>
              <w:jc w:val="center"/>
              <w:rPr>
                <w:bCs/>
                <w:sz w:val="24"/>
                <w:highlight w:val="none"/>
              </w:rPr>
            </w:pPr>
          </w:p>
        </w:tc>
        <w:tc>
          <w:tcPr>
            <w:tcW w:w="1026" w:type="pct"/>
            <w:tcBorders>
              <w:top w:val="single" w:color="auto" w:sz="4" w:space="0"/>
              <w:left w:val="single" w:color="auto" w:sz="4" w:space="0"/>
              <w:bottom w:val="single" w:color="auto" w:sz="4" w:space="0"/>
              <w:right w:val="single" w:color="auto" w:sz="4" w:space="0"/>
            </w:tcBorders>
            <w:vAlign w:val="center"/>
          </w:tcPr>
          <w:p w14:paraId="0B77FBEB">
            <w:pPr>
              <w:jc w:val="center"/>
              <w:rPr>
                <w:bCs/>
                <w:sz w:val="24"/>
                <w:highlight w:val="none"/>
              </w:rPr>
            </w:pPr>
          </w:p>
        </w:tc>
      </w:tr>
      <w:tr w14:paraId="44527AE8">
        <w:tblPrEx>
          <w:tblCellMar>
            <w:top w:w="0" w:type="dxa"/>
            <w:left w:w="108" w:type="dxa"/>
            <w:bottom w:w="0" w:type="dxa"/>
            <w:right w:w="108" w:type="dxa"/>
          </w:tblCellMar>
        </w:tblPrEx>
        <w:trPr>
          <w:trHeight w:val="680" w:hRule="atLeast"/>
          <w:jc w:val="center"/>
        </w:trPr>
        <w:tc>
          <w:tcPr>
            <w:tcW w:w="418" w:type="pct"/>
            <w:vMerge w:val="continue"/>
            <w:tcBorders>
              <w:left w:val="single" w:color="auto" w:sz="4" w:space="0"/>
              <w:right w:val="single" w:color="auto" w:sz="4" w:space="0"/>
            </w:tcBorders>
            <w:vAlign w:val="center"/>
          </w:tcPr>
          <w:p w14:paraId="5E33C8D3">
            <w:pPr>
              <w:jc w:val="center"/>
              <w:rPr>
                <w:rFonts w:hint="default" w:eastAsia="宋体"/>
                <w:bCs/>
                <w:sz w:val="24"/>
                <w:highlight w:val="none"/>
                <w:lang w:val="en-US" w:eastAsia="zh-CN"/>
              </w:rPr>
            </w:pPr>
          </w:p>
        </w:tc>
        <w:tc>
          <w:tcPr>
            <w:tcW w:w="734" w:type="pct"/>
            <w:vMerge w:val="continue"/>
            <w:tcBorders>
              <w:top w:val="single" w:color="auto" w:sz="4" w:space="0"/>
              <w:left w:val="nil"/>
              <w:right w:val="single" w:color="auto" w:sz="4" w:space="0"/>
            </w:tcBorders>
            <w:vAlign w:val="center"/>
          </w:tcPr>
          <w:p w14:paraId="4BBDAC41">
            <w:pPr>
              <w:jc w:val="center"/>
              <w:rPr>
                <w:rFonts w:hint="eastAsia"/>
                <w:bCs/>
                <w:sz w:val="24"/>
                <w:highlight w:val="none"/>
              </w:rPr>
            </w:pPr>
          </w:p>
        </w:tc>
        <w:tc>
          <w:tcPr>
            <w:tcW w:w="1505" w:type="pct"/>
            <w:tcBorders>
              <w:top w:val="single" w:color="auto" w:sz="4" w:space="0"/>
              <w:left w:val="single" w:color="auto" w:sz="4" w:space="0"/>
              <w:bottom w:val="single" w:color="auto" w:sz="4" w:space="0"/>
              <w:right w:val="single" w:color="auto" w:sz="4" w:space="0"/>
            </w:tcBorders>
            <w:vAlign w:val="center"/>
          </w:tcPr>
          <w:p w14:paraId="53592AB3">
            <w:pPr>
              <w:spacing w:line="360" w:lineRule="atLeast"/>
              <w:rPr>
                <w:bCs/>
                <w:sz w:val="24"/>
                <w:highlight w:val="none"/>
              </w:rPr>
            </w:pPr>
            <w:r>
              <w:rPr>
                <w:rFonts w:hint="eastAsia" w:ascii="宋体" w:hAnsi="宋体" w:cs="宋体"/>
                <w:color w:val="000000"/>
                <w:sz w:val="21"/>
                <w:szCs w:val="21"/>
                <w:highlight w:val="none"/>
              </w:rPr>
              <w:t>5.保修期外维修费用：保修期外的包修费用及维修工时费计算方法及价格，按</w:t>
            </w:r>
            <w:r>
              <w:rPr>
                <w:rFonts w:hint="eastAsia" w:ascii="宋体" w:hAnsi="宋体" w:cs="宋体"/>
                <w:color w:val="000000"/>
                <w:sz w:val="21"/>
                <w:szCs w:val="21"/>
                <w:highlight w:val="none"/>
                <w:lang w:eastAsia="zh-CN"/>
              </w:rPr>
              <w:t>报价人</w:t>
            </w:r>
            <w:r>
              <w:rPr>
                <w:rFonts w:hint="eastAsia" w:ascii="宋体" w:hAnsi="宋体" w:cs="宋体"/>
                <w:color w:val="000000"/>
                <w:sz w:val="21"/>
                <w:szCs w:val="21"/>
                <w:highlight w:val="none"/>
              </w:rPr>
              <w:t>自报折扣进行排名，费用最低的得1分，依次按25%递减，最低得0分。未提供得0分。</w:t>
            </w:r>
          </w:p>
        </w:tc>
        <w:tc>
          <w:tcPr>
            <w:tcW w:w="642" w:type="pct"/>
            <w:tcBorders>
              <w:top w:val="single" w:color="auto" w:sz="4" w:space="0"/>
              <w:left w:val="single" w:color="auto" w:sz="4" w:space="0"/>
              <w:bottom w:val="single" w:color="auto" w:sz="4" w:space="0"/>
              <w:right w:val="single" w:color="auto" w:sz="4" w:space="0"/>
            </w:tcBorders>
            <w:vAlign w:val="center"/>
          </w:tcPr>
          <w:p w14:paraId="6C5E0A8C">
            <w:pPr>
              <w:spacing w:line="360" w:lineRule="atLeast"/>
              <w:jc w:val="center"/>
              <w:rPr>
                <w:rFonts w:hint="eastAsia" w:asciiTheme="minorEastAsia" w:hAnsiTheme="minorEastAsia" w:eastAsiaTheme="minorEastAsia"/>
                <w:bCs/>
                <w:sz w:val="24"/>
                <w:highlight w:val="none"/>
                <w:lang w:val="en-US" w:eastAsia="zh-CN"/>
              </w:rPr>
            </w:pPr>
            <w:r>
              <w:rPr>
                <w:rFonts w:hint="eastAsia" w:ascii="宋体" w:hAnsi="宋体" w:cs="宋体"/>
                <w:color w:val="000000"/>
                <w:sz w:val="21"/>
                <w:szCs w:val="21"/>
                <w:highlight w:val="none"/>
              </w:rPr>
              <w:t>1分</w:t>
            </w:r>
          </w:p>
        </w:tc>
        <w:tc>
          <w:tcPr>
            <w:tcW w:w="673" w:type="pct"/>
            <w:tcBorders>
              <w:top w:val="single" w:color="auto" w:sz="4" w:space="0"/>
              <w:left w:val="single" w:color="auto" w:sz="4" w:space="0"/>
              <w:bottom w:val="single" w:color="auto" w:sz="4" w:space="0"/>
              <w:right w:val="single" w:color="auto" w:sz="4" w:space="0"/>
            </w:tcBorders>
            <w:vAlign w:val="center"/>
          </w:tcPr>
          <w:p w14:paraId="1CCD6E35">
            <w:pPr>
              <w:jc w:val="center"/>
              <w:rPr>
                <w:bCs/>
                <w:sz w:val="24"/>
                <w:highlight w:val="none"/>
              </w:rPr>
            </w:pPr>
          </w:p>
        </w:tc>
        <w:tc>
          <w:tcPr>
            <w:tcW w:w="1026" w:type="pct"/>
            <w:tcBorders>
              <w:top w:val="single" w:color="auto" w:sz="4" w:space="0"/>
              <w:left w:val="single" w:color="auto" w:sz="4" w:space="0"/>
              <w:bottom w:val="single" w:color="auto" w:sz="4" w:space="0"/>
              <w:right w:val="single" w:color="auto" w:sz="4" w:space="0"/>
            </w:tcBorders>
            <w:vAlign w:val="center"/>
          </w:tcPr>
          <w:p w14:paraId="3DB17091">
            <w:pPr>
              <w:jc w:val="center"/>
              <w:rPr>
                <w:bCs/>
                <w:sz w:val="24"/>
                <w:highlight w:val="none"/>
              </w:rPr>
            </w:pPr>
          </w:p>
        </w:tc>
      </w:tr>
      <w:tr w14:paraId="4235633C">
        <w:tblPrEx>
          <w:tblCellMar>
            <w:top w:w="0" w:type="dxa"/>
            <w:left w:w="108" w:type="dxa"/>
            <w:bottom w:w="0" w:type="dxa"/>
            <w:right w:w="108" w:type="dxa"/>
          </w:tblCellMar>
        </w:tblPrEx>
        <w:trPr>
          <w:trHeight w:val="680" w:hRule="atLeast"/>
          <w:jc w:val="center"/>
        </w:trPr>
        <w:tc>
          <w:tcPr>
            <w:tcW w:w="418" w:type="pct"/>
            <w:vMerge w:val="continue"/>
            <w:tcBorders>
              <w:left w:val="single" w:color="auto" w:sz="4" w:space="0"/>
              <w:right w:val="single" w:color="auto" w:sz="4" w:space="0"/>
            </w:tcBorders>
            <w:vAlign w:val="center"/>
          </w:tcPr>
          <w:p w14:paraId="2D432233">
            <w:pPr>
              <w:jc w:val="center"/>
              <w:rPr>
                <w:rFonts w:hint="default" w:eastAsia="宋体"/>
                <w:bCs/>
                <w:sz w:val="24"/>
                <w:highlight w:val="none"/>
                <w:lang w:val="en-US" w:eastAsia="zh-CN"/>
              </w:rPr>
            </w:pPr>
          </w:p>
        </w:tc>
        <w:tc>
          <w:tcPr>
            <w:tcW w:w="734" w:type="pct"/>
            <w:vMerge w:val="continue"/>
            <w:tcBorders>
              <w:left w:val="nil"/>
              <w:right w:val="single" w:color="auto" w:sz="4" w:space="0"/>
            </w:tcBorders>
            <w:vAlign w:val="center"/>
          </w:tcPr>
          <w:p w14:paraId="4591AAEC">
            <w:pPr>
              <w:jc w:val="center"/>
              <w:rPr>
                <w:rFonts w:hint="eastAsia"/>
                <w:bCs/>
                <w:sz w:val="24"/>
                <w:highlight w:val="none"/>
              </w:rPr>
            </w:pPr>
          </w:p>
        </w:tc>
        <w:tc>
          <w:tcPr>
            <w:tcW w:w="1505" w:type="pct"/>
            <w:tcBorders>
              <w:top w:val="single" w:color="auto" w:sz="4" w:space="0"/>
              <w:left w:val="single" w:color="auto" w:sz="4" w:space="0"/>
              <w:bottom w:val="single" w:color="auto" w:sz="4" w:space="0"/>
              <w:right w:val="single" w:color="auto" w:sz="4" w:space="0"/>
            </w:tcBorders>
            <w:vAlign w:val="center"/>
          </w:tcPr>
          <w:p w14:paraId="7D8EFED0">
            <w:pPr>
              <w:spacing w:line="360" w:lineRule="atLeast"/>
              <w:rPr>
                <w:rFonts w:hint="eastAsia" w:ascii="宋体" w:hAnsi="宋体" w:cs="宋体"/>
                <w:color w:val="000000"/>
                <w:sz w:val="21"/>
                <w:szCs w:val="21"/>
                <w:highlight w:val="none"/>
              </w:rPr>
            </w:pPr>
            <w:r>
              <w:rPr>
                <w:rFonts w:hint="eastAsia" w:ascii="宋体" w:hAnsi="宋体" w:cs="宋体"/>
                <w:color w:val="000000"/>
                <w:sz w:val="21"/>
                <w:szCs w:val="21"/>
                <w:highlight w:val="none"/>
              </w:rPr>
              <w:t>6.技术支持和服务网点：</w:t>
            </w:r>
          </w:p>
          <w:p w14:paraId="0AFC2111">
            <w:pPr>
              <w:spacing w:line="360" w:lineRule="atLeast"/>
              <w:rPr>
                <w:rFonts w:hint="eastAsia" w:ascii="宋体" w:hAnsi="宋体" w:cs="宋体"/>
                <w:color w:val="000000"/>
                <w:sz w:val="21"/>
                <w:szCs w:val="21"/>
                <w:highlight w:val="none"/>
              </w:rPr>
            </w:pPr>
            <w:r>
              <w:rPr>
                <w:rFonts w:hint="eastAsia" w:ascii="宋体" w:hAnsi="宋体" w:cs="宋体"/>
                <w:color w:val="000000"/>
                <w:sz w:val="21"/>
                <w:szCs w:val="21"/>
                <w:highlight w:val="none"/>
              </w:rPr>
              <w:t>（1）产品和品牌具有较高知名度及广泛普及度，提供指定地点的现场服务支持，具备全国各主要省份的售后服务网络和对应的24小时服务支持热线且技术力量能满足采购单位维修服务需求的得1分，不满足得0分；</w:t>
            </w:r>
          </w:p>
          <w:p w14:paraId="0C34CFF5">
            <w:pPr>
              <w:spacing w:line="360" w:lineRule="atLeast"/>
              <w:rPr>
                <w:bCs/>
                <w:sz w:val="24"/>
                <w:highlight w:val="none"/>
              </w:rPr>
            </w:pPr>
            <w:r>
              <w:rPr>
                <w:rFonts w:hint="eastAsia" w:ascii="宋体" w:hAnsi="宋体" w:cs="宋体"/>
                <w:color w:val="000000"/>
                <w:sz w:val="21"/>
                <w:szCs w:val="21"/>
                <w:highlight w:val="none"/>
              </w:rPr>
              <w:t>（2）根据服务网点数量排名，第一名得1分，依次按标准分值25%递减，最低得0分。</w:t>
            </w:r>
          </w:p>
        </w:tc>
        <w:tc>
          <w:tcPr>
            <w:tcW w:w="642" w:type="pct"/>
            <w:tcBorders>
              <w:top w:val="single" w:color="auto" w:sz="4" w:space="0"/>
              <w:left w:val="single" w:color="auto" w:sz="4" w:space="0"/>
              <w:bottom w:val="single" w:color="auto" w:sz="4" w:space="0"/>
              <w:right w:val="single" w:color="auto" w:sz="4" w:space="0"/>
            </w:tcBorders>
            <w:vAlign w:val="center"/>
          </w:tcPr>
          <w:p w14:paraId="2DF7EE5B">
            <w:pPr>
              <w:spacing w:line="360" w:lineRule="atLeast"/>
              <w:jc w:val="center"/>
              <w:rPr>
                <w:rFonts w:hint="eastAsia" w:asciiTheme="minorEastAsia" w:hAnsiTheme="minorEastAsia" w:eastAsiaTheme="minorEastAsia"/>
                <w:bCs/>
                <w:sz w:val="24"/>
                <w:highlight w:val="none"/>
                <w:lang w:val="en-US" w:eastAsia="zh-CN"/>
              </w:rPr>
            </w:pPr>
            <w:r>
              <w:rPr>
                <w:rFonts w:hint="eastAsia" w:ascii="宋体" w:hAnsi="宋体" w:cs="宋体"/>
                <w:color w:val="000000"/>
                <w:sz w:val="21"/>
                <w:szCs w:val="21"/>
                <w:highlight w:val="none"/>
              </w:rPr>
              <w:t>2分</w:t>
            </w:r>
          </w:p>
        </w:tc>
        <w:tc>
          <w:tcPr>
            <w:tcW w:w="673" w:type="pct"/>
            <w:tcBorders>
              <w:top w:val="single" w:color="auto" w:sz="4" w:space="0"/>
              <w:left w:val="single" w:color="auto" w:sz="4" w:space="0"/>
              <w:bottom w:val="single" w:color="auto" w:sz="4" w:space="0"/>
              <w:right w:val="single" w:color="auto" w:sz="4" w:space="0"/>
            </w:tcBorders>
            <w:vAlign w:val="center"/>
          </w:tcPr>
          <w:p w14:paraId="49F4E3E5">
            <w:pPr>
              <w:jc w:val="center"/>
              <w:rPr>
                <w:bCs/>
                <w:sz w:val="24"/>
                <w:highlight w:val="none"/>
              </w:rPr>
            </w:pPr>
          </w:p>
        </w:tc>
        <w:tc>
          <w:tcPr>
            <w:tcW w:w="1026" w:type="pct"/>
            <w:tcBorders>
              <w:top w:val="single" w:color="auto" w:sz="4" w:space="0"/>
              <w:left w:val="single" w:color="auto" w:sz="4" w:space="0"/>
              <w:bottom w:val="single" w:color="auto" w:sz="4" w:space="0"/>
              <w:right w:val="single" w:color="auto" w:sz="4" w:space="0"/>
            </w:tcBorders>
            <w:vAlign w:val="center"/>
          </w:tcPr>
          <w:p w14:paraId="6AB14CE7">
            <w:pPr>
              <w:jc w:val="center"/>
              <w:rPr>
                <w:bCs/>
                <w:sz w:val="24"/>
                <w:highlight w:val="none"/>
              </w:rPr>
            </w:pPr>
          </w:p>
        </w:tc>
      </w:tr>
      <w:tr w14:paraId="6A9263DB">
        <w:tblPrEx>
          <w:tblCellMar>
            <w:top w:w="0" w:type="dxa"/>
            <w:left w:w="108" w:type="dxa"/>
            <w:bottom w:w="0" w:type="dxa"/>
            <w:right w:w="108" w:type="dxa"/>
          </w:tblCellMar>
        </w:tblPrEx>
        <w:trPr>
          <w:trHeight w:val="680" w:hRule="atLeast"/>
          <w:jc w:val="center"/>
        </w:trPr>
        <w:tc>
          <w:tcPr>
            <w:tcW w:w="418" w:type="pct"/>
            <w:vMerge w:val="continue"/>
            <w:tcBorders>
              <w:left w:val="single" w:color="auto" w:sz="4" w:space="0"/>
              <w:bottom w:val="single" w:color="auto" w:sz="4" w:space="0"/>
              <w:right w:val="single" w:color="auto" w:sz="4" w:space="0"/>
            </w:tcBorders>
            <w:vAlign w:val="center"/>
          </w:tcPr>
          <w:p w14:paraId="60B8024C">
            <w:pPr>
              <w:jc w:val="center"/>
              <w:rPr>
                <w:rFonts w:hint="default" w:eastAsia="宋体"/>
                <w:bCs/>
                <w:sz w:val="24"/>
                <w:highlight w:val="none"/>
                <w:lang w:val="en-US" w:eastAsia="zh-CN"/>
              </w:rPr>
            </w:pPr>
          </w:p>
        </w:tc>
        <w:tc>
          <w:tcPr>
            <w:tcW w:w="734" w:type="pct"/>
            <w:vMerge w:val="continue"/>
            <w:tcBorders>
              <w:left w:val="nil"/>
              <w:bottom w:val="single" w:color="auto" w:sz="4" w:space="0"/>
              <w:right w:val="single" w:color="auto" w:sz="4" w:space="0"/>
            </w:tcBorders>
            <w:vAlign w:val="center"/>
          </w:tcPr>
          <w:p w14:paraId="165C91BD">
            <w:pPr>
              <w:jc w:val="center"/>
              <w:rPr>
                <w:rFonts w:hint="eastAsia"/>
                <w:bCs/>
                <w:sz w:val="24"/>
                <w:highlight w:val="none"/>
              </w:rPr>
            </w:pPr>
          </w:p>
        </w:tc>
        <w:tc>
          <w:tcPr>
            <w:tcW w:w="1505" w:type="pct"/>
            <w:tcBorders>
              <w:top w:val="single" w:color="auto" w:sz="4" w:space="0"/>
              <w:left w:val="single" w:color="auto" w:sz="4" w:space="0"/>
              <w:bottom w:val="single" w:color="auto" w:sz="4" w:space="0"/>
              <w:right w:val="single" w:color="auto" w:sz="4" w:space="0"/>
            </w:tcBorders>
            <w:vAlign w:val="center"/>
          </w:tcPr>
          <w:p w14:paraId="2AC9A388">
            <w:pPr>
              <w:numPr>
                <w:ilvl w:val="0"/>
                <w:numId w:val="1"/>
              </w:numPr>
              <w:spacing w:line="360" w:lineRule="atLeast"/>
              <w:rPr>
                <w:rFonts w:hint="eastAsia" w:ascii="宋体" w:hAnsi="宋体" w:cs="宋体"/>
                <w:sz w:val="21"/>
                <w:szCs w:val="21"/>
                <w:highlight w:val="none"/>
              </w:rPr>
            </w:pPr>
            <w:r>
              <w:rPr>
                <w:rFonts w:hint="eastAsia" w:ascii="宋体" w:hAnsi="宋体" w:cs="宋体"/>
                <w:sz w:val="21"/>
                <w:szCs w:val="21"/>
                <w:highlight w:val="none"/>
              </w:rPr>
              <w:t xml:space="preserve">近三年（截止开标时间）企业售后服务未满足用户要求、未按承诺履行义务、被投诉的，每次得-1分。  </w:t>
            </w:r>
          </w:p>
          <w:p w14:paraId="47DC23A5">
            <w:pPr>
              <w:pStyle w:val="2"/>
              <w:spacing w:line="360" w:lineRule="atLeast"/>
              <w:ind w:firstLine="210" w:firstLineChars="100"/>
              <w:rPr>
                <w:bCs/>
                <w:sz w:val="24"/>
                <w:highlight w:val="none"/>
              </w:rPr>
            </w:pPr>
            <w:r>
              <w:rPr>
                <w:rFonts w:hint="eastAsia" w:ascii="宋体" w:hAnsi="宋体" w:cs="宋体"/>
                <w:sz w:val="21"/>
                <w:szCs w:val="21"/>
                <w:highlight w:val="none"/>
              </w:rPr>
              <w:t>（需求部门或采购机构向采购管理部门提供违规供应商名单）</w:t>
            </w:r>
          </w:p>
        </w:tc>
        <w:tc>
          <w:tcPr>
            <w:tcW w:w="642" w:type="pct"/>
            <w:tcBorders>
              <w:top w:val="single" w:color="auto" w:sz="4" w:space="0"/>
              <w:left w:val="single" w:color="auto" w:sz="4" w:space="0"/>
              <w:bottom w:val="single" w:color="auto" w:sz="4" w:space="0"/>
              <w:right w:val="single" w:color="auto" w:sz="4" w:space="0"/>
            </w:tcBorders>
            <w:vAlign w:val="center"/>
          </w:tcPr>
          <w:p w14:paraId="01B15791">
            <w:pPr>
              <w:spacing w:line="360" w:lineRule="atLeast"/>
              <w:jc w:val="center"/>
              <w:rPr>
                <w:rFonts w:hint="eastAsia" w:asciiTheme="minorEastAsia" w:hAnsiTheme="minorEastAsia" w:eastAsiaTheme="minorEastAsia"/>
                <w:bCs/>
                <w:sz w:val="24"/>
                <w:highlight w:val="none"/>
                <w:lang w:val="en-US" w:eastAsia="zh-CN"/>
              </w:rPr>
            </w:pPr>
            <w:r>
              <w:rPr>
                <w:rFonts w:hint="eastAsia" w:ascii="宋体" w:hAnsi="宋体" w:cs="宋体"/>
                <w:color w:val="000000"/>
                <w:sz w:val="21"/>
                <w:szCs w:val="21"/>
                <w:highlight w:val="none"/>
              </w:rPr>
              <w:t>扣分条款</w:t>
            </w:r>
          </w:p>
        </w:tc>
        <w:tc>
          <w:tcPr>
            <w:tcW w:w="673" w:type="pct"/>
            <w:tcBorders>
              <w:top w:val="single" w:color="auto" w:sz="4" w:space="0"/>
              <w:left w:val="single" w:color="auto" w:sz="4" w:space="0"/>
              <w:bottom w:val="single" w:color="auto" w:sz="4" w:space="0"/>
              <w:right w:val="single" w:color="auto" w:sz="4" w:space="0"/>
            </w:tcBorders>
            <w:vAlign w:val="center"/>
          </w:tcPr>
          <w:p w14:paraId="3B786E21">
            <w:pPr>
              <w:jc w:val="center"/>
              <w:rPr>
                <w:bCs/>
                <w:sz w:val="24"/>
                <w:highlight w:val="none"/>
              </w:rPr>
            </w:pPr>
          </w:p>
        </w:tc>
        <w:tc>
          <w:tcPr>
            <w:tcW w:w="1026" w:type="pct"/>
            <w:tcBorders>
              <w:top w:val="single" w:color="auto" w:sz="4" w:space="0"/>
              <w:left w:val="single" w:color="auto" w:sz="4" w:space="0"/>
              <w:bottom w:val="single" w:color="auto" w:sz="4" w:space="0"/>
              <w:right w:val="single" w:color="auto" w:sz="4" w:space="0"/>
            </w:tcBorders>
            <w:vAlign w:val="center"/>
          </w:tcPr>
          <w:p w14:paraId="7F253803">
            <w:pPr>
              <w:jc w:val="center"/>
              <w:rPr>
                <w:bCs/>
                <w:sz w:val="24"/>
                <w:highlight w:val="none"/>
              </w:rPr>
            </w:pPr>
          </w:p>
        </w:tc>
      </w:tr>
      <w:tr w14:paraId="3A057D0B">
        <w:tblPrEx>
          <w:tblCellMar>
            <w:top w:w="0" w:type="dxa"/>
            <w:left w:w="108" w:type="dxa"/>
            <w:bottom w:w="0" w:type="dxa"/>
            <w:right w:w="108" w:type="dxa"/>
          </w:tblCellMar>
        </w:tblPrEx>
        <w:trPr>
          <w:trHeight w:val="1354" w:hRule="atLeast"/>
          <w:jc w:val="center"/>
        </w:trPr>
        <w:tc>
          <w:tcPr>
            <w:tcW w:w="5000" w:type="pct"/>
            <w:gridSpan w:val="6"/>
            <w:tcBorders>
              <w:top w:val="single" w:color="auto" w:sz="4" w:space="0"/>
              <w:left w:val="single" w:color="auto" w:sz="4" w:space="0"/>
              <w:bottom w:val="single" w:color="auto" w:sz="4" w:space="0"/>
              <w:right w:val="single" w:color="auto" w:sz="4" w:space="0"/>
            </w:tcBorders>
            <w:vAlign w:val="center"/>
          </w:tcPr>
          <w:p w14:paraId="0C29207E">
            <w:pPr>
              <w:spacing w:line="276" w:lineRule="auto"/>
              <w:rPr>
                <w:bCs/>
                <w:sz w:val="24"/>
                <w:highlight w:val="none"/>
              </w:rPr>
            </w:pPr>
            <w:r>
              <w:rPr>
                <w:rFonts w:hint="eastAsia"/>
                <w:bCs/>
                <w:sz w:val="24"/>
                <w:highlight w:val="none"/>
              </w:rPr>
              <w:t>备注：报价供应商按照《技术评审标准表》编制此表。报价供应商应当根据本单位实际情况填写指标值或评分项，并标注相关证明材料在资格证明文件或商务技术文件的位置页码，报价供应商不得虚报、瞒报、漏报或虚假承诺。</w:t>
            </w:r>
          </w:p>
        </w:tc>
      </w:tr>
    </w:tbl>
    <w:p w14:paraId="0FCFC9BC">
      <w:pPr>
        <w:pStyle w:val="6"/>
        <w:spacing w:before="120" w:beforeLines="50" w:after="120" w:afterLines="50" w:line="560" w:lineRule="exact"/>
        <w:rPr>
          <w:rFonts w:ascii="宋体" w:hAnsi="宋体"/>
          <w:b w:val="0"/>
          <w:highlight w:val="none"/>
        </w:rPr>
      </w:pPr>
      <w:r>
        <w:rPr>
          <w:b w:val="0"/>
          <w:highlight w:val="none"/>
        </w:rPr>
        <w:br w:type="page"/>
      </w:r>
      <w:bookmarkStart w:id="606" w:name="_Toc13024"/>
      <w:bookmarkStart w:id="607" w:name="_Toc5191"/>
      <w:bookmarkStart w:id="608" w:name="_Toc112768465"/>
      <w:bookmarkStart w:id="609" w:name="_Toc14205"/>
      <w:bookmarkStart w:id="610" w:name="_Toc23368"/>
      <w:bookmarkStart w:id="611" w:name="_Toc27075"/>
      <w:r>
        <w:rPr>
          <w:rFonts w:hint="eastAsia"/>
          <w:b w:val="0"/>
          <w:highlight w:val="none"/>
        </w:rPr>
        <w:t>附件</w:t>
      </w:r>
      <w:r>
        <w:rPr>
          <w:b w:val="0"/>
          <w:highlight w:val="none"/>
        </w:rPr>
        <w:t xml:space="preserve">2-4 </w:t>
      </w:r>
      <w:r>
        <w:rPr>
          <w:rFonts w:hint="eastAsia"/>
          <w:b w:val="0"/>
          <w:highlight w:val="none"/>
        </w:rPr>
        <w:t>谈判函</w:t>
      </w:r>
      <w:bookmarkEnd w:id="606"/>
      <w:bookmarkEnd w:id="607"/>
      <w:bookmarkEnd w:id="608"/>
      <w:bookmarkEnd w:id="609"/>
      <w:bookmarkEnd w:id="610"/>
      <w:bookmarkEnd w:id="611"/>
    </w:p>
    <w:p w14:paraId="2FB24BFD">
      <w:pPr>
        <w:spacing w:before="120" w:beforeLines="50" w:after="120" w:afterLines="50" w:line="560" w:lineRule="exact"/>
        <w:jc w:val="center"/>
        <w:rPr>
          <w:rFonts w:ascii="黑体" w:hAnsi="黑体" w:eastAsia="黑体" w:cs="黑体"/>
          <w:bCs/>
          <w:sz w:val="36"/>
          <w:szCs w:val="36"/>
          <w:highlight w:val="none"/>
        </w:rPr>
      </w:pPr>
      <w:r>
        <w:rPr>
          <w:rFonts w:hint="eastAsia" w:ascii="黑体" w:hAnsi="黑体" w:eastAsia="黑体" w:cs="黑体"/>
          <w:bCs/>
          <w:sz w:val="36"/>
          <w:szCs w:val="36"/>
          <w:highlight w:val="none"/>
        </w:rPr>
        <w:t>谈判函</w:t>
      </w:r>
    </w:p>
    <w:p w14:paraId="2C998A91">
      <w:pPr>
        <w:spacing w:line="500" w:lineRule="exact"/>
        <w:rPr>
          <w:rFonts w:ascii="宋体" w:hAnsi="宋体" w:cs="宋体"/>
          <w:bCs/>
          <w:sz w:val="28"/>
          <w:szCs w:val="28"/>
          <w:highlight w:val="none"/>
        </w:rPr>
      </w:pPr>
      <w:r>
        <w:rPr>
          <w:rFonts w:hint="eastAsia" w:ascii="楷体_GB2312" w:hAnsi="宋体" w:eastAsia="楷体_GB2312"/>
          <w:bCs/>
          <w:sz w:val="28"/>
          <w:szCs w:val="28"/>
          <w:highlight w:val="none"/>
          <w:u w:val="single"/>
        </w:rPr>
        <w:t>（</w:t>
      </w:r>
      <w:r>
        <w:rPr>
          <w:rFonts w:hint="eastAsia" w:ascii="宋体" w:hAnsi="宋体" w:cs="宋体"/>
          <w:bCs/>
          <w:sz w:val="28"/>
          <w:szCs w:val="28"/>
          <w:highlight w:val="none"/>
          <w:u w:val="single"/>
        </w:rPr>
        <w:t>采购机构名称）</w:t>
      </w:r>
      <w:r>
        <w:rPr>
          <w:rFonts w:hint="eastAsia" w:ascii="宋体" w:hAnsi="宋体" w:cs="宋体"/>
          <w:bCs/>
          <w:sz w:val="28"/>
          <w:szCs w:val="28"/>
          <w:highlight w:val="none"/>
        </w:rPr>
        <w:t>：</w:t>
      </w:r>
    </w:p>
    <w:p w14:paraId="04A89718">
      <w:pPr>
        <w:spacing w:line="500" w:lineRule="exact"/>
        <w:ind w:firstLine="560" w:firstLineChars="200"/>
        <w:rPr>
          <w:rFonts w:ascii="宋体" w:hAnsi="宋体" w:cs="宋体"/>
          <w:bCs/>
          <w:sz w:val="28"/>
          <w:szCs w:val="28"/>
          <w:highlight w:val="none"/>
        </w:rPr>
      </w:pPr>
      <w:r>
        <w:rPr>
          <w:rFonts w:hint="eastAsia" w:ascii="宋体" w:hAnsi="宋体" w:cs="宋体"/>
          <w:bCs/>
          <w:sz w:val="28"/>
          <w:szCs w:val="28"/>
          <w:highlight w:val="none"/>
        </w:rPr>
        <w:t>我方参加贵部组织的</w:t>
      </w:r>
      <w:r>
        <w:rPr>
          <w:rFonts w:hint="eastAsia" w:ascii="宋体" w:hAnsi="宋体" w:cs="宋体"/>
          <w:bCs/>
          <w:sz w:val="28"/>
          <w:szCs w:val="28"/>
          <w:highlight w:val="none"/>
          <w:u w:val="single"/>
        </w:rPr>
        <w:t>（项目编号和项目名称）</w:t>
      </w:r>
      <w:r>
        <w:rPr>
          <w:rFonts w:hint="eastAsia" w:ascii="宋体" w:hAnsi="宋体" w:cs="宋体"/>
          <w:bCs/>
          <w:sz w:val="28"/>
          <w:szCs w:val="28"/>
          <w:highlight w:val="none"/>
        </w:rPr>
        <w:t>采购活动，并对</w:t>
      </w:r>
      <w:r>
        <w:rPr>
          <w:rFonts w:hint="eastAsia" w:ascii="宋体" w:hAnsi="宋体" w:cs="宋体"/>
          <w:bCs/>
          <w:sz w:val="28"/>
          <w:szCs w:val="28"/>
          <w:highlight w:val="none"/>
          <w:u w:val="single"/>
        </w:rPr>
        <w:t>（包号或物资名称）</w:t>
      </w:r>
      <w:r>
        <w:rPr>
          <w:rFonts w:hint="eastAsia" w:ascii="宋体" w:hAnsi="宋体" w:cs="宋体"/>
          <w:bCs/>
          <w:sz w:val="28"/>
          <w:szCs w:val="28"/>
          <w:highlight w:val="none"/>
        </w:rPr>
        <w:t>进行谈判。</w:t>
      </w:r>
    </w:p>
    <w:p w14:paraId="5BB5B089">
      <w:pPr>
        <w:tabs>
          <w:tab w:val="left" w:pos="1020"/>
        </w:tabs>
        <w:spacing w:line="500" w:lineRule="exact"/>
        <w:ind w:firstLine="560" w:firstLineChars="200"/>
        <w:rPr>
          <w:rFonts w:ascii="宋体" w:hAnsi="宋体" w:cs="宋体"/>
          <w:bCs/>
          <w:sz w:val="28"/>
          <w:szCs w:val="28"/>
          <w:highlight w:val="none"/>
        </w:rPr>
      </w:pPr>
      <w:r>
        <w:rPr>
          <w:rFonts w:hint="eastAsia" w:ascii="宋体" w:hAnsi="宋体" w:cs="宋体"/>
          <w:bCs/>
          <w:sz w:val="28"/>
          <w:szCs w:val="28"/>
          <w:highlight w:val="none"/>
        </w:rPr>
        <w:t>一、按照谈判文件要求提交</w:t>
      </w:r>
      <w:r>
        <w:rPr>
          <w:rFonts w:hint="eastAsia" w:ascii="宋体" w:hAnsi="宋体" w:cs="宋体"/>
          <w:bCs/>
          <w:sz w:val="28"/>
          <w:szCs w:val="28"/>
          <w:highlight w:val="none"/>
          <w:lang w:val="zh-CN"/>
        </w:rPr>
        <w:t>报价文件正本</w:t>
      </w:r>
      <w:r>
        <w:rPr>
          <w:rFonts w:hint="eastAsia" w:ascii="宋体" w:hAnsi="宋体" w:cs="宋体"/>
          <w:bCs/>
          <w:sz w:val="28"/>
          <w:szCs w:val="28"/>
          <w:highlight w:val="none"/>
          <w:u w:val="single"/>
          <w:lang w:val="en-US" w:eastAsia="zh-CN"/>
        </w:rPr>
        <w:t>1</w:t>
      </w:r>
      <w:r>
        <w:rPr>
          <w:rFonts w:hint="eastAsia" w:ascii="宋体" w:hAnsi="宋体" w:cs="宋体"/>
          <w:bCs/>
          <w:sz w:val="28"/>
          <w:szCs w:val="28"/>
          <w:highlight w:val="none"/>
          <w:lang w:val="zh-CN"/>
        </w:rPr>
        <w:t>份和副本</w:t>
      </w:r>
      <w:r>
        <w:rPr>
          <w:rFonts w:hint="eastAsia" w:ascii="宋体" w:hAnsi="宋体" w:cs="宋体"/>
          <w:bCs/>
          <w:sz w:val="28"/>
          <w:szCs w:val="28"/>
          <w:highlight w:val="none"/>
          <w:u w:val="single"/>
          <w:lang w:val="en-US" w:eastAsia="zh-CN"/>
        </w:rPr>
        <w:t>2</w:t>
      </w:r>
      <w:r>
        <w:rPr>
          <w:rFonts w:hint="eastAsia" w:ascii="宋体" w:hAnsi="宋体" w:cs="宋体"/>
          <w:bCs/>
          <w:sz w:val="28"/>
          <w:szCs w:val="28"/>
          <w:highlight w:val="none"/>
          <w:lang w:val="zh-CN"/>
        </w:rPr>
        <w:t>份</w:t>
      </w:r>
      <w:r>
        <w:rPr>
          <w:rFonts w:hint="eastAsia" w:ascii="宋体" w:hAnsi="宋体" w:cs="宋体"/>
          <w:bCs/>
          <w:sz w:val="28"/>
          <w:szCs w:val="28"/>
          <w:highlight w:val="none"/>
        </w:rPr>
        <w:t>，电子版报价文件</w:t>
      </w:r>
      <w:r>
        <w:rPr>
          <w:rFonts w:hint="eastAsia" w:ascii="宋体" w:hAnsi="宋体" w:cs="宋体"/>
          <w:bCs/>
          <w:sz w:val="28"/>
          <w:szCs w:val="28"/>
          <w:highlight w:val="none"/>
          <w:u w:val="single"/>
          <w:lang w:val="en-US" w:eastAsia="zh-CN"/>
        </w:rPr>
        <w:t>1</w:t>
      </w:r>
      <w:r>
        <w:rPr>
          <w:rFonts w:hint="eastAsia" w:ascii="宋体" w:hAnsi="宋体" w:cs="宋体"/>
          <w:bCs/>
          <w:sz w:val="28"/>
          <w:szCs w:val="28"/>
          <w:highlight w:val="none"/>
        </w:rPr>
        <w:t>份。其中，“价格文件”</w:t>
      </w:r>
      <w:r>
        <w:rPr>
          <w:rFonts w:hint="eastAsia" w:ascii="宋体" w:hAnsi="宋体" w:cs="宋体"/>
          <w:bCs/>
          <w:sz w:val="28"/>
          <w:szCs w:val="28"/>
          <w:highlight w:val="none"/>
          <w:u w:val="single"/>
          <w:lang w:val="en-US" w:eastAsia="zh-CN"/>
        </w:rPr>
        <w:t>3</w:t>
      </w:r>
      <w:r>
        <w:rPr>
          <w:rFonts w:hint="eastAsia" w:ascii="宋体" w:hAnsi="宋体" w:cs="宋体"/>
          <w:bCs/>
          <w:sz w:val="28"/>
          <w:szCs w:val="28"/>
          <w:highlight w:val="none"/>
        </w:rPr>
        <w:t>份单独密封提交。</w:t>
      </w:r>
    </w:p>
    <w:p w14:paraId="4CD88D15">
      <w:pPr>
        <w:tabs>
          <w:tab w:val="left" w:pos="1020"/>
        </w:tabs>
        <w:spacing w:line="500" w:lineRule="exact"/>
        <w:ind w:firstLine="560" w:firstLineChars="200"/>
        <w:rPr>
          <w:rFonts w:ascii="宋体" w:hAnsi="宋体" w:cs="宋体"/>
          <w:bCs/>
          <w:sz w:val="28"/>
          <w:szCs w:val="28"/>
          <w:highlight w:val="none"/>
        </w:rPr>
      </w:pPr>
      <w:r>
        <w:rPr>
          <w:rFonts w:hint="eastAsia" w:ascii="宋体" w:hAnsi="宋体" w:cs="宋体"/>
          <w:bCs/>
          <w:sz w:val="28"/>
          <w:szCs w:val="28"/>
          <w:highlight w:val="none"/>
          <w:lang w:val="zh-CN"/>
        </w:rPr>
        <w:t>二、我方已完全理解谈判文件的全部内容，自愿接受并执行谈判文件的全部条款</w:t>
      </w:r>
      <w:r>
        <w:rPr>
          <w:rFonts w:hint="eastAsia" w:ascii="宋体" w:hAnsi="宋体" w:cs="宋体"/>
          <w:bCs/>
          <w:sz w:val="28"/>
          <w:szCs w:val="28"/>
          <w:highlight w:val="none"/>
        </w:rPr>
        <w:t>。</w:t>
      </w:r>
    </w:p>
    <w:p w14:paraId="787CAAE9">
      <w:pPr>
        <w:tabs>
          <w:tab w:val="left" w:pos="1020"/>
        </w:tabs>
        <w:spacing w:line="500" w:lineRule="exact"/>
        <w:ind w:firstLine="560" w:firstLineChars="200"/>
        <w:rPr>
          <w:rFonts w:ascii="宋体" w:hAnsi="宋体" w:cs="宋体"/>
          <w:bCs/>
          <w:sz w:val="28"/>
          <w:szCs w:val="28"/>
          <w:highlight w:val="none"/>
        </w:rPr>
      </w:pPr>
      <w:r>
        <w:rPr>
          <w:rFonts w:hint="eastAsia" w:ascii="宋体" w:hAnsi="宋体" w:cs="宋体"/>
          <w:bCs/>
          <w:sz w:val="28"/>
          <w:szCs w:val="28"/>
          <w:highlight w:val="none"/>
        </w:rPr>
        <w:t>三、本报价</w:t>
      </w:r>
      <w:r>
        <w:rPr>
          <w:rFonts w:hint="eastAsia" w:ascii="宋体" w:hAnsi="宋体" w:cs="宋体"/>
          <w:bCs/>
          <w:sz w:val="28"/>
          <w:szCs w:val="28"/>
          <w:highlight w:val="none"/>
          <w:lang w:val="zh-CN"/>
        </w:rPr>
        <w:t>有效期自提交报价文件的截止之日起</w:t>
      </w:r>
      <w:r>
        <w:rPr>
          <w:rFonts w:hint="eastAsia" w:ascii="宋体" w:hAnsi="宋体" w:cs="宋体"/>
          <w:bCs/>
          <w:sz w:val="28"/>
          <w:szCs w:val="28"/>
          <w:highlight w:val="none"/>
          <w:u w:val="single"/>
          <w:lang w:val="en-US" w:eastAsia="zh-CN"/>
        </w:rPr>
        <w:t>180</w:t>
      </w:r>
      <w:r>
        <w:rPr>
          <w:rFonts w:hint="eastAsia" w:ascii="宋体" w:hAnsi="宋体" w:cs="宋体"/>
          <w:bCs/>
          <w:sz w:val="28"/>
          <w:szCs w:val="28"/>
          <w:highlight w:val="none"/>
          <w:lang w:val="zh-CN"/>
        </w:rPr>
        <w:t>日内有效</w:t>
      </w:r>
      <w:r>
        <w:rPr>
          <w:rFonts w:hint="eastAsia" w:ascii="宋体" w:hAnsi="宋体" w:cs="宋体"/>
          <w:bCs/>
          <w:sz w:val="28"/>
          <w:szCs w:val="28"/>
          <w:highlight w:val="none"/>
        </w:rPr>
        <w:t>。</w:t>
      </w:r>
    </w:p>
    <w:p w14:paraId="30C58853">
      <w:pPr>
        <w:tabs>
          <w:tab w:val="left" w:pos="1020"/>
        </w:tabs>
        <w:spacing w:line="500" w:lineRule="exact"/>
        <w:ind w:firstLine="560" w:firstLineChars="200"/>
        <w:rPr>
          <w:rFonts w:ascii="宋体" w:hAnsi="宋体" w:cs="宋体"/>
          <w:bCs/>
          <w:snapToGrid w:val="0"/>
          <w:sz w:val="28"/>
          <w:szCs w:val="28"/>
          <w:highlight w:val="none"/>
          <w:lang w:val="zh-CN"/>
        </w:rPr>
      </w:pPr>
      <w:r>
        <w:rPr>
          <w:rFonts w:hint="eastAsia" w:ascii="宋体" w:hAnsi="宋体" w:cs="宋体"/>
          <w:bCs/>
          <w:snapToGrid w:val="0"/>
          <w:sz w:val="28"/>
          <w:szCs w:val="28"/>
          <w:highlight w:val="none"/>
          <w:lang w:val="zh-CN"/>
        </w:rPr>
        <w:t>四、我方在参与谈判前已仔细研究了谈判文件和所有相关</w:t>
      </w:r>
      <w:r>
        <w:rPr>
          <w:rFonts w:hint="eastAsia" w:ascii="宋体" w:hAnsi="宋体"/>
          <w:bCs/>
          <w:sz w:val="28"/>
          <w:szCs w:val="28"/>
          <w:highlight w:val="none"/>
        </w:rPr>
        <w:t>材料</w:t>
      </w:r>
      <w:r>
        <w:rPr>
          <w:rFonts w:hint="eastAsia" w:ascii="宋体" w:hAnsi="宋体" w:cs="宋体"/>
          <w:bCs/>
          <w:snapToGrid w:val="0"/>
          <w:sz w:val="28"/>
          <w:szCs w:val="28"/>
          <w:highlight w:val="none"/>
          <w:lang w:val="zh-CN"/>
        </w:rPr>
        <w:t>，同意谈判文件的相关条款。</w:t>
      </w:r>
    </w:p>
    <w:p w14:paraId="40A2A78F">
      <w:pPr>
        <w:tabs>
          <w:tab w:val="left" w:pos="1020"/>
        </w:tabs>
        <w:spacing w:line="500" w:lineRule="exact"/>
        <w:ind w:firstLine="560" w:firstLineChars="200"/>
        <w:rPr>
          <w:rFonts w:ascii="宋体" w:hAnsi="宋体" w:cs="宋体"/>
          <w:bCs/>
          <w:sz w:val="28"/>
          <w:szCs w:val="28"/>
          <w:highlight w:val="none"/>
        </w:rPr>
      </w:pPr>
      <w:r>
        <w:rPr>
          <w:rFonts w:hint="eastAsia" w:ascii="宋体" w:hAnsi="宋体" w:cs="宋体"/>
          <w:bCs/>
          <w:sz w:val="28"/>
          <w:szCs w:val="28"/>
          <w:highlight w:val="none"/>
        </w:rPr>
        <w:t>五、我方声明提供的报价文件及一切</w:t>
      </w:r>
      <w:r>
        <w:rPr>
          <w:rFonts w:hint="eastAsia" w:ascii="宋体" w:hAnsi="宋体"/>
          <w:bCs/>
          <w:sz w:val="28"/>
          <w:szCs w:val="28"/>
          <w:highlight w:val="none"/>
        </w:rPr>
        <w:t>材料</w:t>
      </w:r>
      <w:r>
        <w:rPr>
          <w:rFonts w:hint="eastAsia" w:ascii="宋体" w:hAnsi="宋体" w:cs="宋体"/>
          <w:bCs/>
          <w:sz w:val="28"/>
          <w:szCs w:val="28"/>
          <w:highlight w:val="none"/>
        </w:rPr>
        <w:t>和承诺均真实有效。由于我方提供</w:t>
      </w:r>
      <w:r>
        <w:rPr>
          <w:rFonts w:hint="eastAsia" w:ascii="宋体" w:hAnsi="宋体"/>
          <w:bCs/>
          <w:sz w:val="28"/>
          <w:szCs w:val="28"/>
          <w:highlight w:val="none"/>
        </w:rPr>
        <w:t>材料</w:t>
      </w:r>
      <w:r>
        <w:rPr>
          <w:rFonts w:hint="eastAsia" w:ascii="宋体" w:hAnsi="宋体" w:cs="宋体"/>
          <w:bCs/>
          <w:sz w:val="28"/>
          <w:szCs w:val="28"/>
          <w:highlight w:val="none"/>
        </w:rPr>
        <w:t>不实而造成的责任和后果由我方承担。我方同意按照贵部要求，提供与谈判有关数据或信息。我方承诺完全按照谈判文件有关内容履约。</w:t>
      </w:r>
    </w:p>
    <w:p w14:paraId="4164DAF9">
      <w:pPr>
        <w:tabs>
          <w:tab w:val="left" w:pos="1020"/>
        </w:tabs>
        <w:spacing w:line="500" w:lineRule="exact"/>
        <w:ind w:firstLine="560" w:firstLineChars="200"/>
        <w:rPr>
          <w:rFonts w:ascii="宋体" w:hAnsi="宋体" w:cs="宋体"/>
          <w:bCs/>
          <w:sz w:val="28"/>
          <w:szCs w:val="28"/>
          <w:highlight w:val="none"/>
        </w:rPr>
      </w:pPr>
      <w:r>
        <w:rPr>
          <w:rFonts w:hint="eastAsia" w:ascii="宋体" w:hAnsi="宋体" w:cs="宋体"/>
          <w:bCs/>
          <w:sz w:val="28"/>
          <w:szCs w:val="28"/>
          <w:highlight w:val="none"/>
        </w:rPr>
        <w:t>六、我方承诺自愿遵守、执行军队采购政策法规。</w:t>
      </w:r>
    </w:p>
    <w:p w14:paraId="5953F863">
      <w:pPr>
        <w:tabs>
          <w:tab w:val="left" w:pos="1020"/>
        </w:tabs>
        <w:spacing w:line="500" w:lineRule="exact"/>
        <w:ind w:firstLine="560" w:firstLineChars="200"/>
        <w:rPr>
          <w:rFonts w:ascii="宋体" w:hAnsi="宋体" w:cs="宋体"/>
          <w:bCs/>
          <w:sz w:val="28"/>
          <w:szCs w:val="28"/>
          <w:highlight w:val="none"/>
        </w:rPr>
      </w:pPr>
      <w:r>
        <w:rPr>
          <w:rFonts w:hint="eastAsia" w:ascii="宋体" w:hAnsi="宋体" w:cs="宋体"/>
          <w:bCs/>
          <w:sz w:val="28"/>
          <w:szCs w:val="28"/>
          <w:highlight w:val="none"/>
        </w:rPr>
        <w:t>七、联系方式</w:t>
      </w:r>
    </w:p>
    <w:p w14:paraId="0ABFEF5F">
      <w:pPr>
        <w:spacing w:line="500" w:lineRule="exact"/>
        <w:ind w:firstLine="560" w:firstLineChars="200"/>
        <w:rPr>
          <w:rFonts w:ascii="宋体" w:hAnsi="宋体" w:cs="宋体"/>
          <w:bCs/>
          <w:sz w:val="28"/>
          <w:szCs w:val="28"/>
          <w:highlight w:val="none"/>
        </w:rPr>
      </w:pPr>
      <w:r>
        <w:rPr>
          <w:rFonts w:hint="eastAsia" w:ascii="宋体" w:hAnsi="宋体" w:cs="宋体"/>
          <w:bCs/>
          <w:sz w:val="28"/>
          <w:szCs w:val="28"/>
          <w:highlight w:val="none"/>
        </w:rPr>
        <w:t>联 系 人：</w:t>
      </w:r>
      <w:r>
        <w:rPr>
          <w:rFonts w:hint="eastAsia" w:ascii="宋体" w:hAnsi="宋体" w:cs="宋体"/>
          <w:bCs/>
          <w:sz w:val="28"/>
          <w:szCs w:val="28"/>
          <w:highlight w:val="none"/>
          <w:u w:val="single"/>
        </w:rPr>
        <w:t xml:space="preserve">        </w:t>
      </w:r>
      <w:r>
        <w:rPr>
          <w:rFonts w:hint="eastAsia" w:ascii="宋体" w:hAnsi="宋体" w:cs="宋体"/>
          <w:bCs/>
          <w:sz w:val="28"/>
          <w:szCs w:val="28"/>
          <w:highlight w:val="none"/>
        </w:rPr>
        <w:t xml:space="preserve">  电话：</w:t>
      </w:r>
      <w:r>
        <w:rPr>
          <w:rFonts w:hint="eastAsia" w:ascii="宋体" w:hAnsi="宋体" w:cs="宋体"/>
          <w:bCs/>
          <w:sz w:val="28"/>
          <w:szCs w:val="28"/>
          <w:highlight w:val="none"/>
          <w:u w:val="single"/>
        </w:rPr>
        <w:t xml:space="preserve">        </w:t>
      </w:r>
      <w:r>
        <w:rPr>
          <w:rFonts w:hint="eastAsia" w:ascii="宋体" w:hAnsi="宋体" w:cs="宋体"/>
          <w:bCs/>
          <w:sz w:val="28"/>
          <w:szCs w:val="28"/>
          <w:highlight w:val="none"/>
        </w:rPr>
        <w:t>传真：</w:t>
      </w:r>
      <w:r>
        <w:rPr>
          <w:rFonts w:hint="eastAsia" w:ascii="宋体" w:hAnsi="宋体" w:cs="宋体"/>
          <w:bCs/>
          <w:sz w:val="28"/>
          <w:szCs w:val="28"/>
          <w:highlight w:val="none"/>
          <w:u w:val="single"/>
        </w:rPr>
        <w:t xml:space="preserve">        </w:t>
      </w:r>
    </w:p>
    <w:p w14:paraId="5A8EED8B">
      <w:pPr>
        <w:spacing w:line="500" w:lineRule="exact"/>
        <w:ind w:firstLine="560" w:firstLineChars="200"/>
        <w:rPr>
          <w:rFonts w:ascii="宋体" w:hAnsi="宋体" w:cs="宋体"/>
          <w:bCs/>
          <w:sz w:val="28"/>
          <w:szCs w:val="28"/>
          <w:highlight w:val="none"/>
        </w:rPr>
      </w:pPr>
      <w:r>
        <w:rPr>
          <w:rFonts w:hint="eastAsia" w:ascii="宋体" w:hAnsi="宋体" w:cs="宋体"/>
          <w:bCs/>
          <w:sz w:val="28"/>
          <w:szCs w:val="28"/>
          <w:highlight w:val="none"/>
        </w:rPr>
        <w:t>地    址：</w:t>
      </w:r>
      <w:r>
        <w:rPr>
          <w:rFonts w:hint="eastAsia" w:ascii="宋体" w:hAnsi="宋体" w:cs="宋体"/>
          <w:bCs/>
          <w:sz w:val="28"/>
          <w:szCs w:val="28"/>
          <w:highlight w:val="none"/>
          <w:u w:val="single"/>
        </w:rPr>
        <w:t xml:space="preserve">                  </w:t>
      </w:r>
      <w:r>
        <w:rPr>
          <w:rFonts w:hint="eastAsia" w:ascii="宋体" w:hAnsi="宋体" w:cs="宋体"/>
          <w:bCs/>
          <w:sz w:val="28"/>
          <w:szCs w:val="28"/>
          <w:highlight w:val="none"/>
        </w:rPr>
        <w:t xml:space="preserve">  邮政编码：</w:t>
      </w:r>
      <w:r>
        <w:rPr>
          <w:rFonts w:hint="eastAsia" w:ascii="宋体" w:hAnsi="宋体" w:cs="宋体"/>
          <w:bCs/>
          <w:sz w:val="28"/>
          <w:szCs w:val="28"/>
          <w:highlight w:val="none"/>
          <w:u w:val="single"/>
        </w:rPr>
        <w:t xml:space="preserve">        </w:t>
      </w:r>
    </w:p>
    <w:p w14:paraId="5A9B7B03">
      <w:pPr>
        <w:spacing w:line="500" w:lineRule="exact"/>
        <w:ind w:firstLine="560" w:firstLineChars="200"/>
        <w:rPr>
          <w:rFonts w:ascii="宋体" w:hAnsi="宋体" w:cs="宋体"/>
          <w:bCs/>
          <w:sz w:val="28"/>
          <w:szCs w:val="28"/>
          <w:highlight w:val="none"/>
        </w:rPr>
      </w:pPr>
      <w:r>
        <w:rPr>
          <w:rFonts w:hint="eastAsia" w:ascii="宋体" w:hAnsi="宋体" w:cs="宋体"/>
          <w:bCs/>
          <w:sz w:val="28"/>
          <w:szCs w:val="28"/>
          <w:highlight w:val="none"/>
        </w:rPr>
        <w:t>开户名称：</w:t>
      </w:r>
      <w:r>
        <w:rPr>
          <w:rFonts w:hint="eastAsia" w:ascii="宋体" w:hAnsi="宋体" w:cs="宋体"/>
          <w:bCs/>
          <w:sz w:val="28"/>
          <w:szCs w:val="28"/>
          <w:highlight w:val="none"/>
          <w:u w:val="single"/>
        </w:rPr>
        <w:t xml:space="preserve">                  </w:t>
      </w:r>
    </w:p>
    <w:p w14:paraId="3FF9EBF1">
      <w:pPr>
        <w:spacing w:line="500" w:lineRule="exact"/>
        <w:ind w:firstLine="560" w:firstLineChars="200"/>
        <w:rPr>
          <w:rFonts w:ascii="宋体" w:hAnsi="宋体" w:cs="宋体"/>
          <w:bCs/>
          <w:sz w:val="28"/>
          <w:szCs w:val="28"/>
          <w:highlight w:val="none"/>
        </w:rPr>
      </w:pPr>
      <w:r>
        <w:rPr>
          <w:rFonts w:hint="eastAsia" w:ascii="宋体" w:hAnsi="宋体" w:cs="宋体"/>
          <w:bCs/>
          <w:sz w:val="28"/>
          <w:szCs w:val="28"/>
          <w:highlight w:val="none"/>
        </w:rPr>
        <w:t>开户银行：</w:t>
      </w:r>
      <w:r>
        <w:rPr>
          <w:rFonts w:hint="eastAsia" w:ascii="宋体" w:hAnsi="宋体" w:cs="宋体"/>
          <w:bCs/>
          <w:sz w:val="28"/>
          <w:szCs w:val="28"/>
          <w:highlight w:val="none"/>
          <w:u w:val="single"/>
        </w:rPr>
        <w:t xml:space="preserve">                  </w:t>
      </w:r>
      <w:r>
        <w:rPr>
          <w:rFonts w:hint="eastAsia" w:ascii="宋体" w:hAnsi="宋体" w:cs="宋体"/>
          <w:bCs/>
          <w:sz w:val="28"/>
          <w:szCs w:val="28"/>
          <w:highlight w:val="none"/>
        </w:rPr>
        <w:t xml:space="preserve">                       </w:t>
      </w:r>
    </w:p>
    <w:p w14:paraId="014ED055">
      <w:pPr>
        <w:spacing w:line="500" w:lineRule="exact"/>
        <w:ind w:firstLine="560" w:firstLineChars="200"/>
        <w:rPr>
          <w:rFonts w:ascii="宋体" w:hAnsi="宋体" w:cs="宋体"/>
          <w:bCs/>
          <w:sz w:val="28"/>
          <w:szCs w:val="28"/>
          <w:highlight w:val="none"/>
        </w:rPr>
      </w:pPr>
      <w:r>
        <w:rPr>
          <w:rFonts w:hint="eastAsia" w:ascii="宋体" w:hAnsi="宋体" w:cs="宋体"/>
          <w:bCs/>
          <w:sz w:val="28"/>
          <w:szCs w:val="28"/>
          <w:highlight w:val="none"/>
        </w:rPr>
        <w:t>银行账号：</w:t>
      </w:r>
      <w:r>
        <w:rPr>
          <w:rFonts w:hint="eastAsia" w:ascii="宋体" w:hAnsi="宋体" w:cs="宋体"/>
          <w:bCs/>
          <w:sz w:val="28"/>
          <w:szCs w:val="28"/>
          <w:highlight w:val="none"/>
          <w:u w:val="single"/>
        </w:rPr>
        <w:t xml:space="preserve">                  </w:t>
      </w:r>
      <w:r>
        <w:rPr>
          <w:rFonts w:hint="eastAsia" w:ascii="宋体" w:hAnsi="宋体" w:cs="宋体"/>
          <w:bCs/>
          <w:sz w:val="28"/>
          <w:szCs w:val="28"/>
          <w:highlight w:val="none"/>
        </w:rPr>
        <w:t xml:space="preserve">                        </w:t>
      </w:r>
    </w:p>
    <w:p w14:paraId="52405FC8">
      <w:pPr>
        <w:spacing w:line="500" w:lineRule="exact"/>
        <w:jc w:val="center"/>
        <w:rPr>
          <w:rFonts w:ascii="宋体" w:hAnsi="宋体" w:cs="宋体"/>
          <w:bCs/>
          <w:sz w:val="28"/>
          <w:szCs w:val="28"/>
          <w:highlight w:val="none"/>
          <w:lang w:val="zh-CN"/>
        </w:rPr>
      </w:pPr>
    </w:p>
    <w:p w14:paraId="3296E19F">
      <w:pPr>
        <w:spacing w:line="500" w:lineRule="exact"/>
        <w:jc w:val="center"/>
        <w:rPr>
          <w:rFonts w:ascii="宋体" w:hAnsi="宋体" w:cs="宋体"/>
          <w:bCs/>
          <w:sz w:val="28"/>
          <w:szCs w:val="28"/>
          <w:highlight w:val="none"/>
          <w:lang w:val="zh-CN"/>
        </w:rPr>
      </w:pPr>
      <w:r>
        <w:rPr>
          <w:rFonts w:ascii="宋体" w:hAnsi="宋体" w:cs="宋体"/>
          <w:bCs/>
          <w:sz w:val="28"/>
          <w:szCs w:val="28"/>
          <w:highlight w:val="none"/>
          <w:lang w:val="zh-CN"/>
        </w:rPr>
        <w:t xml:space="preserve">   </w:t>
      </w:r>
      <w:r>
        <w:rPr>
          <w:rFonts w:hint="eastAsia" w:ascii="宋体" w:hAnsi="宋体" w:cs="宋体"/>
          <w:bCs/>
          <w:sz w:val="28"/>
          <w:szCs w:val="28"/>
          <w:highlight w:val="none"/>
          <w:lang w:val="zh-CN"/>
        </w:rPr>
        <w:t xml:space="preserve"> </w:t>
      </w:r>
      <w:r>
        <w:rPr>
          <w:rFonts w:ascii="宋体" w:hAnsi="宋体" w:cs="宋体"/>
          <w:bCs/>
          <w:sz w:val="28"/>
          <w:szCs w:val="28"/>
          <w:highlight w:val="none"/>
          <w:lang w:val="zh-CN"/>
        </w:rPr>
        <w:t xml:space="preserve">     </w:t>
      </w:r>
      <w:r>
        <w:rPr>
          <w:rFonts w:hint="eastAsia" w:ascii="宋体" w:hAnsi="宋体" w:cs="宋体"/>
          <w:bCs/>
          <w:sz w:val="28"/>
          <w:szCs w:val="28"/>
          <w:highlight w:val="none"/>
          <w:lang w:val="zh-CN"/>
        </w:rPr>
        <w:t>报价供应商全称：（盖章）</w:t>
      </w:r>
    </w:p>
    <w:p w14:paraId="77E956E0">
      <w:pPr>
        <w:spacing w:line="500" w:lineRule="exact"/>
        <w:ind w:firstLine="560" w:firstLineChars="200"/>
        <w:jc w:val="center"/>
        <w:rPr>
          <w:rFonts w:ascii="宋体" w:hAnsi="宋体" w:cs="宋体"/>
          <w:bCs/>
          <w:sz w:val="28"/>
          <w:szCs w:val="28"/>
          <w:highlight w:val="none"/>
          <w:lang w:val="zh-CN"/>
        </w:rPr>
      </w:pPr>
      <w:r>
        <w:rPr>
          <w:rFonts w:hint="eastAsia" w:ascii="宋体" w:hAnsi="宋体" w:cs="宋体"/>
          <w:bCs/>
          <w:sz w:val="28"/>
          <w:szCs w:val="28"/>
          <w:highlight w:val="none"/>
          <w:lang w:val="zh-CN"/>
        </w:rPr>
        <w:t xml:space="preserve">              法定代表人（或授权代表）：（签字）</w:t>
      </w:r>
    </w:p>
    <w:p w14:paraId="59D91793">
      <w:pPr>
        <w:spacing w:line="560" w:lineRule="exact"/>
        <w:ind w:firstLine="560" w:firstLineChars="200"/>
        <w:rPr>
          <w:rFonts w:ascii="宋体" w:hAnsi="宋体" w:cs="宋体"/>
          <w:bCs/>
          <w:sz w:val="28"/>
          <w:szCs w:val="28"/>
          <w:highlight w:val="none"/>
          <w:lang w:val="zh-CN"/>
        </w:rPr>
      </w:pPr>
      <w:r>
        <w:rPr>
          <w:rFonts w:hint="eastAsia" w:ascii="宋体" w:hAnsi="宋体" w:cs="宋体"/>
          <w:bCs/>
          <w:sz w:val="28"/>
          <w:szCs w:val="28"/>
          <w:highlight w:val="none"/>
          <w:lang w:val="zh-CN"/>
        </w:rPr>
        <w:t xml:space="preserve">                                        </w:t>
      </w:r>
      <w:r>
        <w:rPr>
          <w:rFonts w:hint="eastAsia" w:ascii="宋体" w:hAnsi="宋体" w:cs="宋体"/>
          <w:bCs/>
          <w:sz w:val="28"/>
          <w:szCs w:val="28"/>
          <w:highlight w:val="none"/>
          <w:u w:val="single"/>
        </w:rPr>
        <w:t xml:space="preserve">   </w:t>
      </w:r>
      <w:r>
        <w:rPr>
          <w:rFonts w:hint="eastAsia" w:ascii="宋体" w:hAnsi="宋体" w:cs="宋体"/>
          <w:bCs/>
          <w:sz w:val="28"/>
          <w:szCs w:val="28"/>
          <w:highlight w:val="none"/>
        </w:rPr>
        <w:t>年</w:t>
      </w:r>
      <w:r>
        <w:rPr>
          <w:rFonts w:hint="eastAsia" w:ascii="宋体" w:hAnsi="宋体" w:cs="宋体"/>
          <w:bCs/>
          <w:sz w:val="28"/>
          <w:szCs w:val="28"/>
          <w:highlight w:val="none"/>
          <w:u w:val="single"/>
        </w:rPr>
        <w:t xml:space="preserve">   </w:t>
      </w:r>
      <w:r>
        <w:rPr>
          <w:rFonts w:hint="eastAsia" w:ascii="宋体" w:hAnsi="宋体" w:cs="宋体"/>
          <w:bCs/>
          <w:sz w:val="28"/>
          <w:szCs w:val="28"/>
          <w:highlight w:val="none"/>
        </w:rPr>
        <w:t>月</w:t>
      </w:r>
      <w:r>
        <w:rPr>
          <w:rFonts w:hint="eastAsia" w:ascii="宋体" w:hAnsi="宋体" w:cs="宋体"/>
          <w:bCs/>
          <w:sz w:val="28"/>
          <w:szCs w:val="28"/>
          <w:highlight w:val="none"/>
          <w:u w:val="single"/>
        </w:rPr>
        <w:t xml:space="preserve">   </w:t>
      </w:r>
      <w:r>
        <w:rPr>
          <w:rFonts w:hint="eastAsia" w:ascii="宋体" w:hAnsi="宋体" w:cs="宋体"/>
          <w:bCs/>
          <w:sz w:val="28"/>
          <w:szCs w:val="28"/>
          <w:highlight w:val="none"/>
        </w:rPr>
        <w:t>日</w:t>
      </w:r>
    </w:p>
    <w:p w14:paraId="0F30F0D5">
      <w:pPr>
        <w:pStyle w:val="6"/>
        <w:spacing w:before="120" w:beforeLines="50" w:after="120" w:afterLines="50" w:line="560" w:lineRule="exact"/>
        <w:rPr>
          <w:rFonts w:ascii="宋体" w:hAnsi="宋体"/>
          <w:b w:val="0"/>
          <w:highlight w:val="none"/>
        </w:rPr>
      </w:pPr>
      <w:r>
        <w:rPr>
          <w:b w:val="0"/>
          <w:highlight w:val="none"/>
          <w:lang w:val="zh-CN"/>
        </w:rPr>
        <w:br w:type="page"/>
      </w:r>
      <w:bookmarkStart w:id="612" w:name="_Toc2718"/>
      <w:bookmarkStart w:id="613" w:name="_Toc18444"/>
      <w:bookmarkStart w:id="614" w:name="_Toc1860"/>
      <w:bookmarkStart w:id="615" w:name="_Toc17366"/>
      <w:bookmarkStart w:id="616" w:name="_Toc112768467"/>
      <w:bookmarkStart w:id="617" w:name="_Toc3905"/>
      <w:bookmarkStart w:id="618" w:name="_Toc4327"/>
      <w:bookmarkStart w:id="619" w:name="_Toc7432"/>
      <w:bookmarkStart w:id="620" w:name="_Toc19235"/>
      <w:bookmarkStart w:id="621" w:name="_Toc31085"/>
      <w:bookmarkStart w:id="622" w:name="_Toc25557"/>
      <w:bookmarkStart w:id="623" w:name="_Toc112768466"/>
      <w:r>
        <w:rPr>
          <w:rFonts w:hint="eastAsia"/>
          <w:b w:val="0"/>
          <w:highlight w:val="none"/>
        </w:rPr>
        <w:t>附件</w:t>
      </w:r>
      <w:r>
        <w:rPr>
          <w:b w:val="0"/>
          <w:highlight w:val="none"/>
        </w:rPr>
        <w:t>2-5</w:t>
      </w:r>
      <w:r>
        <w:rPr>
          <w:rFonts w:hint="eastAsia"/>
          <w:b w:val="0"/>
          <w:highlight w:val="none"/>
        </w:rPr>
        <w:t>商务条款响应偏离表</w:t>
      </w:r>
      <w:bookmarkEnd w:id="612"/>
      <w:bookmarkEnd w:id="613"/>
      <w:bookmarkEnd w:id="614"/>
      <w:bookmarkEnd w:id="615"/>
      <w:bookmarkEnd w:id="616"/>
      <w:bookmarkEnd w:id="617"/>
    </w:p>
    <w:p w14:paraId="5CFBAB47">
      <w:pPr>
        <w:spacing w:before="120" w:beforeLines="50" w:after="120" w:afterLines="50" w:line="560" w:lineRule="exact"/>
        <w:jc w:val="center"/>
        <w:rPr>
          <w:rFonts w:ascii="黑体" w:hAnsi="黑体" w:eastAsia="黑体"/>
          <w:bCs/>
          <w:sz w:val="36"/>
          <w:szCs w:val="36"/>
          <w:highlight w:val="none"/>
          <w:lang w:val="zh-CN"/>
        </w:rPr>
      </w:pPr>
      <w:r>
        <w:rPr>
          <w:rFonts w:hint="eastAsia" w:ascii="黑体" w:hAnsi="黑体" w:eastAsia="黑体"/>
          <w:bCs/>
          <w:sz w:val="36"/>
          <w:szCs w:val="36"/>
          <w:highlight w:val="none"/>
          <w:lang w:val="zh-CN"/>
        </w:rPr>
        <w:t>商务条款响应偏离</w:t>
      </w:r>
      <w:r>
        <w:rPr>
          <w:rFonts w:ascii="黑体" w:hAnsi="黑体" w:eastAsia="黑体"/>
          <w:bCs/>
          <w:sz w:val="36"/>
          <w:szCs w:val="36"/>
          <w:highlight w:val="none"/>
          <w:lang w:val="zh-CN"/>
        </w:rPr>
        <w:t>表</w:t>
      </w:r>
    </w:p>
    <w:p w14:paraId="5FC8E2C3">
      <w:pPr>
        <w:spacing w:line="560" w:lineRule="exact"/>
        <w:jc w:val="left"/>
        <w:rPr>
          <w:bCs/>
          <w:sz w:val="28"/>
          <w:szCs w:val="28"/>
          <w:highlight w:val="none"/>
        </w:rPr>
      </w:pPr>
      <w:r>
        <w:rPr>
          <w:rFonts w:hint="eastAsia"/>
          <w:bCs/>
          <w:sz w:val="28"/>
          <w:szCs w:val="28"/>
          <w:highlight w:val="none"/>
        </w:rPr>
        <w:t>项目名称：</w:t>
      </w:r>
      <w:r>
        <w:rPr>
          <w:bCs/>
          <w:sz w:val="28"/>
          <w:szCs w:val="28"/>
          <w:highlight w:val="none"/>
          <w:u w:val="single"/>
        </w:rPr>
        <w:t xml:space="preserve">            </w:t>
      </w:r>
      <w:r>
        <w:rPr>
          <w:rFonts w:hint="eastAsia"/>
          <w:bCs/>
          <w:sz w:val="28"/>
          <w:szCs w:val="28"/>
          <w:highlight w:val="none"/>
        </w:rPr>
        <w:t xml:space="preserve">    项目编号：</w:t>
      </w:r>
      <w:r>
        <w:rPr>
          <w:bCs/>
          <w:sz w:val="28"/>
          <w:szCs w:val="28"/>
          <w:highlight w:val="none"/>
          <w:u w:val="single"/>
        </w:rPr>
        <w:t xml:space="preserve">          </w:t>
      </w:r>
      <w:r>
        <w:rPr>
          <w:rFonts w:hint="eastAsia"/>
          <w:bCs/>
          <w:sz w:val="28"/>
          <w:szCs w:val="28"/>
          <w:highlight w:val="none"/>
        </w:rPr>
        <w:t xml:space="preserve">   包号：</w:t>
      </w:r>
      <w:r>
        <w:rPr>
          <w:bCs/>
          <w:sz w:val="28"/>
          <w:szCs w:val="28"/>
          <w:highlight w:val="none"/>
          <w:u w:val="single"/>
        </w:rPr>
        <w:t xml:space="preserve">          </w:t>
      </w:r>
    </w:p>
    <w:tbl>
      <w:tblPr>
        <w:tblStyle w:val="42"/>
        <w:tblW w:w="9356"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9"/>
        <w:gridCol w:w="1276"/>
        <w:gridCol w:w="1701"/>
        <w:gridCol w:w="1276"/>
        <w:gridCol w:w="1134"/>
        <w:gridCol w:w="2171"/>
        <w:gridCol w:w="1089"/>
      </w:tblGrid>
      <w:tr w14:paraId="25872A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8" w:hRule="atLeast"/>
        </w:trPr>
        <w:tc>
          <w:tcPr>
            <w:tcW w:w="709" w:type="dxa"/>
            <w:tcBorders>
              <w:top w:val="single" w:color="auto" w:sz="4" w:space="0"/>
              <w:left w:val="single" w:color="auto" w:sz="4" w:space="0"/>
              <w:right w:val="single" w:color="auto" w:sz="4" w:space="0"/>
            </w:tcBorders>
            <w:vAlign w:val="center"/>
          </w:tcPr>
          <w:p w14:paraId="2E664B7E">
            <w:pPr>
              <w:widowControl/>
              <w:jc w:val="center"/>
              <w:rPr>
                <w:rFonts w:ascii="宋体" w:hAnsi="宋体" w:cs="宋体"/>
                <w:bCs/>
                <w:sz w:val="24"/>
                <w:highlight w:val="none"/>
              </w:rPr>
            </w:pPr>
            <w:r>
              <w:rPr>
                <w:rFonts w:hint="eastAsia" w:ascii="宋体" w:hAnsi="宋体" w:cs="宋体"/>
                <w:bCs/>
                <w:sz w:val="24"/>
                <w:highlight w:val="none"/>
              </w:rPr>
              <w:t>序号</w:t>
            </w:r>
          </w:p>
        </w:tc>
        <w:tc>
          <w:tcPr>
            <w:tcW w:w="1276" w:type="dxa"/>
            <w:tcBorders>
              <w:top w:val="single" w:color="auto" w:sz="4" w:space="0"/>
              <w:left w:val="single" w:color="auto" w:sz="4" w:space="0"/>
              <w:right w:val="single" w:color="auto" w:sz="4" w:space="0"/>
            </w:tcBorders>
            <w:vAlign w:val="center"/>
          </w:tcPr>
          <w:p w14:paraId="060ECB6B">
            <w:pPr>
              <w:widowControl/>
              <w:jc w:val="center"/>
              <w:rPr>
                <w:rFonts w:ascii="宋体" w:hAnsi="宋体" w:cs="宋体"/>
                <w:bCs/>
                <w:sz w:val="24"/>
                <w:highlight w:val="none"/>
              </w:rPr>
            </w:pPr>
            <w:r>
              <w:rPr>
                <w:rFonts w:hint="eastAsia" w:ascii="宋体" w:hAnsi="宋体" w:cs="宋体"/>
                <w:bCs/>
                <w:sz w:val="24"/>
                <w:highlight w:val="none"/>
              </w:rPr>
              <w:t>评审项目</w:t>
            </w:r>
          </w:p>
        </w:tc>
        <w:tc>
          <w:tcPr>
            <w:tcW w:w="1701" w:type="dxa"/>
            <w:tcBorders>
              <w:top w:val="single" w:color="auto" w:sz="4" w:space="0"/>
              <w:left w:val="single" w:color="auto" w:sz="4" w:space="0"/>
              <w:right w:val="single" w:color="auto" w:sz="4" w:space="0"/>
            </w:tcBorders>
            <w:vAlign w:val="center"/>
          </w:tcPr>
          <w:p w14:paraId="2F0B528B">
            <w:pPr>
              <w:widowControl/>
              <w:jc w:val="center"/>
              <w:rPr>
                <w:rFonts w:ascii="宋体" w:hAnsi="宋体" w:cs="宋体"/>
                <w:bCs/>
                <w:sz w:val="24"/>
                <w:highlight w:val="none"/>
              </w:rPr>
            </w:pPr>
            <w:r>
              <w:rPr>
                <w:rFonts w:hint="eastAsia" w:ascii="宋体" w:hAnsi="宋体" w:cs="宋体"/>
                <w:bCs/>
                <w:sz w:val="24"/>
                <w:highlight w:val="none"/>
              </w:rPr>
              <w:t>商务评审要求</w:t>
            </w:r>
          </w:p>
        </w:tc>
        <w:tc>
          <w:tcPr>
            <w:tcW w:w="1276" w:type="dxa"/>
            <w:tcBorders>
              <w:top w:val="single" w:color="auto" w:sz="4" w:space="0"/>
              <w:left w:val="single" w:color="auto" w:sz="4" w:space="0"/>
              <w:right w:val="single" w:color="auto" w:sz="4" w:space="0"/>
            </w:tcBorders>
            <w:vAlign w:val="center"/>
          </w:tcPr>
          <w:p w14:paraId="1299CAFC">
            <w:pPr>
              <w:widowControl/>
              <w:jc w:val="center"/>
              <w:rPr>
                <w:rFonts w:ascii="宋体" w:hAnsi="宋体" w:cs="宋体"/>
                <w:bCs/>
                <w:sz w:val="24"/>
                <w:highlight w:val="none"/>
              </w:rPr>
            </w:pPr>
            <w:r>
              <w:rPr>
                <w:rFonts w:hint="eastAsia" w:ascii="宋体" w:hAnsi="宋体" w:cs="宋体"/>
                <w:bCs/>
                <w:sz w:val="24"/>
                <w:highlight w:val="none"/>
              </w:rPr>
              <w:t>商务响应</w:t>
            </w:r>
          </w:p>
        </w:tc>
        <w:tc>
          <w:tcPr>
            <w:tcW w:w="1134" w:type="dxa"/>
            <w:tcBorders>
              <w:top w:val="single" w:color="auto" w:sz="4" w:space="0"/>
              <w:left w:val="single" w:color="auto" w:sz="4" w:space="0"/>
              <w:right w:val="single" w:color="auto" w:sz="4" w:space="0"/>
            </w:tcBorders>
            <w:vAlign w:val="center"/>
          </w:tcPr>
          <w:p w14:paraId="49BEFCCC">
            <w:pPr>
              <w:widowControl/>
              <w:jc w:val="center"/>
              <w:rPr>
                <w:rFonts w:ascii="宋体" w:hAnsi="宋体" w:cs="宋体"/>
                <w:bCs/>
                <w:sz w:val="24"/>
                <w:highlight w:val="none"/>
              </w:rPr>
            </w:pPr>
            <w:r>
              <w:rPr>
                <w:rFonts w:hint="eastAsia" w:ascii="宋体" w:hAnsi="宋体" w:cs="宋体"/>
                <w:bCs/>
                <w:sz w:val="24"/>
                <w:highlight w:val="none"/>
              </w:rPr>
              <w:t>偏离度</w:t>
            </w:r>
          </w:p>
        </w:tc>
        <w:tc>
          <w:tcPr>
            <w:tcW w:w="2171" w:type="dxa"/>
            <w:tcBorders>
              <w:top w:val="single" w:color="auto" w:sz="4" w:space="0"/>
              <w:left w:val="single" w:color="auto" w:sz="4" w:space="0"/>
              <w:right w:val="single" w:color="auto" w:sz="4" w:space="0"/>
            </w:tcBorders>
            <w:vAlign w:val="center"/>
          </w:tcPr>
          <w:p w14:paraId="101FA1EF">
            <w:pPr>
              <w:widowControl/>
              <w:jc w:val="center"/>
              <w:rPr>
                <w:rFonts w:ascii="宋体" w:hAnsi="宋体" w:cs="宋体"/>
                <w:bCs/>
                <w:sz w:val="24"/>
                <w:highlight w:val="none"/>
              </w:rPr>
            </w:pPr>
            <w:r>
              <w:rPr>
                <w:rFonts w:hint="eastAsia"/>
                <w:bCs/>
                <w:sz w:val="24"/>
                <w:highlight w:val="none"/>
              </w:rPr>
              <w:t>文件名称∕页码</w:t>
            </w:r>
          </w:p>
        </w:tc>
        <w:tc>
          <w:tcPr>
            <w:tcW w:w="1089" w:type="dxa"/>
            <w:tcBorders>
              <w:top w:val="single" w:color="auto" w:sz="4" w:space="0"/>
              <w:left w:val="single" w:color="auto" w:sz="4" w:space="0"/>
              <w:right w:val="single" w:color="auto" w:sz="4" w:space="0"/>
            </w:tcBorders>
            <w:vAlign w:val="center"/>
          </w:tcPr>
          <w:p w14:paraId="520D578F">
            <w:pPr>
              <w:jc w:val="center"/>
              <w:rPr>
                <w:rFonts w:ascii="宋体" w:hAnsi="宋体" w:cs="宋体"/>
                <w:bCs/>
                <w:sz w:val="24"/>
                <w:highlight w:val="none"/>
              </w:rPr>
            </w:pPr>
            <w:r>
              <w:rPr>
                <w:rFonts w:hint="eastAsia" w:ascii="宋体" w:hAnsi="宋体" w:cs="宋体"/>
                <w:bCs/>
                <w:sz w:val="24"/>
                <w:highlight w:val="none"/>
              </w:rPr>
              <w:t>备注</w:t>
            </w:r>
          </w:p>
        </w:tc>
      </w:tr>
      <w:tr w14:paraId="2CCE65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9" w:hRule="exact"/>
        </w:trPr>
        <w:tc>
          <w:tcPr>
            <w:tcW w:w="709" w:type="dxa"/>
            <w:tcBorders>
              <w:top w:val="single" w:color="auto" w:sz="4" w:space="0"/>
              <w:left w:val="single" w:color="auto" w:sz="4" w:space="0"/>
              <w:bottom w:val="single" w:color="auto" w:sz="4" w:space="0"/>
              <w:right w:val="single" w:color="auto" w:sz="4" w:space="0"/>
            </w:tcBorders>
          </w:tcPr>
          <w:p w14:paraId="239DDE27">
            <w:pPr>
              <w:rPr>
                <w:bCs/>
                <w:sz w:val="24"/>
                <w:highlight w:val="none"/>
              </w:rPr>
            </w:pPr>
          </w:p>
        </w:tc>
        <w:tc>
          <w:tcPr>
            <w:tcW w:w="1276" w:type="dxa"/>
            <w:tcBorders>
              <w:top w:val="single" w:color="auto" w:sz="4" w:space="0"/>
              <w:left w:val="single" w:color="auto" w:sz="4" w:space="0"/>
              <w:bottom w:val="single" w:color="auto" w:sz="4" w:space="0"/>
              <w:right w:val="single" w:color="auto" w:sz="4" w:space="0"/>
            </w:tcBorders>
          </w:tcPr>
          <w:p w14:paraId="4F309BE5">
            <w:pPr>
              <w:rPr>
                <w:bCs/>
                <w:sz w:val="24"/>
                <w:highlight w:val="none"/>
              </w:rPr>
            </w:pPr>
          </w:p>
        </w:tc>
        <w:tc>
          <w:tcPr>
            <w:tcW w:w="1701" w:type="dxa"/>
            <w:tcBorders>
              <w:top w:val="single" w:color="auto" w:sz="4" w:space="0"/>
              <w:left w:val="single" w:color="auto" w:sz="4" w:space="0"/>
              <w:bottom w:val="single" w:color="auto" w:sz="4" w:space="0"/>
              <w:right w:val="single" w:color="auto" w:sz="4" w:space="0"/>
            </w:tcBorders>
          </w:tcPr>
          <w:p w14:paraId="3ECA9E4A">
            <w:pPr>
              <w:rPr>
                <w:bCs/>
                <w:sz w:val="24"/>
                <w:highlight w:val="none"/>
              </w:rPr>
            </w:pPr>
          </w:p>
        </w:tc>
        <w:tc>
          <w:tcPr>
            <w:tcW w:w="1276" w:type="dxa"/>
            <w:tcBorders>
              <w:top w:val="single" w:color="auto" w:sz="4" w:space="0"/>
              <w:left w:val="single" w:color="auto" w:sz="4" w:space="0"/>
              <w:bottom w:val="single" w:color="auto" w:sz="4" w:space="0"/>
              <w:right w:val="single" w:color="auto" w:sz="4" w:space="0"/>
            </w:tcBorders>
          </w:tcPr>
          <w:p w14:paraId="65950B36">
            <w:pPr>
              <w:rPr>
                <w:bCs/>
                <w:sz w:val="24"/>
                <w:highlight w:val="none"/>
              </w:rPr>
            </w:pPr>
          </w:p>
        </w:tc>
        <w:tc>
          <w:tcPr>
            <w:tcW w:w="1134" w:type="dxa"/>
            <w:tcBorders>
              <w:top w:val="single" w:color="auto" w:sz="4" w:space="0"/>
              <w:left w:val="single" w:color="auto" w:sz="4" w:space="0"/>
              <w:bottom w:val="single" w:color="auto" w:sz="4" w:space="0"/>
              <w:right w:val="single" w:color="auto" w:sz="4" w:space="0"/>
            </w:tcBorders>
          </w:tcPr>
          <w:p w14:paraId="408297A5">
            <w:pPr>
              <w:rPr>
                <w:bCs/>
                <w:sz w:val="24"/>
                <w:highlight w:val="none"/>
              </w:rPr>
            </w:pPr>
          </w:p>
        </w:tc>
        <w:tc>
          <w:tcPr>
            <w:tcW w:w="2171" w:type="dxa"/>
            <w:tcBorders>
              <w:top w:val="single" w:color="auto" w:sz="4" w:space="0"/>
              <w:left w:val="single" w:color="auto" w:sz="4" w:space="0"/>
              <w:bottom w:val="single" w:color="auto" w:sz="4" w:space="0"/>
              <w:right w:val="single" w:color="auto" w:sz="4" w:space="0"/>
            </w:tcBorders>
          </w:tcPr>
          <w:p w14:paraId="4EB35F1C">
            <w:pPr>
              <w:rPr>
                <w:bCs/>
                <w:sz w:val="24"/>
                <w:highlight w:val="none"/>
              </w:rPr>
            </w:pPr>
          </w:p>
        </w:tc>
        <w:tc>
          <w:tcPr>
            <w:tcW w:w="1089" w:type="dxa"/>
            <w:tcBorders>
              <w:top w:val="single" w:color="auto" w:sz="4" w:space="0"/>
              <w:left w:val="single" w:color="auto" w:sz="4" w:space="0"/>
              <w:bottom w:val="single" w:color="auto" w:sz="4" w:space="0"/>
              <w:right w:val="single" w:color="auto" w:sz="4" w:space="0"/>
            </w:tcBorders>
          </w:tcPr>
          <w:p w14:paraId="19D47978">
            <w:pPr>
              <w:rPr>
                <w:bCs/>
                <w:sz w:val="24"/>
                <w:highlight w:val="none"/>
              </w:rPr>
            </w:pPr>
          </w:p>
        </w:tc>
      </w:tr>
      <w:tr w14:paraId="1B9DBD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9" w:hRule="exact"/>
        </w:trPr>
        <w:tc>
          <w:tcPr>
            <w:tcW w:w="709" w:type="dxa"/>
            <w:tcBorders>
              <w:top w:val="single" w:color="auto" w:sz="4" w:space="0"/>
              <w:left w:val="single" w:color="auto" w:sz="4" w:space="0"/>
              <w:bottom w:val="single" w:color="auto" w:sz="4" w:space="0"/>
              <w:right w:val="single" w:color="auto" w:sz="4" w:space="0"/>
            </w:tcBorders>
          </w:tcPr>
          <w:p w14:paraId="0EB3E371">
            <w:pPr>
              <w:rPr>
                <w:bCs/>
                <w:sz w:val="24"/>
                <w:highlight w:val="none"/>
              </w:rPr>
            </w:pPr>
          </w:p>
        </w:tc>
        <w:tc>
          <w:tcPr>
            <w:tcW w:w="1276" w:type="dxa"/>
            <w:tcBorders>
              <w:top w:val="single" w:color="auto" w:sz="4" w:space="0"/>
              <w:left w:val="single" w:color="auto" w:sz="4" w:space="0"/>
              <w:bottom w:val="single" w:color="auto" w:sz="4" w:space="0"/>
              <w:right w:val="single" w:color="auto" w:sz="4" w:space="0"/>
            </w:tcBorders>
          </w:tcPr>
          <w:p w14:paraId="52EEBDBD">
            <w:pPr>
              <w:rPr>
                <w:bCs/>
                <w:sz w:val="24"/>
                <w:highlight w:val="none"/>
              </w:rPr>
            </w:pPr>
          </w:p>
        </w:tc>
        <w:tc>
          <w:tcPr>
            <w:tcW w:w="1701" w:type="dxa"/>
            <w:tcBorders>
              <w:top w:val="single" w:color="auto" w:sz="4" w:space="0"/>
              <w:left w:val="single" w:color="auto" w:sz="4" w:space="0"/>
              <w:bottom w:val="single" w:color="auto" w:sz="4" w:space="0"/>
              <w:right w:val="single" w:color="auto" w:sz="4" w:space="0"/>
            </w:tcBorders>
          </w:tcPr>
          <w:p w14:paraId="72560BED">
            <w:pPr>
              <w:rPr>
                <w:bCs/>
                <w:sz w:val="24"/>
                <w:highlight w:val="none"/>
              </w:rPr>
            </w:pPr>
          </w:p>
        </w:tc>
        <w:tc>
          <w:tcPr>
            <w:tcW w:w="1276" w:type="dxa"/>
            <w:tcBorders>
              <w:top w:val="single" w:color="auto" w:sz="4" w:space="0"/>
              <w:left w:val="single" w:color="auto" w:sz="4" w:space="0"/>
              <w:bottom w:val="single" w:color="auto" w:sz="4" w:space="0"/>
              <w:right w:val="single" w:color="auto" w:sz="4" w:space="0"/>
            </w:tcBorders>
          </w:tcPr>
          <w:p w14:paraId="72DBFC36">
            <w:pPr>
              <w:rPr>
                <w:bCs/>
                <w:sz w:val="24"/>
                <w:highlight w:val="none"/>
              </w:rPr>
            </w:pPr>
          </w:p>
        </w:tc>
        <w:tc>
          <w:tcPr>
            <w:tcW w:w="1134" w:type="dxa"/>
            <w:tcBorders>
              <w:top w:val="single" w:color="auto" w:sz="4" w:space="0"/>
              <w:left w:val="single" w:color="auto" w:sz="4" w:space="0"/>
              <w:bottom w:val="single" w:color="auto" w:sz="4" w:space="0"/>
              <w:right w:val="single" w:color="auto" w:sz="4" w:space="0"/>
            </w:tcBorders>
          </w:tcPr>
          <w:p w14:paraId="288515EF">
            <w:pPr>
              <w:rPr>
                <w:bCs/>
                <w:sz w:val="24"/>
                <w:highlight w:val="none"/>
              </w:rPr>
            </w:pPr>
          </w:p>
        </w:tc>
        <w:tc>
          <w:tcPr>
            <w:tcW w:w="2171" w:type="dxa"/>
            <w:tcBorders>
              <w:top w:val="single" w:color="auto" w:sz="4" w:space="0"/>
              <w:left w:val="single" w:color="auto" w:sz="4" w:space="0"/>
              <w:bottom w:val="single" w:color="auto" w:sz="4" w:space="0"/>
              <w:right w:val="single" w:color="auto" w:sz="4" w:space="0"/>
            </w:tcBorders>
          </w:tcPr>
          <w:p w14:paraId="2D8CDDFA">
            <w:pPr>
              <w:rPr>
                <w:bCs/>
                <w:sz w:val="24"/>
                <w:highlight w:val="none"/>
              </w:rPr>
            </w:pPr>
          </w:p>
        </w:tc>
        <w:tc>
          <w:tcPr>
            <w:tcW w:w="1089" w:type="dxa"/>
            <w:tcBorders>
              <w:top w:val="single" w:color="auto" w:sz="4" w:space="0"/>
              <w:left w:val="single" w:color="auto" w:sz="4" w:space="0"/>
              <w:bottom w:val="single" w:color="auto" w:sz="4" w:space="0"/>
              <w:right w:val="single" w:color="auto" w:sz="4" w:space="0"/>
            </w:tcBorders>
          </w:tcPr>
          <w:p w14:paraId="7AD2F0A7">
            <w:pPr>
              <w:rPr>
                <w:bCs/>
                <w:sz w:val="24"/>
                <w:highlight w:val="none"/>
              </w:rPr>
            </w:pPr>
          </w:p>
        </w:tc>
      </w:tr>
      <w:tr w14:paraId="4A95A0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9" w:hRule="exact"/>
        </w:trPr>
        <w:tc>
          <w:tcPr>
            <w:tcW w:w="709" w:type="dxa"/>
            <w:tcBorders>
              <w:top w:val="single" w:color="auto" w:sz="4" w:space="0"/>
              <w:left w:val="single" w:color="auto" w:sz="4" w:space="0"/>
              <w:bottom w:val="single" w:color="auto" w:sz="4" w:space="0"/>
              <w:right w:val="single" w:color="auto" w:sz="4" w:space="0"/>
            </w:tcBorders>
          </w:tcPr>
          <w:p w14:paraId="33493CFA">
            <w:pPr>
              <w:rPr>
                <w:bCs/>
                <w:sz w:val="24"/>
                <w:highlight w:val="none"/>
              </w:rPr>
            </w:pPr>
          </w:p>
        </w:tc>
        <w:tc>
          <w:tcPr>
            <w:tcW w:w="1276" w:type="dxa"/>
            <w:tcBorders>
              <w:top w:val="single" w:color="auto" w:sz="4" w:space="0"/>
              <w:left w:val="single" w:color="auto" w:sz="4" w:space="0"/>
              <w:bottom w:val="single" w:color="auto" w:sz="4" w:space="0"/>
              <w:right w:val="single" w:color="auto" w:sz="4" w:space="0"/>
            </w:tcBorders>
          </w:tcPr>
          <w:p w14:paraId="244CCC92">
            <w:pPr>
              <w:rPr>
                <w:bCs/>
                <w:sz w:val="24"/>
                <w:highlight w:val="none"/>
              </w:rPr>
            </w:pPr>
          </w:p>
        </w:tc>
        <w:tc>
          <w:tcPr>
            <w:tcW w:w="1701" w:type="dxa"/>
            <w:tcBorders>
              <w:top w:val="single" w:color="auto" w:sz="4" w:space="0"/>
              <w:left w:val="single" w:color="auto" w:sz="4" w:space="0"/>
              <w:bottom w:val="single" w:color="auto" w:sz="4" w:space="0"/>
              <w:right w:val="single" w:color="auto" w:sz="4" w:space="0"/>
            </w:tcBorders>
          </w:tcPr>
          <w:p w14:paraId="136EAB15">
            <w:pPr>
              <w:rPr>
                <w:bCs/>
                <w:sz w:val="24"/>
                <w:highlight w:val="none"/>
              </w:rPr>
            </w:pPr>
          </w:p>
        </w:tc>
        <w:tc>
          <w:tcPr>
            <w:tcW w:w="1276" w:type="dxa"/>
            <w:tcBorders>
              <w:top w:val="single" w:color="auto" w:sz="4" w:space="0"/>
              <w:left w:val="single" w:color="auto" w:sz="4" w:space="0"/>
              <w:bottom w:val="single" w:color="auto" w:sz="4" w:space="0"/>
              <w:right w:val="single" w:color="auto" w:sz="4" w:space="0"/>
            </w:tcBorders>
          </w:tcPr>
          <w:p w14:paraId="789DB003">
            <w:pPr>
              <w:rPr>
                <w:bCs/>
                <w:sz w:val="24"/>
                <w:highlight w:val="none"/>
              </w:rPr>
            </w:pPr>
          </w:p>
        </w:tc>
        <w:tc>
          <w:tcPr>
            <w:tcW w:w="1134" w:type="dxa"/>
            <w:tcBorders>
              <w:top w:val="single" w:color="auto" w:sz="4" w:space="0"/>
              <w:left w:val="single" w:color="auto" w:sz="4" w:space="0"/>
              <w:bottom w:val="single" w:color="auto" w:sz="4" w:space="0"/>
              <w:right w:val="single" w:color="auto" w:sz="4" w:space="0"/>
            </w:tcBorders>
          </w:tcPr>
          <w:p w14:paraId="2A8BE02B">
            <w:pPr>
              <w:rPr>
                <w:bCs/>
                <w:sz w:val="24"/>
                <w:highlight w:val="none"/>
              </w:rPr>
            </w:pPr>
          </w:p>
        </w:tc>
        <w:tc>
          <w:tcPr>
            <w:tcW w:w="2171" w:type="dxa"/>
            <w:tcBorders>
              <w:top w:val="single" w:color="auto" w:sz="4" w:space="0"/>
              <w:left w:val="single" w:color="auto" w:sz="4" w:space="0"/>
              <w:bottom w:val="single" w:color="auto" w:sz="4" w:space="0"/>
              <w:right w:val="single" w:color="auto" w:sz="4" w:space="0"/>
            </w:tcBorders>
          </w:tcPr>
          <w:p w14:paraId="142DECBB">
            <w:pPr>
              <w:rPr>
                <w:bCs/>
                <w:sz w:val="24"/>
                <w:highlight w:val="none"/>
              </w:rPr>
            </w:pPr>
          </w:p>
        </w:tc>
        <w:tc>
          <w:tcPr>
            <w:tcW w:w="1089" w:type="dxa"/>
            <w:tcBorders>
              <w:top w:val="single" w:color="auto" w:sz="4" w:space="0"/>
              <w:left w:val="single" w:color="auto" w:sz="4" w:space="0"/>
              <w:bottom w:val="single" w:color="auto" w:sz="4" w:space="0"/>
              <w:right w:val="single" w:color="auto" w:sz="4" w:space="0"/>
            </w:tcBorders>
          </w:tcPr>
          <w:p w14:paraId="68DA18B7">
            <w:pPr>
              <w:rPr>
                <w:bCs/>
                <w:sz w:val="24"/>
                <w:highlight w:val="none"/>
              </w:rPr>
            </w:pPr>
          </w:p>
        </w:tc>
      </w:tr>
      <w:tr w14:paraId="4E79DC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9" w:hRule="exact"/>
        </w:trPr>
        <w:tc>
          <w:tcPr>
            <w:tcW w:w="709" w:type="dxa"/>
            <w:tcBorders>
              <w:top w:val="single" w:color="auto" w:sz="4" w:space="0"/>
              <w:left w:val="single" w:color="auto" w:sz="4" w:space="0"/>
              <w:bottom w:val="single" w:color="auto" w:sz="4" w:space="0"/>
              <w:right w:val="single" w:color="auto" w:sz="4" w:space="0"/>
            </w:tcBorders>
          </w:tcPr>
          <w:p w14:paraId="3E5C2E07">
            <w:pPr>
              <w:rPr>
                <w:bCs/>
                <w:sz w:val="24"/>
                <w:highlight w:val="none"/>
              </w:rPr>
            </w:pPr>
          </w:p>
        </w:tc>
        <w:tc>
          <w:tcPr>
            <w:tcW w:w="1276" w:type="dxa"/>
            <w:tcBorders>
              <w:top w:val="single" w:color="auto" w:sz="4" w:space="0"/>
              <w:left w:val="single" w:color="auto" w:sz="4" w:space="0"/>
              <w:bottom w:val="single" w:color="auto" w:sz="4" w:space="0"/>
              <w:right w:val="single" w:color="auto" w:sz="4" w:space="0"/>
            </w:tcBorders>
          </w:tcPr>
          <w:p w14:paraId="3E28E1FC">
            <w:pPr>
              <w:rPr>
                <w:bCs/>
                <w:sz w:val="24"/>
                <w:highlight w:val="none"/>
              </w:rPr>
            </w:pPr>
          </w:p>
        </w:tc>
        <w:tc>
          <w:tcPr>
            <w:tcW w:w="1701" w:type="dxa"/>
            <w:tcBorders>
              <w:top w:val="single" w:color="auto" w:sz="4" w:space="0"/>
              <w:left w:val="single" w:color="auto" w:sz="4" w:space="0"/>
              <w:bottom w:val="single" w:color="auto" w:sz="4" w:space="0"/>
              <w:right w:val="single" w:color="auto" w:sz="4" w:space="0"/>
            </w:tcBorders>
          </w:tcPr>
          <w:p w14:paraId="15FFD56D">
            <w:pPr>
              <w:rPr>
                <w:bCs/>
                <w:sz w:val="24"/>
                <w:highlight w:val="none"/>
              </w:rPr>
            </w:pPr>
          </w:p>
        </w:tc>
        <w:tc>
          <w:tcPr>
            <w:tcW w:w="1276" w:type="dxa"/>
            <w:tcBorders>
              <w:top w:val="single" w:color="auto" w:sz="4" w:space="0"/>
              <w:left w:val="single" w:color="auto" w:sz="4" w:space="0"/>
              <w:bottom w:val="single" w:color="auto" w:sz="4" w:space="0"/>
              <w:right w:val="single" w:color="auto" w:sz="4" w:space="0"/>
            </w:tcBorders>
          </w:tcPr>
          <w:p w14:paraId="7C65E742">
            <w:pPr>
              <w:rPr>
                <w:bCs/>
                <w:sz w:val="24"/>
                <w:highlight w:val="none"/>
              </w:rPr>
            </w:pPr>
          </w:p>
        </w:tc>
        <w:tc>
          <w:tcPr>
            <w:tcW w:w="1134" w:type="dxa"/>
            <w:tcBorders>
              <w:top w:val="single" w:color="auto" w:sz="4" w:space="0"/>
              <w:left w:val="single" w:color="auto" w:sz="4" w:space="0"/>
              <w:bottom w:val="single" w:color="auto" w:sz="4" w:space="0"/>
              <w:right w:val="single" w:color="auto" w:sz="4" w:space="0"/>
            </w:tcBorders>
          </w:tcPr>
          <w:p w14:paraId="3E07CF1E">
            <w:pPr>
              <w:rPr>
                <w:bCs/>
                <w:sz w:val="24"/>
                <w:highlight w:val="none"/>
              </w:rPr>
            </w:pPr>
          </w:p>
        </w:tc>
        <w:tc>
          <w:tcPr>
            <w:tcW w:w="2171" w:type="dxa"/>
            <w:tcBorders>
              <w:top w:val="single" w:color="auto" w:sz="4" w:space="0"/>
              <w:left w:val="single" w:color="auto" w:sz="4" w:space="0"/>
              <w:bottom w:val="single" w:color="auto" w:sz="4" w:space="0"/>
              <w:right w:val="single" w:color="auto" w:sz="4" w:space="0"/>
            </w:tcBorders>
          </w:tcPr>
          <w:p w14:paraId="1BCB01D6">
            <w:pPr>
              <w:rPr>
                <w:bCs/>
                <w:sz w:val="24"/>
                <w:highlight w:val="none"/>
              </w:rPr>
            </w:pPr>
          </w:p>
        </w:tc>
        <w:tc>
          <w:tcPr>
            <w:tcW w:w="1089" w:type="dxa"/>
            <w:tcBorders>
              <w:top w:val="single" w:color="auto" w:sz="4" w:space="0"/>
              <w:left w:val="single" w:color="auto" w:sz="4" w:space="0"/>
              <w:bottom w:val="single" w:color="auto" w:sz="4" w:space="0"/>
              <w:right w:val="single" w:color="auto" w:sz="4" w:space="0"/>
            </w:tcBorders>
          </w:tcPr>
          <w:p w14:paraId="0CD21888">
            <w:pPr>
              <w:rPr>
                <w:bCs/>
                <w:sz w:val="24"/>
                <w:highlight w:val="none"/>
              </w:rPr>
            </w:pPr>
          </w:p>
        </w:tc>
      </w:tr>
      <w:tr w14:paraId="28E4E7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9" w:hRule="exact"/>
        </w:trPr>
        <w:tc>
          <w:tcPr>
            <w:tcW w:w="709" w:type="dxa"/>
            <w:tcBorders>
              <w:top w:val="single" w:color="auto" w:sz="4" w:space="0"/>
              <w:left w:val="single" w:color="auto" w:sz="4" w:space="0"/>
              <w:bottom w:val="single" w:color="auto" w:sz="4" w:space="0"/>
              <w:right w:val="single" w:color="auto" w:sz="4" w:space="0"/>
            </w:tcBorders>
          </w:tcPr>
          <w:p w14:paraId="2E73DF12">
            <w:pPr>
              <w:rPr>
                <w:bCs/>
                <w:sz w:val="24"/>
                <w:highlight w:val="none"/>
              </w:rPr>
            </w:pPr>
          </w:p>
        </w:tc>
        <w:tc>
          <w:tcPr>
            <w:tcW w:w="1276" w:type="dxa"/>
            <w:tcBorders>
              <w:top w:val="single" w:color="auto" w:sz="4" w:space="0"/>
              <w:left w:val="single" w:color="auto" w:sz="4" w:space="0"/>
              <w:bottom w:val="single" w:color="auto" w:sz="4" w:space="0"/>
              <w:right w:val="single" w:color="auto" w:sz="4" w:space="0"/>
            </w:tcBorders>
          </w:tcPr>
          <w:p w14:paraId="2AE68D6F">
            <w:pPr>
              <w:rPr>
                <w:bCs/>
                <w:sz w:val="24"/>
                <w:highlight w:val="none"/>
              </w:rPr>
            </w:pPr>
          </w:p>
        </w:tc>
        <w:tc>
          <w:tcPr>
            <w:tcW w:w="1701" w:type="dxa"/>
            <w:tcBorders>
              <w:top w:val="single" w:color="auto" w:sz="4" w:space="0"/>
              <w:left w:val="single" w:color="auto" w:sz="4" w:space="0"/>
              <w:bottom w:val="single" w:color="auto" w:sz="4" w:space="0"/>
              <w:right w:val="single" w:color="auto" w:sz="4" w:space="0"/>
            </w:tcBorders>
          </w:tcPr>
          <w:p w14:paraId="6E0BB506">
            <w:pPr>
              <w:rPr>
                <w:bCs/>
                <w:sz w:val="24"/>
                <w:highlight w:val="none"/>
              </w:rPr>
            </w:pPr>
          </w:p>
        </w:tc>
        <w:tc>
          <w:tcPr>
            <w:tcW w:w="1276" w:type="dxa"/>
            <w:tcBorders>
              <w:top w:val="single" w:color="auto" w:sz="4" w:space="0"/>
              <w:left w:val="single" w:color="auto" w:sz="4" w:space="0"/>
              <w:bottom w:val="single" w:color="auto" w:sz="4" w:space="0"/>
              <w:right w:val="single" w:color="auto" w:sz="4" w:space="0"/>
            </w:tcBorders>
          </w:tcPr>
          <w:p w14:paraId="286D0540">
            <w:pPr>
              <w:rPr>
                <w:bCs/>
                <w:sz w:val="24"/>
                <w:highlight w:val="none"/>
              </w:rPr>
            </w:pPr>
          </w:p>
        </w:tc>
        <w:tc>
          <w:tcPr>
            <w:tcW w:w="1134" w:type="dxa"/>
            <w:tcBorders>
              <w:top w:val="single" w:color="auto" w:sz="4" w:space="0"/>
              <w:left w:val="single" w:color="auto" w:sz="4" w:space="0"/>
              <w:bottom w:val="single" w:color="auto" w:sz="4" w:space="0"/>
              <w:right w:val="single" w:color="auto" w:sz="4" w:space="0"/>
            </w:tcBorders>
          </w:tcPr>
          <w:p w14:paraId="61A0A811">
            <w:pPr>
              <w:rPr>
                <w:bCs/>
                <w:sz w:val="24"/>
                <w:highlight w:val="none"/>
              </w:rPr>
            </w:pPr>
          </w:p>
        </w:tc>
        <w:tc>
          <w:tcPr>
            <w:tcW w:w="2171" w:type="dxa"/>
            <w:tcBorders>
              <w:top w:val="single" w:color="auto" w:sz="4" w:space="0"/>
              <w:left w:val="single" w:color="auto" w:sz="4" w:space="0"/>
              <w:bottom w:val="single" w:color="auto" w:sz="4" w:space="0"/>
              <w:right w:val="single" w:color="auto" w:sz="4" w:space="0"/>
            </w:tcBorders>
          </w:tcPr>
          <w:p w14:paraId="15E6AD01">
            <w:pPr>
              <w:rPr>
                <w:bCs/>
                <w:sz w:val="24"/>
                <w:highlight w:val="none"/>
              </w:rPr>
            </w:pPr>
          </w:p>
        </w:tc>
        <w:tc>
          <w:tcPr>
            <w:tcW w:w="1089" w:type="dxa"/>
            <w:tcBorders>
              <w:top w:val="single" w:color="auto" w:sz="4" w:space="0"/>
              <w:left w:val="single" w:color="auto" w:sz="4" w:space="0"/>
              <w:bottom w:val="single" w:color="auto" w:sz="4" w:space="0"/>
              <w:right w:val="single" w:color="auto" w:sz="4" w:space="0"/>
            </w:tcBorders>
          </w:tcPr>
          <w:p w14:paraId="005A751E">
            <w:pPr>
              <w:rPr>
                <w:bCs/>
                <w:sz w:val="24"/>
                <w:highlight w:val="none"/>
              </w:rPr>
            </w:pPr>
          </w:p>
        </w:tc>
      </w:tr>
      <w:tr w14:paraId="51562A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9" w:hRule="exact"/>
        </w:trPr>
        <w:tc>
          <w:tcPr>
            <w:tcW w:w="709" w:type="dxa"/>
            <w:tcBorders>
              <w:top w:val="single" w:color="auto" w:sz="4" w:space="0"/>
              <w:left w:val="single" w:color="auto" w:sz="4" w:space="0"/>
              <w:bottom w:val="single" w:color="auto" w:sz="4" w:space="0"/>
              <w:right w:val="single" w:color="auto" w:sz="4" w:space="0"/>
            </w:tcBorders>
          </w:tcPr>
          <w:p w14:paraId="665D6521">
            <w:pPr>
              <w:rPr>
                <w:bCs/>
                <w:sz w:val="24"/>
                <w:highlight w:val="none"/>
              </w:rPr>
            </w:pPr>
          </w:p>
        </w:tc>
        <w:tc>
          <w:tcPr>
            <w:tcW w:w="1276" w:type="dxa"/>
            <w:tcBorders>
              <w:top w:val="single" w:color="auto" w:sz="4" w:space="0"/>
              <w:left w:val="single" w:color="auto" w:sz="4" w:space="0"/>
              <w:bottom w:val="single" w:color="auto" w:sz="4" w:space="0"/>
              <w:right w:val="single" w:color="auto" w:sz="4" w:space="0"/>
            </w:tcBorders>
          </w:tcPr>
          <w:p w14:paraId="4E8BD8F4">
            <w:pPr>
              <w:rPr>
                <w:bCs/>
                <w:sz w:val="24"/>
                <w:highlight w:val="none"/>
              </w:rPr>
            </w:pPr>
          </w:p>
        </w:tc>
        <w:tc>
          <w:tcPr>
            <w:tcW w:w="1701" w:type="dxa"/>
            <w:tcBorders>
              <w:top w:val="single" w:color="auto" w:sz="4" w:space="0"/>
              <w:left w:val="single" w:color="auto" w:sz="4" w:space="0"/>
              <w:bottom w:val="single" w:color="auto" w:sz="4" w:space="0"/>
              <w:right w:val="single" w:color="auto" w:sz="4" w:space="0"/>
            </w:tcBorders>
          </w:tcPr>
          <w:p w14:paraId="3E7BE3E3">
            <w:pPr>
              <w:rPr>
                <w:bCs/>
                <w:sz w:val="24"/>
                <w:highlight w:val="none"/>
              </w:rPr>
            </w:pPr>
          </w:p>
        </w:tc>
        <w:tc>
          <w:tcPr>
            <w:tcW w:w="1276" w:type="dxa"/>
            <w:tcBorders>
              <w:top w:val="single" w:color="auto" w:sz="4" w:space="0"/>
              <w:left w:val="single" w:color="auto" w:sz="4" w:space="0"/>
              <w:bottom w:val="single" w:color="auto" w:sz="4" w:space="0"/>
              <w:right w:val="single" w:color="auto" w:sz="4" w:space="0"/>
            </w:tcBorders>
          </w:tcPr>
          <w:p w14:paraId="7CCF74B5">
            <w:pPr>
              <w:rPr>
                <w:bCs/>
                <w:sz w:val="24"/>
                <w:highlight w:val="none"/>
              </w:rPr>
            </w:pPr>
          </w:p>
        </w:tc>
        <w:tc>
          <w:tcPr>
            <w:tcW w:w="1134" w:type="dxa"/>
            <w:tcBorders>
              <w:top w:val="single" w:color="auto" w:sz="4" w:space="0"/>
              <w:left w:val="single" w:color="auto" w:sz="4" w:space="0"/>
              <w:bottom w:val="single" w:color="auto" w:sz="4" w:space="0"/>
              <w:right w:val="single" w:color="auto" w:sz="4" w:space="0"/>
            </w:tcBorders>
          </w:tcPr>
          <w:p w14:paraId="3A324C4E">
            <w:pPr>
              <w:rPr>
                <w:bCs/>
                <w:sz w:val="24"/>
                <w:highlight w:val="none"/>
              </w:rPr>
            </w:pPr>
          </w:p>
        </w:tc>
        <w:tc>
          <w:tcPr>
            <w:tcW w:w="2171" w:type="dxa"/>
            <w:tcBorders>
              <w:top w:val="single" w:color="auto" w:sz="4" w:space="0"/>
              <w:left w:val="single" w:color="auto" w:sz="4" w:space="0"/>
              <w:bottom w:val="single" w:color="auto" w:sz="4" w:space="0"/>
              <w:right w:val="single" w:color="auto" w:sz="4" w:space="0"/>
            </w:tcBorders>
          </w:tcPr>
          <w:p w14:paraId="0157AA26">
            <w:pPr>
              <w:rPr>
                <w:bCs/>
                <w:sz w:val="24"/>
                <w:highlight w:val="none"/>
              </w:rPr>
            </w:pPr>
          </w:p>
        </w:tc>
        <w:tc>
          <w:tcPr>
            <w:tcW w:w="1089" w:type="dxa"/>
            <w:tcBorders>
              <w:top w:val="single" w:color="auto" w:sz="4" w:space="0"/>
              <w:left w:val="single" w:color="auto" w:sz="4" w:space="0"/>
              <w:bottom w:val="single" w:color="auto" w:sz="4" w:space="0"/>
              <w:right w:val="single" w:color="auto" w:sz="4" w:space="0"/>
            </w:tcBorders>
          </w:tcPr>
          <w:p w14:paraId="2BC0ABC8">
            <w:pPr>
              <w:rPr>
                <w:bCs/>
                <w:sz w:val="24"/>
                <w:highlight w:val="none"/>
              </w:rPr>
            </w:pPr>
          </w:p>
        </w:tc>
      </w:tr>
      <w:tr w14:paraId="7149B7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77" w:hRule="exact"/>
        </w:trPr>
        <w:tc>
          <w:tcPr>
            <w:tcW w:w="9356" w:type="dxa"/>
            <w:gridSpan w:val="7"/>
            <w:tcBorders>
              <w:top w:val="single" w:color="auto" w:sz="4" w:space="0"/>
              <w:left w:val="single" w:color="auto" w:sz="4" w:space="0"/>
              <w:bottom w:val="single" w:color="auto" w:sz="4" w:space="0"/>
              <w:right w:val="single" w:color="auto" w:sz="4" w:space="0"/>
            </w:tcBorders>
            <w:vAlign w:val="center"/>
          </w:tcPr>
          <w:p w14:paraId="2502AC2F">
            <w:pPr>
              <w:spacing w:before="120" w:beforeLines="50" w:line="276" w:lineRule="auto"/>
              <w:rPr>
                <w:bCs/>
                <w:sz w:val="24"/>
                <w:highlight w:val="none"/>
              </w:rPr>
            </w:pPr>
            <w:bookmarkStart w:id="624" w:name="_Hlk127259178"/>
            <w:r>
              <w:rPr>
                <w:rFonts w:hint="eastAsia"/>
                <w:sz w:val="24"/>
                <w:highlight w:val="none"/>
              </w:rPr>
              <w:t>说明：</w:t>
            </w:r>
            <w:r>
              <w:rPr>
                <w:rFonts w:hint="eastAsia"/>
                <w:bCs/>
                <w:sz w:val="24"/>
                <w:highlight w:val="none"/>
              </w:rPr>
              <w:t>报价供应商应当对照专用文件规定的商务要求，逐条如实填写所投物资的具体响应，注明无偏离、正偏离或负偏离，并在备注中注明偏离的具体内容。负偏离应当如实注明。本表中带“★”号条款出现负偏离，视为无效报价。</w:t>
            </w:r>
            <w:bookmarkEnd w:id="624"/>
          </w:p>
        </w:tc>
      </w:tr>
    </w:tbl>
    <w:p w14:paraId="50DD004D">
      <w:pPr>
        <w:ind w:firstLine="480" w:firstLineChars="200"/>
        <w:rPr>
          <w:rFonts w:ascii="宋体" w:hAnsi="宋体"/>
          <w:bCs/>
          <w:sz w:val="24"/>
          <w:highlight w:val="none"/>
        </w:rPr>
      </w:pPr>
    </w:p>
    <w:p w14:paraId="7BFEFB9D">
      <w:pPr>
        <w:spacing w:line="560" w:lineRule="exact"/>
        <w:rPr>
          <w:bCs/>
          <w:sz w:val="24"/>
          <w:highlight w:val="none"/>
        </w:rPr>
      </w:pPr>
    </w:p>
    <w:p w14:paraId="0836AA9D">
      <w:pPr>
        <w:spacing w:line="560" w:lineRule="exact"/>
        <w:ind w:firstLine="4314" w:firstLineChars="1541"/>
        <w:rPr>
          <w:bCs/>
          <w:sz w:val="28"/>
          <w:szCs w:val="28"/>
          <w:highlight w:val="none"/>
        </w:rPr>
      </w:pPr>
      <w:r>
        <w:rPr>
          <w:rFonts w:hint="eastAsia"/>
          <w:bCs/>
          <w:sz w:val="28"/>
          <w:szCs w:val="28"/>
          <w:highlight w:val="none"/>
        </w:rPr>
        <w:t>报价供应商全称：（盖章）</w:t>
      </w:r>
    </w:p>
    <w:p w14:paraId="617F6D04">
      <w:pPr>
        <w:spacing w:line="560" w:lineRule="exact"/>
        <w:ind w:left="3219" w:leftChars="1533" w:firstLine="1120" w:firstLineChars="400"/>
        <w:rPr>
          <w:bCs/>
          <w:sz w:val="28"/>
          <w:szCs w:val="28"/>
          <w:highlight w:val="none"/>
        </w:rPr>
      </w:pPr>
      <w:r>
        <w:rPr>
          <w:rFonts w:hint="eastAsia"/>
          <w:bCs/>
          <w:sz w:val="28"/>
          <w:szCs w:val="28"/>
          <w:highlight w:val="none"/>
        </w:rPr>
        <w:t>法定代表人（或授权代表）：（签字）</w:t>
      </w:r>
    </w:p>
    <w:p w14:paraId="3C423253">
      <w:pPr>
        <w:spacing w:line="560" w:lineRule="exact"/>
        <w:ind w:firstLine="6440" w:firstLineChars="2300"/>
        <w:rPr>
          <w:bCs/>
          <w:sz w:val="28"/>
          <w:szCs w:val="28"/>
          <w:highlight w:val="none"/>
        </w:rPr>
      </w:pPr>
      <w:r>
        <w:rPr>
          <w:bCs/>
          <w:sz w:val="28"/>
          <w:szCs w:val="28"/>
          <w:highlight w:val="none"/>
          <w:u w:val="single"/>
        </w:rPr>
        <w:t xml:space="preserve">   </w:t>
      </w:r>
      <w:r>
        <w:rPr>
          <w:rFonts w:hint="eastAsia"/>
          <w:bCs/>
          <w:sz w:val="28"/>
          <w:szCs w:val="28"/>
          <w:highlight w:val="none"/>
        </w:rPr>
        <w:t>年</w:t>
      </w:r>
      <w:r>
        <w:rPr>
          <w:bCs/>
          <w:sz w:val="28"/>
          <w:szCs w:val="28"/>
          <w:highlight w:val="none"/>
          <w:u w:val="single"/>
        </w:rPr>
        <w:t xml:space="preserve">   </w:t>
      </w:r>
      <w:r>
        <w:rPr>
          <w:rFonts w:hint="eastAsia"/>
          <w:bCs/>
          <w:sz w:val="28"/>
          <w:szCs w:val="28"/>
          <w:highlight w:val="none"/>
        </w:rPr>
        <w:t>月</w:t>
      </w:r>
      <w:r>
        <w:rPr>
          <w:bCs/>
          <w:sz w:val="28"/>
          <w:szCs w:val="28"/>
          <w:highlight w:val="none"/>
          <w:u w:val="single"/>
        </w:rPr>
        <w:t xml:space="preserve">   </w:t>
      </w:r>
      <w:r>
        <w:rPr>
          <w:rFonts w:hint="eastAsia"/>
          <w:bCs/>
          <w:sz w:val="28"/>
          <w:szCs w:val="28"/>
          <w:highlight w:val="none"/>
        </w:rPr>
        <w:t>日</w:t>
      </w:r>
    </w:p>
    <w:p w14:paraId="476233BD">
      <w:pPr>
        <w:ind w:firstLine="560" w:firstLineChars="200"/>
        <w:rPr>
          <w:bCs/>
          <w:sz w:val="28"/>
          <w:szCs w:val="28"/>
          <w:highlight w:val="none"/>
        </w:rPr>
      </w:pPr>
      <w:r>
        <w:rPr>
          <w:rFonts w:hint="eastAsia"/>
          <w:bCs/>
          <w:sz w:val="28"/>
          <w:szCs w:val="28"/>
          <w:highlight w:val="none"/>
        </w:rPr>
        <w:br w:type="page"/>
      </w:r>
    </w:p>
    <w:p w14:paraId="0A2FA317">
      <w:pPr>
        <w:pStyle w:val="6"/>
        <w:spacing w:before="120" w:beforeLines="50" w:after="120" w:afterLines="50" w:line="560" w:lineRule="exact"/>
        <w:rPr>
          <w:b w:val="0"/>
          <w:highlight w:val="none"/>
        </w:rPr>
      </w:pPr>
      <w:r>
        <w:rPr>
          <w:rFonts w:hint="eastAsia"/>
          <w:b w:val="0"/>
          <w:highlight w:val="none"/>
        </w:rPr>
        <w:t>附件</w:t>
      </w:r>
      <w:r>
        <w:rPr>
          <w:b w:val="0"/>
          <w:highlight w:val="none"/>
        </w:rPr>
        <w:t xml:space="preserve">2-6 </w:t>
      </w:r>
      <w:r>
        <w:rPr>
          <w:rFonts w:hint="eastAsia"/>
          <w:b w:val="0"/>
          <w:highlight w:val="none"/>
        </w:rPr>
        <w:t>技术指标参数响应偏离表</w:t>
      </w:r>
      <w:bookmarkEnd w:id="618"/>
      <w:bookmarkEnd w:id="619"/>
      <w:bookmarkEnd w:id="620"/>
      <w:bookmarkEnd w:id="621"/>
      <w:bookmarkEnd w:id="622"/>
      <w:bookmarkEnd w:id="623"/>
    </w:p>
    <w:p w14:paraId="3B5FEB76">
      <w:pPr>
        <w:spacing w:before="120" w:beforeLines="50" w:after="120" w:afterLines="50" w:line="560" w:lineRule="exact"/>
        <w:jc w:val="center"/>
        <w:rPr>
          <w:rFonts w:ascii="黑体" w:hAnsi="黑体" w:eastAsia="黑体" w:cs="黑体"/>
          <w:bCs/>
          <w:sz w:val="36"/>
          <w:szCs w:val="36"/>
          <w:highlight w:val="none"/>
          <w:lang w:val="zh-CN"/>
        </w:rPr>
      </w:pPr>
      <w:r>
        <w:rPr>
          <w:rFonts w:hint="eastAsia" w:ascii="黑体" w:hAnsi="黑体" w:eastAsia="黑体" w:cs="黑体"/>
          <w:bCs/>
          <w:sz w:val="36"/>
          <w:szCs w:val="36"/>
          <w:highlight w:val="none"/>
          <w:lang w:val="zh-CN"/>
        </w:rPr>
        <w:t>技术指标参数响应偏离表</w:t>
      </w:r>
    </w:p>
    <w:p w14:paraId="4706BA1C">
      <w:pPr>
        <w:rPr>
          <w:bCs/>
          <w:sz w:val="28"/>
          <w:szCs w:val="28"/>
          <w:highlight w:val="none"/>
        </w:rPr>
      </w:pPr>
      <w:r>
        <w:rPr>
          <w:rFonts w:hint="eastAsia"/>
          <w:bCs/>
          <w:sz w:val="28"/>
          <w:szCs w:val="28"/>
          <w:highlight w:val="none"/>
        </w:rPr>
        <w:t>项目名称：</w:t>
      </w:r>
      <w:r>
        <w:rPr>
          <w:rFonts w:ascii="宋体" w:hAnsi="宋体"/>
          <w:bCs/>
          <w:sz w:val="28"/>
          <w:szCs w:val="28"/>
          <w:highlight w:val="none"/>
          <w:u w:val="single"/>
        </w:rPr>
        <w:t xml:space="preserve">            </w:t>
      </w:r>
      <w:r>
        <w:rPr>
          <w:rFonts w:hint="eastAsia"/>
          <w:bCs/>
          <w:sz w:val="28"/>
          <w:szCs w:val="28"/>
          <w:highlight w:val="none"/>
        </w:rPr>
        <w:t xml:space="preserve"> 项目编号：</w:t>
      </w:r>
      <w:r>
        <w:rPr>
          <w:rFonts w:ascii="宋体" w:hAnsi="宋体"/>
          <w:bCs/>
          <w:sz w:val="28"/>
          <w:szCs w:val="28"/>
          <w:highlight w:val="none"/>
          <w:u w:val="single"/>
        </w:rPr>
        <w:t xml:space="preserve">            </w:t>
      </w:r>
      <w:r>
        <w:rPr>
          <w:rFonts w:hint="eastAsia"/>
          <w:bCs/>
          <w:sz w:val="28"/>
          <w:szCs w:val="28"/>
          <w:highlight w:val="none"/>
        </w:rPr>
        <w:t xml:space="preserve"> 包号：</w:t>
      </w:r>
      <w:r>
        <w:rPr>
          <w:rFonts w:ascii="宋体" w:hAnsi="宋体"/>
          <w:bCs/>
          <w:sz w:val="28"/>
          <w:szCs w:val="28"/>
          <w:highlight w:val="none"/>
          <w:u w:val="single"/>
        </w:rPr>
        <w:t xml:space="preserve">            </w:t>
      </w:r>
    </w:p>
    <w:tbl>
      <w:tblPr>
        <w:tblStyle w:val="42"/>
        <w:tblW w:w="9356"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9"/>
        <w:gridCol w:w="1822"/>
        <w:gridCol w:w="871"/>
        <w:gridCol w:w="1560"/>
        <w:gridCol w:w="1275"/>
        <w:gridCol w:w="2095"/>
        <w:gridCol w:w="1024"/>
      </w:tblGrid>
      <w:tr w14:paraId="44A283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59" w:hRule="atLeast"/>
        </w:trPr>
        <w:tc>
          <w:tcPr>
            <w:tcW w:w="709" w:type="dxa"/>
            <w:vAlign w:val="center"/>
          </w:tcPr>
          <w:p w14:paraId="3C06EBF2">
            <w:pPr>
              <w:widowControl/>
              <w:jc w:val="center"/>
              <w:rPr>
                <w:bCs/>
                <w:sz w:val="24"/>
                <w:highlight w:val="none"/>
              </w:rPr>
            </w:pPr>
            <w:r>
              <w:rPr>
                <w:rFonts w:hint="eastAsia"/>
                <w:bCs/>
                <w:sz w:val="24"/>
                <w:highlight w:val="none"/>
              </w:rPr>
              <w:t>序号</w:t>
            </w:r>
          </w:p>
        </w:tc>
        <w:tc>
          <w:tcPr>
            <w:tcW w:w="1822" w:type="dxa"/>
            <w:vAlign w:val="center"/>
          </w:tcPr>
          <w:p w14:paraId="400CE59A">
            <w:pPr>
              <w:widowControl/>
              <w:jc w:val="center"/>
              <w:rPr>
                <w:bCs/>
                <w:sz w:val="24"/>
                <w:highlight w:val="none"/>
              </w:rPr>
            </w:pPr>
            <w:r>
              <w:rPr>
                <w:rFonts w:hint="eastAsia"/>
                <w:bCs/>
                <w:sz w:val="24"/>
                <w:highlight w:val="none"/>
              </w:rPr>
              <w:t>评审项目</w:t>
            </w:r>
          </w:p>
        </w:tc>
        <w:tc>
          <w:tcPr>
            <w:tcW w:w="871" w:type="dxa"/>
            <w:vAlign w:val="center"/>
          </w:tcPr>
          <w:p w14:paraId="55ED85F5">
            <w:pPr>
              <w:widowControl/>
              <w:jc w:val="center"/>
              <w:rPr>
                <w:bCs/>
                <w:sz w:val="24"/>
                <w:highlight w:val="none"/>
              </w:rPr>
            </w:pPr>
            <w:r>
              <w:rPr>
                <w:rFonts w:hint="eastAsia"/>
                <w:bCs/>
                <w:sz w:val="24"/>
                <w:highlight w:val="none"/>
              </w:rPr>
              <w:t>技术评审要求</w:t>
            </w:r>
          </w:p>
        </w:tc>
        <w:tc>
          <w:tcPr>
            <w:tcW w:w="1560" w:type="dxa"/>
            <w:vAlign w:val="center"/>
          </w:tcPr>
          <w:p w14:paraId="35C1A001">
            <w:pPr>
              <w:widowControl/>
              <w:jc w:val="center"/>
              <w:rPr>
                <w:bCs/>
                <w:sz w:val="24"/>
                <w:highlight w:val="none"/>
              </w:rPr>
            </w:pPr>
            <w:r>
              <w:rPr>
                <w:rFonts w:hint="eastAsia"/>
                <w:bCs/>
                <w:sz w:val="24"/>
                <w:highlight w:val="none"/>
              </w:rPr>
              <w:t>技术参数</w:t>
            </w:r>
          </w:p>
          <w:p w14:paraId="025044B5">
            <w:pPr>
              <w:widowControl/>
              <w:jc w:val="center"/>
              <w:rPr>
                <w:bCs/>
                <w:sz w:val="24"/>
                <w:highlight w:val="none"/>
              </w:rPr>
            </w:pPr>
            <w:r>
              <w:rPr>
                <w:rFonts w:hint="eastAsia"/>
                <w:bCs/>
                <w:sz w:val="24"/>
                <w:highlight w:val="none"/>
              </w:rPr>
              <w:t>响应</w:t>
            </w:r>
          </w:p>
        </w:tc>
        <w:tc>
          <w:tcPr>
            <w:tcW w:w="1275" w:type="dxa"/>
            <w:vAlign w:val="center"/>
          </w:tcPr>
          <w:p w14:paraId="57A24D3E">
            <w:pPr>
              <w:widowControl/>
              <w:jc w:val="center"/>
              <w:rPr>
                <w:bCs/>
                <w:sz w:val="24"/>
                <w:highlight w:val="none"/>
              </w:rPr>
            </w:pPr>
            <w:r>
              <w:rPr>
                <w:rFonts w:hint="eastAsia"/>
                <w:bCs/>
                <w:sz w:val="24"/>
                <w:highlight w:val="none"/>
              </w:rPr>
              <w:t>偏离度</w:t>
            </w:r>
          </w:p>
        </w:tc>
        <w:tc>
          <w:tcPr>
            <w:tcW w:w="2095" w:type="dxa"/>
            <w:vAlign w:val="center"/>
          </w:tcPr>
          <w:p w14:paraId="49AB1C57">
            <w:pPr>
              <w:widowControl/>
              <w:jc w:val="center"/>
              <w:rPr>
                <w:bCs/>
                <w:sz w:val="24"/>
                <w:highlight w:val="none"/>
              </w:rPr>
            </w:pPr>
            <w:r>
              <w:rPr>
                <w:rFonts w:hint="eastAsia"/>
                <w:bCs/>
                <w:sz w:val="24"/>
                <w:highlight w:val="none"/>
              </w:rPr>
              <w:t>文件名称</w:t>
            </w:r>
            <w:r>
              <w:rPr>
                <w:rFonts w:hint="eastAsia" w:ascii="宋体" w:hAnsi="宋体"/>
                <w:bCs/>
                <w:sz w:val="24"/>
                <w:highlight w:val="none"/>
              </w:rPr>
              <w:t>∕页码</w:t>
            </w:r>
          </w:p>
        </w:tc>
        <w:tc>
          <w:tcPr>
            <w:tcW w:w="1024" w:type="dxa"/>
            <w:vAlign w:val="center"/>
          </w:tcPr>
          <w:p w14:paraId="0DB8C212">
            <w:pPr>
              <w:widowControl/>
              <w:jc w:val="center"/>
              <w:rPr>
                <w:bCs/>
                <w:sz w:val="24"/>
                <w:highlight w:val="none"/>
              </w:rPr>
            </w:pPr>
            <w:r>
              <w:rPr>
                <w:rFonts w:hint="eastAsia"/>
                <w:bCs/>
                <w:sz w:val="24"/>
                <w:highlight w:val="none"/>
              </w:rPr>
              <w:t>备注</w:t>
            </w:r>
          </w:p>
        </w:tc>
      </w:tr>
      <w:tr w14:paraId="413903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9" w:hRule="exact"/>
        </w:trPr>
        <w:tc>
          <w:tcPr>
            <w:tcW w:w="709" w:type="dxa"/>
            <w:vAlign w:val="center"/>
          </w:tcPr>
          <w:p w14:paraId="024457F0">
            <w:pPr>
              <w:keepNext w:val="0"/>
              <w:keepLines w:val="0"/>
              <w:widowControl/>
              <w:suppressLineNumbers w:val="0"/>
              <w:spacing w:before="0" w:beforeAutospacing="0" w:after="0" w:afterAutospacing="0"/>
              <w:ind w:left="0" w:leftChars="0" w:right="0" w:rightChars="0"/>
              <w:jc w:val="center"/>
              <w:rPr>
                <w:rFonts w:ascii="Times New Roman" w:hAnsi="Times New Roman" w:eastAsia="宋体" w:cs="Times New Roman"/>
                <w:bCs/>
                <w:kern w:val="2"/>
                <w:sz w:val="24"/>
                <w:szCs w:val="24"/>
                <w:highlight w:val="none"/>
                <w:lang w:val="en-US" w:eastAsia="zh-CN" w:bidi="ar-SA"/>
              </w:rPr>
            </w:pPr>
            <w:r>
              <w:rPr>
                <w:rFonts w:hint="eastAsia" w:ascii="宋体" w:hAnsi="宋体" w:eastAsia="宋体" w:cs="宋体"/>
                <w:color w:val="000000"/>
                <w:sz w:val="21"/>
                <w:szCs w:val="21"/>
                <w:highlight w:val="none"/>
                <w:lang w:val="en-US" w:eastAsia="zh-CN" w:bidi="zh-CN"/>
              </w:rPr>
              <w:t>1</w:t>
            </w:r>
          </w:p>
        </w:tc>
        <w:tc>
          <w:tcPr>
            <w:tcW w:w="1822" w:type="dxa"/>
            <w:vAlign w:val="center"/>
          </w:tcPr>
          <w:p w14:paraId="6B28E09A">
            <w:pPr>
              <w:keepNext w:val="0"/>
              <w:keepLines w:val="0"/>
              <w:widowControl/>
              <w:suppressLineNumbers w:val="0"/>
              <w:spacing w:before="0" w:beforeAutospacing="0" w:after="0" w:afterAutospacing="0"/>
              <w:ind w:left="0" w:leftChars="0" w:right="0" w:rightChars="0"/>
              <w:jc w:val="center"/>
              <w:rPr>
                <w:rFonts w:ascii="Times New Roman" w:hAnsi="Times New Roman" w:eastAsia="宋体" w:cs="Times New Roman"/>
                <w:bCs/>
                <w:kern w:val="2"/>
                <w:sz w:val="24"/>
                <w:szCs w:val="24"/>
                <w:highlight w:val="none"/>
                <w:lang w:val="en-US" w:eastAsia="zh-CN" w:bidi="ar-SA"/>
              </w:rPr>
            </w:pPr>
            <w:r>
              <w:rPr>
                <w:rFonts w:hint="default" w:ascii="宋体" w:hAnsi="宋体" w:eastAsia="宋体" w:cs="宋体"/>
                <w:color w:val="000000"/>
                <w:sz w:val="21"/>
                <w:szCs w:val="21"/>
                <w:highlight w:val="none"/>
                <w:lang w:val="en-US" w:eastAsia="zh-CN" w:bidi="zh-CN"/>
              </w:rPr>
              <w:t>产品用途及使用范围</w:t>
            </w:r>
          </w:p>
        </w:tc>
        <w:tc>
          <w:tcPr>
            <w:tcW w:w="871" w:type="dxa"/>
          </w:tcPr>
          <w:p w14:paraId="0149B5CE">
            <w:pPr>
              <w:rPr>
                <w:bCs/>
                <w:sz w:val="24"/>
                <w:highlight w:val="none"/>
              </w:rPr>
            </w:pPr>
          </w:p>
        </w:tc>
        <w:tc>
          <w:tcPr>
            <w:tcW w:w="1560" w:type="dxa"/>
          </w:tcPr>
          <w:p w14:paraId="3D909E7D">
            <w:pPr>
              <w:rPr>
                <w:bCs/>
                <w:sz w:val="24"/>
                <w:highlight w:val="none"/>
              </w:rPr>
            </w:pPr>
          </w:p>
        </w:tc>
        <w:tc>
          <w:tcPr>
            <w:tcW w:w="1275" w:type="dxa"/>
          </w:tcPr>
          <w:p w14:paraId="1252C7C9">
            <w:pPr>
              <w:rPr>
                <w:bCs/>
                <w:sz w:val="24"/>
                <w:highlight w:val="none"/>
              </w:rPr>
            </w:pPr>
          </w:p>
        </w:tc>
        <w:tc>
          <w:tcPr>
            <w:tcW w:w="2095" w:type="dxa"/>
          </w:tcPr>
          <w:p w14:paraId="64A5ECD6">
            <w:pPr>
              <w:rPr>
                <w:bCs/>
                <w:sz w:val="24"/>
                <w:highlight w:val="none"/>
              </w:rPr>
            </w:pPr>
          </w:p>
        </w:tc>
        <w:tc>
          <w:tcPr>
            <w:tcW w:w="1024" w:type="dxa"/>
          </w:tcPr>
          <w:p w14:paraId="4B0EE2A9">
            <w:pPr>
              <w:rPr>
                <w:bCs/>
                <w:sz w:val="24"/>
                <w:highlight w:val="none"/>
              </w:rPr>
            </w:pPr>
          </w:p>
        </w:tc>
      </w:tr>
      <w:tr w14:paraId="2A726D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9" w:hRule="exact"/>
        </w:trPr>
        <w:tc>
          <w:tcPr>
            <w:tcW w:w="709" w:type="dxa"/>
            <w:vAlign w:val="center"/>
          </w:tcPr>
          <w:p w14:paraId="0EA59FF4">
            <w:pPr>
              <w:keepNext w:val="0"/>
              <w:keepLines w:val="0"/>
              <w:widowControl/>
              <w:suppressLineNumbers w:val="0"/>
              <w:spacing w:before="0" w:beforeAutospacing="0" w:after="0" w:afterAutospacing="0"/>
              <w:ind w:left="0" w:leftChars="0" w:right="0" w:rightChars="0"/>
              <w:jc w:val="center"/>
              <w:rPr>
                <w:rFonts w:ascii="Times New Roman" w:hAnsi="Times New Roman" w:eastAsia="宋体" w:cs="Times New Roman"/>
                <w:bCs/>
                <w:kern w:val="2"/>
                <w:sz w:val="24"/>
                <w:szCs w:val="24"/>
                <w:highlight w:val="none"/>
                <w:lang w:val="en-US" w:eastAsia="zh-CN" w:bidi="ar-SA"/>
              </w:rPr>
            </w:pPr>
            <w:r>
              <w:rPr>
                <w:rFonts w:hint="eastAsia" w:ascii="宋体" w:hAnsi="宋体" w:cs="宋体"/>
                <w:color w:val="000000"/>
                <w:sz w:val="21"/>
                <w:szCs w:val="21"/>
                <w:highlight w:val="none"/>
                <w:lang w:val="en-US" w:eastAsia="zh-CN" w:bidi="zh-CN"/>
              </w:rPr>
              <w:t>2</w:t>
            </w:r>
          </w:p>
        </w:tc>
        <w:tc>
          <w:tcPr>
            <w:tcW w:w="1822" w:type="dxa"/>
            <w:vAlign w:val="center"/>
          </w:tcPr>
          <w:p w14:paraId="6931DB88">
            <w:pPr>
              <w:keepNext w:val="0"/>
              <w:keepLines w:val="0"/>
              <w:widowControl/>
              <w:suppressLineNumbers w:val="0"/>
              <w:spacing w:before="0" w:beforeAutospacing="0" w:after="0" w:afterAutospacing="0"/>
              <w:ind w:left="0" w:leftChars="0" w:right="0" w:rightChars="0"/>
              <w:jc w:val="center"/>
              <w:rPr>
                <w:rFonts w:ascii="Times New Roman" w:hAnsi="Times New Roman" w:eastAsia="宋体" w:cs="Times New Roman"/>
                <w:bCs/>
                <w:kern w:val="2"/>
                <w:sz w:val="24"/>
                <w:szCs w:val="24"/>
                <w:highlight w:val="none"/>
                <w:lang w:val="en-US" w:eastAsia="zh-CN" w:bidi="ar-SA"/>
              </w:rPr>
            </w:pPr>
            <w:r>
              <w:rPr>
                <w:rFonts w:hint="eastAsia" w:ascii="宋体" w:hAnsi="宋体" w:cs="宋体"/>
                <w:color w:val="000000"/>
                <w:sz w:val="21"/>
                <w:szCs w:val="21"/>
                <w:highlight w:val="none"/>
                <w:lang w:val="en-US" w:eastAsia="zh-CN" w:bidi="zh-CN"/>
              </w:rPr>
              <w:t>安装场地</w:t>
            </w:r>
          </w:p>
        </w:tc>
        <w:tc>
          <w:tcPr>
            <w:tcW w:w="871" w:type="dxa"/>
          </w:tcPr>
          <w:p w14:paraId="0B1B326E">
            <w:pPr>
              <w:rPr>
                <w:bCs/>
                <w:sz w:val="24"/>
                <w:highlight w:val="none"/>
              </w:rPr>
            </w:pPr>
          </w:p>
        </w:tc>
        <w:tc>
          <w:tcPr>
            <w:tcW w:w="1560" w:type="dxa"/>
          </w:tcPr>
          <w:p w14:paraId="22C355A8">
            <w:pPr>
              <w:rPr>
                <w:bCs/>
                <w:sz w:val="24"/>
                <w:highlight w:val="none"/>
              </w:rPr>
            </w:pPr>
          </w:p>
        </w:tc>
        <w:tc>
          <w:tcPr>
            <w:tcW w:w="1275" w:type="dxa"/>
          </w:tcPr>
          <w:p w14:paraId="44425993">
            <w:pPr>
              <w:rPr>
                <w:bCs/>
                <w:sz w:val="24"/>
                <w:highlight w:val="none"/>
              </w:rPr>
            </w:pPr>
          </w:p>
        </w:tc>
        <w:tc>
          <w:tcPr>
            <w:tcW w:w="2095" w:type="dxa"/>
          </w:tcPr>
          <w:p w14:paraId="12F52B82">
            <w:pPr>
              <w:rPr>
                <w:bCs/>
                <w:sz w:val="24"/>
                <w:highlight w:val="none"/>
              </w:rPr>
            </w:pPr>
          </w:p>
        </w:tc>
        <w:tc>
          <w:tcPr>
            <w:tcW w:w="1024" w:type="dxa"/>
          </w:tcPr>
          <w:p w14:paraId="19B0CC65">
            <w:pPr>
              <w:rPr>
                <w:bCs/>
                <w:sz w:val="24"/>
                <w:highlight w:val="none"/>
              </w:rPr>
            </w:pPr>
          </w:p>
        </w:tc>
      </w:tr>
      <w:tr w14:paraId="0EE431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9" w:hRule="exact"/>
        </w:trPr>
        <w:tc>
          <w:tcPr>
            <w:tcW w:w="709" w:type="dxa"/>
            <w:vAlign w:val="center"/>
          </w:tcPr>
          <w:p w14:paraId="0297BBE0">
            <w:pPr>
              <w:keepNext w:val="0"/>
              <w:keepLines w:val="0"/>
              <w:widowControl/>
              <w:suppressLineNumbers w:val="0"/>
              <w:spacing w:before="0" w:beforeAutospacing="0" w:after="0" w:afterAutospacing="0"/>
              <w:ind w:left="0" w:leftChars="0" w:right="0" w:rightChars="0"/>
              <w:jc w:val="center"/>
              <w:rPr>
                <w:rFonts w:ascii="Times New Roman" w:hAnsi="Times New Roman" w:eastAsia="宋体" w:cs="Times New Roman"/>
                <w:bCs/>
                <w:kern w:val="2"/>
                <w:sz w:val="24"/>
                <w:szCs w:val="24"/>
                <w:highlight w:val="none"/>
                <w:lang w:val="en-US" w:eastAsia="zh-CN" w:bidi="ar-SA"/>
              </w:rPr>
            </w:pPr>
            <w:r>
              <w:rPr>
                <w:rFonts w:hint="eastAsia" w:ascii="宋体" w:hAnsi="宋体" w:cs="宋体"/>
                <w:color w:val="000000"/>
                <w:sz w:val="21"/>
                <w:szCs w:val="21"/>
                <w:highlight w:val="none"/>
                <w:lang w:val="en-US" w:eastAsia="zh-CN" w:bidi="zh-CN"/>
              </w:rPr>
              <w:t>3</w:t>
            </w:r>
          </w:p>
        </w:tc>
        <w:tc>
          <w:tcPr>
            <w:tcW w:w="1822" w:type="dxa"/>
            <w:vAlign w:val="center"/>
          </w:tcPr>
          <w:p w14:paraId="52D88C79">
            <w:pPr>
              <w:keepNext w:val="0"/>
              <w:keepLines w:val="0"/>
              <w:widowControl/>
              <w:suppressLineNumbers w:val="0"/>
              <w:spacing w:before="0" w:beforeAutospacing="0" w:after="0" w:afterAutospacing="0"/>
              <w:ind w:left="0" w:leftChars="0" w:right="0" w:rightChars="0"/>
              <w:jc w:val="center"/>
              <w:rPr>
                <w:rFonts w:ascii="Times New Roman" w:hAnsi="Times New Roman" w:eastAsia="宋体" w:cs="Times New Roman"/>
                <w:bCs/>
                <w:kern w:val="2"/>
                <w:sz w:val="24"/>
                <w:szCs w:val="24"/>
                <w:highlight w:val="none"/>
                <w:lang w:val="en-US" w:eastAsia="zh-CN" w:bidi="ar-SA"/>
              </w:rPr>
            </w:pPr>
            <w:r>
              <w:rPr>
                <w:rFonts w:hint="eastAsia" w:ascii="宋体" w:hAnsi="宋体" w:cs="宋体"/>
                <w:color w:val="000000"/>
                <w:sz w:val="21"/>
                <w:szCs w:val="21"/>
                <w:highlight w:val="none"/>
                <w:lang w:val="en-US" w:eastAsia="zh-CN" w:bidi="zh-CN"/>
              </w:rPr>
              <w:t>使用环境</w:t>
            </w:r>
          </w:p>
        </w:tc>
        <w:tc>
          <w:tcPr>
            <w:tcW w:w="871" w:type="dxa"/>
          </w:tcPr>
          <w:p w14:paraId="73F8289D">
            <w:pPr>
              <w:rPr>
                <w:bCs/>
                <w:sz w:val="24"/>
                <w:highlight w:val="none"/>
              </w:rPr>
            </w:pPr>
          </w:p>
        </w:tc>
        <w:tc>
          <w:tcPr>
            <w:tcW w:w="1560" w:type="dxa"/>
          </w:tcPr>
          <w:p w14:paraId="1EAAD303">
            <w:pPr>
              <w:rPr>
                <w:bCs/>
                <w:sz w:val="24"/>
                <w:highlight w:val="none"/>
              </w:rPr>
            </w:pPr>
          </w:p>
        </w:tc>
        <w:tc>
          <w:tcPr>
            <w:tcW w:w="1275" w:type="dxa"/>
          </w:tcPr>
          <w:p w14:paraId="3840B180">
            <w:pPr>
              <w:rPr>
                <w:bCs/>
                <w:sz w:val="24"/>
                <w:highlight w:val="none"/>
              </w:rPr>
            </w:pPr>
          </w:p>
        </w:tc>
        <w:tc>
          <w:tcPr>
            <w:tcW w:w="2095" w:type="dxa"/>
          </w:tcPr>
          <w:p w14:paraId="21ED3C74">
            <w:pPr>
              <w:rPr>
                <w:bCs/>
                <w:sz w:val="24"/>
                <w:highlight w:val="none"/>
              </w:rPr>
            </w:pPr>
          </w:p>
        </w:tc>
        <w:tc>
          <w:tcPr>
            <w:tcW w:w="1024" w:type="dxa"/>
          </w:tcPr>
          <w:p w14:paraId="46A1934E">
            <w:pPr>
              <w:rPr>
                <w:bCs/>
                <w:sz w:val="24"/>
                <w:highlight w:val="none"/>
              </w:rPr>
            </w:pPr>
          </w:p>
        </w:tc>
      </w:tr>
      <w:tr w14:paraId="4950B7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62" w:hRule="exact"/>
        </w:trPr>
        <w:tc>
          <w:tcPr>
            <w:tcW w:w="709" w:type="dxa"/>
            <w:vAlign w:val="center"/>
          </w:tcPr>
          <w:p w14:paraId="2B0BF76D">
            <w:pPr>
              <w:keepNext w:val="0"/>
              <w:keepLines w:val="0"/>
              <w:widowControl/>
              <w:suppressLineNumbers w:val="0"/>
              <w:spacing w:before="0" w:beforeAutospacing="0" w:after="0" w:afterAutospacing="0"/>
              <w:ind w:left="0" w:leftChars="0" w:right="0" w:rightChars="0"/>
              <w:jc w:val="center"/>
              <w:rPr>
                <w:rFonts w:ascii="Times New Roman" w:hAnsi="Times New Roman" w:eastAsia="宋体" w:cs="Times New Roman"/>
                <w:bCs/>
                <w:kern w:val="2"/>
                <w:sz w:val="24"/>
                <w:szCs w:val="24"/>
                <w:highlight w:val="none"/>
                <w:lang w:val="en-US" w:eastAsia="zh-CN" w:bidi="ar-SA"/>
              </w:rPr>
            </w:pPr>
            <w:r>
              <w:rPr>
                <w:rFonts w:hint="eastAsia" w:ascii="宋体" w:hAnsi="宋体" w:cs="宋体"/>
                <w:color w:val="000000"/>
                <w:sz w:val="21"/>
                <w:szCs w:val="21"/>
                <w:highlight w:val="none"/>
                <w:lang w:val="en-US" w:eastAsia="zh-CN" w:bidi="zh-CN"/>
              </w:rPr>
              <w:t>4</w:t>
            </w:r>
          </w:p>
        </w:tc>
        <w:tc>
          <w:tcPr>
            <w:tcW w:w="1822" w:type="dxa"/>
            <w:vAlign w:val="center"/>
          </w:tcPr>
          <w:p w14:paraId="219C9E86">
            <w:pPr>
              <w:keepNext w:val="0"/>
              <w:keepLines w:val="0"/>
              <w:widowControl/>
              <w:suppressLineNumbers w:val="0"/>
              <w:spacing w:before="0" w:beforeAutospacing="0" w:after="0" w:afterAutospacing="0"/>
              <w:ind w:left="0" w:leftChars="0" w:right="0" w:rightChars="0"/>
              <w:jc w:val="center"/>
              <w:rPr>
                <w:rFonts w:ascii="Times New Roman" w:hAnsi="Times New Roman" w:eastAsia="宋体" w:cs="Times New Roman"/>
                <w:bCs/>
                <w:kern w:val="2"/>
                <w:sz w:val="24"/>
                <w:szCs w:val="24"/>
                <w:highlight w:val="none"/>
                <w:lang w:val="en-US" w:eastAsia="zh-CN" w:bidi="ar-SA"/>
              </w:rPr>
            </w:pPr>
            <w:r>
              <w:rPr>
                <w:rFonts w:hint="eastAsia" w:ascii="宋体" w:hAnsi="宋体" w:cs="宋体"/>
                <w:color w:val="000000"/>
                <w:sz w:val="21"/>
                <w:szCs w:val="21"/>
                <w:highlight w:val="none"/>
                <w:lang w:val="en-US" w:eastAsia="zh-CN" w:bidi="zh-CN"/>
              </w:rPr>
              <w:t>具体性能与技术参数要求请供应商自行罗列</w:t>
            </w:r>
          </w:p>
        </w:tc>
        <w:tc>
          <w:tcPr>
            <w:tcW w:w="871" w:type="dxa"/>
          </w:tcPr>
          <w:p w14:paraId="212F2680">
            <w:pPr>
              <w:rPr>
                <w:bCs/>
                <w:sz w:val="24"/>
                <w:highlight w:val="none"/>
              </w:rPr>
            </w:pPr>
          </w:p>
        </w:tc>
        <w:tc>
          <w:tcPr>
            <w:tcW w:w="1560" w:type="dxa"/>
          </w:tcPr>
          <w:p w14:paraId="70FC73CE">
            <w:pPr>
              <w:rPr>
                <w:bCs/>
                <w:sz w:val="24"/>
                <w:highlight w:val="none"/>
              </w:rPr>
            </w:pPr>
          </w:p>
        </w:tc>
        <w:tc>
          <w:tcPr>
            <w:tcW w:w="1275" w:type="dxa"/>
          </w:tcPr>
          <w:p w14:paraId="55A6FB62">
            <w:pPr>
              <w:rPr>
                <w:bCs/>
                <w:sz w:val="24"/>
                <w:highlight w:val="none"/>
              </w:rPr>
            </w:pPr>
          </w:p>
        </w:tc>
        <w:tc>
          <w:tcPr>
            <w:tcW w:w="2095" w:type="dxa"/>
          </w:tcPr>
          <w:p w14:paraId="3372FABB">
            <w:pPr>
              <w:rPr>
                <w:bCs/>
                <w:sz w:val="24"/>
                <w:highlight w:val="none"/>
              </w:rPr>
            </w:pPr>
          </w:p>
        </w:tc>
        <w:tc>
          <w:tcPr>
            <w:tcW w:w="1024" w:type="dxa"/>
          </w:tcPr>
          <w:p w14:paraId="6A5125CE">
            <w:pPr>
              <w:rPr>
                <w:bCs/>
                <w:sz w:val="24"/>
                <w:highlight w:val="none"/>
              </w:rPr>
            </w:pPr>
          </w:p>
        </w:tc>
      </w:tr>
      <w:tr w14:paraId="430891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9" w:hRule="exact"/>
        </w:trPr>
        <w:tc>
          <w:tcPr>
            <w:tcW w:w="709" w:type="dxa"/>
            <w:vAlign w:val="center"/>
          </w:tcPr>
          <w:p w14:paraId="0C6D428F">
            <w:pPr>
              <w:keepNext w:val="0"/>
              <w:keepLines w:val="0"/>
              <w:widowControl/>
              <w:suppressLineNumbers w:val="0"/>
              <w:spacing w:before="0" w:beforeAutospacing="0" w:after="0" w:afterAutospacing="0"/>
              <w:ind w:left="0" w:leftChars="0" w:right="0" w:rightChars="0"/>
              <w:jc w:val="center"/>
              <w:rPr>
                <w:rFonts w:ascii="Times New Roman" w:hAnsi="Times New Roman" w:eastAsia="宋体" w:cs="Times New Roman"/>
                <w:bCs/>
                <w:kern w:val="2"/>
                <w:sz w:val="24"/>
                <w:szCs w:val="24"/>
                <w:highlight w:val="none"/>
                <w:lang w:val="en-US" w:eastAsia="zh-CN" w:bidi="ar-SA"/>
              </w:rPr>
            </w:pPr>
            <w:r>
              <w:rPr>
                <w:rFonts w:hint="eastAsia" w:ascii="宋体" w:hAnsi="宋体" w:cs="宋体"/>
                <w:color w:val="000000"/>
                <w:sz w:val="21"/>
                <w:szCs w:val="21"/>
                <w:highlight w:val="none"/>
                <w:lang w:val="en-US" w:eastAsia="zh-CN" w:bidi="zh-CN"/>
              </w:rPr>
              <w:t>...</w:t>
            </w:r>
          </w:p>
        </w:tc>
        <w:tc>
          <w:tcPr>
            <w:tcW w:w="1822" w:type="dxa"/>
            <w:vAlign w:val="center"/>
          </w:tcPr>
          <w:p w14:paraId="30058962">
            <w:pPr>
              <w:keepNext w:val="0"/>
              <w:keepLines w:val="0"/>
              <w:widowControl/>
              <w:suppressLineNumbers w:val="0"/>
              <w:spacing w:before="0" w:beforeAutospacing="0" w:after="0" w:afterAutospacing="0"/>
              <w:ind w:left="0" w:leftChars="0" w:right="0" w:rightChars="0"/>
              <w:jc w:val="center"/>
              <w:rPr>
                <w:rFonts w:ascii="Times New Roman" w:hAnsi="Times New Roman" w:eastAsia="宋体" w:cs="Times New Roman"/>
                <w:bCs/>
                <w:kern w:val="2"/>
                <w:sz w:val="24"/>
                <w:szCs w:val="24"/>
                <w:highlight w:val="none"/>
                <w:lang w:val="en-US" w:eastAsia="zh-CN" w:bidi="ar-SA"/>
              </w:rPr>
            </w:pPr>
            <w:r>
              <w:rPr>
                <w:rFonts w:hint="eastAsia" w:ascii="宋体" w:hAnsi="宋体" w:cs="宋体"/>
                <w:color w:val="000000"/>
                <w:sz w:val="21"/>
                <w:szCs w:val="21"/>
                <w:highlight w:val="none"/>
                <w:lang w:val="en-US" w:eastAsia="zh-CN" w:bidi="zh-CN"/>
              </w:rPr>
              <w:t>...</w:t>
            </w:r>
          </w:p>
        </w:tc>
        <w:tc>
          <w:tcPr>
            <w:tcW w:w="871" w:type="dxa"/>
          </w:tcPr>
          <w:p w14:paraId="109E9FB1">
            <w:pPr>
              <w:rPr>
                <w:bCs/>
                <w:sz w:val="24"/>
                <w:highlight w:val="none"/>
              </w:rPr>
            </w:pPr>
          </w:p>
        </w:tc>
        <w:tc>
          <w:tcPr>
            <w:tcW w:w="1560" w:type="dxa"/>
          </w:tcPr>
          <w:p w14:paraId="7827E46F">
            <w:pPr>
              <w:rPr>
                <w:bCs/>
                <w:sz w:val="24"/>
                <w:highlight w:val="none"/>
              </w:rPr>
            </w:pPr>
          </w:p>
        </w:tc>
        <w:tc>
          <w:tcPr>
            <w:tcW w:w="1275" w:type="dxa"/>
          </w:tcPr>
          <w:p w14:paraId="580E6F7A">
            <w:pPr>
              <w:rPr>
                <w:bCs/>
                <w:sz w:val="24"/>
                <w:highlight w:val="none"/>
              </w:rPr>
            </w:pPr>
          </w:p>
        </w:tc>
        <w:tc>
          <w:tcPr>
            <w:tcW w:w="2095" w:type="dxa"/>
          </w:tcPr>
          <w:p w14:paraId="131A40A4">
            <w:pPr>
              <w:rPr>
                <w:bCs/>
                <w:sz w:val="24"/>
                <w:highlight w:val="none"/>
              </w:rPr>
            </w:pPr>
          </w:p>
        </w:tc>
        <w:tc>
          <w:tcPr>
            <w:tcW w:w="1024" w:type="dxa"/>
          </w:tcPr>
          <w:p w14:paraId="2AB89590">
            <w:pPr>
              <w:rPr>
                <w:bCs/>
                <w:sz w:val="24"/>
                <w:highlight w:val="none"/>
              </w:rPr>
            </w:pPr>
          </w:p>
        </w:tc>
      </w:tr>
      <w:tr w14:paraId="7D2F5E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9" w:hRule="exact"/>
        </w:trPr>
        <w:tc>
          <w:tcPr>
            <w:tcW w:w="709" w:type="dxa"/>
            <w:vAlign w:val="center"/>
          </w:tcPr>
          <w:p w14:paraId="4E392DE5">
            <w:pPr>
              <w:keepNext w:val="0"/>
              <w:keepLines w:val="0"/>
              <w:widowControl/>
              <w:suppressLineNumbers w:val="0"/>
              <w:spacing w:before="0" w:beforeAutospacing="0" w:after="0" w:afterAutospacing="0"/>
              <w:ind w:left="0" w:leftChars="0" w:right="0" w:rightChars="0"/>
              <w:jc w:val="center"/>
              <w:rPr>
                <w:rFonts w:ascii="Times New Roman" w:hAnsi="Times New Roman" w:eastAsia="宋体" w:cs="Times New Roman"/>
                <w:bCs/>
                <w:kern w:val="2"/>
                <w:sz w:val="24"/>
                <w:szCs w:val="24"/>
                <w:highlight w:val="none"/>
                <w:lang w:val="en-US" w:eastAsia="zh-CN" w:bidi="ar-SA"/>
              </w:rPr>
            </w:pPr>
            <w:r>
              <w:rPr>
                <w:rFonts w:hint="eastAsia" w:ascii="宋体" w:hAnsi="宋体" w:cs="宋体"/>
                <w:color w:val="000000"/>
                <w:sz w:val="21"/>
                <w:szCs w:val="21"/>
                <w:highlight w:val="none"/>
                <w:lang w:val="en-US" w:eastAsia="zh-CN" w:bidi="zh-CN"/>
              </w:rPr>
              <w:t>...</w:t>
            </w:r>
          </w:p>
        </w:tc>
        <w:tc>
          <w:tcPr>
            <w:tcW w:w="1822" w:type="dxa"/>
            <w:vAlign w:val="center"/>
          </w:tcPr>
          <w:p w14:paraId="3847D9DF">
            <w:pPr>
              <w:keepNext w:val="0"/>
              <w:keepLines w:val="0"/>
              <w:widowControl/>
              <w:suppressLineNumbers w:val="0"/>
              <w:spacing w:before="0" w:beforeAutospacing="0" w:after="0" w:afterAutospacing="0"/>
              <w:ind w:left="0" w:leftChars="0" w:right="0" w:rightChars="0"/>
              <w:jc w:val="center"/>
              <w:rPr>
                <w:rFonts w:ascii="Times New Roman" w:hAnsi="Times New Roman" w:eastAsia="宋体" w:cs="Times New Roman"/>
                <w:bCs/>
                <w:kern w:val="2"/>
                <w:sz w:val="24"/>
                <w:szCs w:val="24"/>
                <w:highlight w:val="none"/>
                <w:lang w:val="en-US" w:eastAsia="zh-CN" w:bidi="ar-SA"/>
              </w:rPr>
            </w:pPr>
            <w:r>
              <w:rPr>
                <w:rFonts w:hint="eastAsia" w:ascii="宋体" w:hAnsi="宋体" w:cs="宋体"/>
                <w:color w:val="000000"/>
                <w:sz w:val="21"/>
                <w:szCs w:val="21"/>
                <w:highlight w:val="none"/>
                <w:lang w:val="en-US" w:eastAsia="zh-CN" w:bidi="zh-CN"/>
              </w:rPr>
              <w:t>...</w:t>
            </w:r>
          </w:p>
        </w:tc>
        <w:tc>
          <w:tcPr>
            <w:tcW w:w="871" w:type="dxa"/>
          </w:tcPr>
          <w:p w14:paraId="2C914098">
            <w:pPr>
              <w:rPr>
                <w:bCs/>
                <w:sz w:val="24"/>
                <w:highlight w:val="none"/>
              </w:rPr>
            </w:pPr>
          </w:p>
        </w:tc>
        <w:tc>
          <w:tcPr>
            <w:tcW w:w="1560" w:type="dxa"/>
          </w:tcPr>
          <w:p w14:paraId="266CB5B6">
            <w:pPr>
              <w:rPr>
                <w:bCs/>
                <w:sz w:val="24"/>
                <w:highlight w:val="none"/>
              </w:rPr>
            </w:pPr>
          </w:p>
        </w:tc>
        <w:tc>
          <w:tcPr>
            <w:tcW w:w="1275" w:type="dxa"/>
          </w:tcPr>
          <w:p w14:paraId="1A573918">
            <w:pPr>
              <w:rPr>
                <w:bCs/>
                <w:sz w:val="24"/>
                <w:highlight w:val="none"/>
              </w:rPr>
            </w:pPr>
          </w:p>
        </w:tc>
        <w:tc>
          <w:tcPr>
            <w:tcW w:w="2095" w:type="dxa"/>
          </w:tcPr>
          <w:p w14:paraId="7BDC1EFB">
            <w:pPr>
              <w:rPr>
                <w:bCs/>
                <w:sz w:val="24"/>
                <w:highlight w:val="none"/>
              </w:rPr>
            </w:pPr>
          </w:p>
        </w:tc>
        <w:tc>
          <w:tcPr>
            <w:tcW w:w="1024" w:type="dxa"/>
          </w:tcPr>
          <w:p w14:paraId="35238A68">
            <w:pPr>
              <w:rPr>
                <w:bCs/>
                <w:sz w:val="24"/>
                <w:highlight w:val="none"/>
              </w:rPr>
            </w:pPr>
          </w:p>
        </w:tc>
      </w:tr>
      <w:tr w14:paraId="7FC37D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9" w:hRule="exact"/>
        </w:trPr>
        <w:tc>
          <w:tcPr>
            <w:tcW w:w="709" w:type="dxa"/>
            <w:vAlign w:val="center"/>
          </w:tcPr>
          <w:p w14:paraId="4AAE64A0">
            <w:pPr>
              <w:keepNext w:val="0"/>
              <w:keepLines w:val="0"/>
              <w:widowControl/>
              <w:suppressLineNumbers w:val="0"/>
              <w:spacing w:before="0" w:beforeAutospacing="0" w:after="0" w:afterAutospacing="0"/>
              <w:ind w:left="0" w:leftChars="0" w:right="0" w:rightChars="0"/>
              <w:jc w:val="center"/>
              <w:rPr>
                <w:rFonts w:ascii="Times New Roman" w:hAnsi="Times New Roman" w:eastAsia="宋体" w:cs="Times New Roman"/>
                <w:bCs/>
                <w:kern w:val="2"/>
                <w:sz w:val="24"/>
                <w:szCs w:val="24"/>
                <w:highlight w:val="none"/>
                <w:lang w:val="en-US" w:eastAsia="zh-CN" w:bidi="ar-SA"/>
              </w:rPr>
            </w:pPr>
            <w:r>
              <w:rPr>
                <w:rFonts w:hint="eastAsia" w:ascii="宋体" w:hAnsi="宋体" w:cs="宋体"/>
                <w:color w:val="000000"/>
                <w:sz w:val="21"/>
                <w:szCs w:val="21"/>
                <w:highlight w:val="none"/>
                <w:lang w:val="en-US" w:eastAsia="zh-CN" w:bidi="zh-CN"/>
              </w:rPr>
              <w:t>...</w:t>
            </w:r>
          </w:p>
        </w:tc>
        <w:tc>
          <w:tcPr>
            <w:tcW w:w="1822" w:type="dxa"/>
            <w:vAlign w:val="center"/>
          </w:tcPr>
          <w:p w14:paraId="50968968">
            <w:pPr>
              <w:keepNext w:val="0"/>
              <w:keepLines w:val="0"/>
              <w:widowControl/>
              <w:suppressLineNumbers w:val="0"/>
              <w:spacing w:before="0" w:beforeAutospacing="0" w:after="0" w:afterAutospacing="0"/>
              <w:ind w:left="0" w:leftChars="0" w:right="0" w:rightChars="0"/>
              <w:jc w:val="center"/>
              <w:rPr>
                <w:rFonts w:ascii="Times New Roman" w:hAnsi="Times New Roman" w:eastAsia="宋体" w:cs="Times New Roman"/>
                <w:bCs/>
                <w:kern w:val="2"/>
                <w:sz w:val="24"/>
                <w:szCs w:val="24"/>
                <w:highlight w:val="none"/>
                <w:lang w:val="en-US" w:eastAsia="zh-CN" w:bidi="ar-SA"/>
              </w:rPr>
            </w:pPr>
            <w:r>
              <w:rPr>
                <w:rFonts w:hint="eastAsia" w:ascii="宋体" w:hAnsi="宋体" w:cs="宋体"/>
                <w:color w:val="000000"/>
                <w:sz w:val="21"/>
                <w:szCs w:val="21"/>
                <w:highlight w:val="none"/>
                <w:lang w:val="en-US" w:eastAsia="zh-CN" w:bidi="zh-CN"/>
              </w:rPr>
              <w:t>配置需求</w:t>
            </w:r>
          </w:p>
        </w:tc>
        <w:tc>
          <w:tcPr>
            <w:tcW w:w="871" w:type="dxa"/>
          </w:tcPr>
          <w:p w14:paraId="16A96D6A">
            <w:pPr>
              <w:rPr>
                <w:bCs/>
                <w:sz w:val="24"/>
                <w:highlight w:val="none"/>
              </w:rPr>
            </w:pPr>
          </w:p>
        </w:tc>
        <w:tc>
          <w:tcPr>
            <w:tcW w:w="1560" w:type="dxa"/>
          </w:tcPr>
          <w:p w14:paraId="02800B9C">
            <w:pPr>
              <w:rPr>
                <w:bCs/>
                <w:sz w:val="24"/>
                <w:highlight w:val="none"/>
              </w:rPr>
            </w:pPr>
          </w:p>
        </w:tc>
        <w:tc>
          <w:tcPr>
            <w:tcW w:w="1275" w:type="dxa"/>
          </w:tcPr>
          <w:p w14:paraId="5D4F1733">
            <w:pPr>
              <w:rPr>
                <w:bCs/>
                <w:sz w:val="24"/>
                <w:highlight w:val="none"/>
              </w:rPr>
            </w:pPr>
          </w:p>
        </w:tc>
        <w:tc>
          <w:tcPr>
            <w:tcW w:w="2095" w:type="dxa"/>
          </w:tcPr>
          <w:p w14:paraId="6EEC2BBD">
            <w:pPr>
              <w:rPr>
                <w:bCs/>
                <w:sz w:val="24"/>
                <w:highlight w:val="none"/>
              </w:rPr>
            </w:pPr>
          </w:p>
        </w:tc>
        <w:tc>
          <w:tcPr>
            <w:tcW w:w="1024" w:type="dxa"/>
          </w:tcPr>
          <w:p w14:paraId="533084BD">
            <w:pPr>
              <w:rPr>
                <w:bCs/>
                <w:sz w:val="24"/>
                <w:highlight w:val="none"/>
              </w:rPr>
            </w:pPr>
          </w:p>
        </w:tc>
      </w:tr>
      <w:tr w14:paraId="4F1AE0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9" w:hRule="exact"/>
        </w:trPr>
        <w:tc>
          <w:tcPr>
            <w:tcW w:w="709" w:type="dxa"/>
            <w:vAlign w:val="center"/>
          </w:tcPr>
          <w:p w14:paraId="190BA08B">
            <w:pPr>
              <w:keepNext w:val="0"/>
              <w:keepLines w:val="0"/>
              <w:widowControl/>
              <w:suppressLineNumbers w:val="0"/>
              <w:spacing w:before="0" w:beforeAutospacing="0" w:after="0" w:afterAutospacing="0"/>
              <w:ind w:left="0" w:leftChars="0" w:right="0" w:rightChars="0"/>
              <w:jc w:val="center"/>
              <w:rPr>
                <w:rFonts w:ascii="Times New Roman" w:hAnsi="Times New Roman" w:eastAsia="宋体" w:cs="Times New Roman"/>
                <w:bCs/>
                <w:kern w:val="2"/>
                <w:sz w:val="24"/>
                <w:szCs w:val="24"/>
                <w:highlight w:val="none"/>
                <w:lang w:val="en-US" w:eastAsia="zh-CN" w:bidi="ar-SA"/>
              </w:rPr>
            </w:pPr>
          </w:p>
        </w:tc>
        <w:tc>
          <w:tcPr>
            <w:tcW w:w="1822" w:type="dxa"/>
            <w:vAlign w:val="center"/>
          </w:tcPr>
          <w:p w14:paraId="2910E9E4">
            <w:pPr>
              <w:keepNext w:val="0"/>
              <w:keepLines w:val="0"/>
              <w:widowControl/>
              <w:suppressLineNumbers w:val="0"/>
              <w:spacing w:before="0" w:beforeAutospacing="0" w:after="0" w:afterAutospacing="0"/>
              <w:ind w:left="0" w:leftChars="0" w:right="0" w:rightChars="0"/>
              <w:jc w:val="center"/>
              <w:rPr>
                <w:rFonts w:ascii="Times New Roman" w:hAnsi="Times New Roman" w:eastAsia="宋体" w:cs="Times New Roman"/>
                <w:bCs/>
                <w:kern w:val="2"/>
                <w:sz w:val="24"/>
                <w:szCs w:val="24"/>
                <w:highlight w:val="none"/>
                <w:lang w:val="en-US" w:eastAsia="zh-CN" w:bidi="ar-SA"/>
              </w:rPr>
            </w:pPr>
            <w:r>
              <w:rPr>
                <w:rFonts w:hint="eastAsia" w:ascii="宋体" w:hAnsi="宋体" w:cs="宋体"/>
                <w:color w:val="000000"/>
                <w:sz w:val="21"/>
                <w:szCs w:val="21"/>
                <w:highlight w:val="none"/>
                <w:lang w:val="en-US" w:eastAsia="zh-CN" w:bidi="zh-CN"/>
              </w:rPr>
              <w:t>...</w:t>
            </w:r>
          </w:p>
        </w:tc>
        <w:tc>
          <w:tcPr>
            <w:tcW w:w="871" w:type="dxa"/>
          </w:tcPr>
          <w:p w14:paraId="747CB196">
            <w:pPr>
              <w:rPr>
                <w:bCs/>
                <w:sz w:val="24"/>
                <w:highlight w:val="none"/>
              </w:rPr>
            </w:pPr>
          </w:p>
        </w:tc>
        <w:tc>
          <w:tcPr>
            <w:tcW w:w="1560" w:type="dxa"/>
          </w:tcPr>
          <w:p w14:paraId="43BF8A4D">
            <w:pPr>
              <w:rPr>
                <w:bCs/>
                <w:sz w:val="24"/>
                <w:highlight w:val="none"/>
              </w:rPr>
            </w:pPr>
          </w:p>
        </w:tc>
        <w:tc>
          <w:tcPr>
            <w:tcW w:w="1275" w:type="dxa"/>
          </w:tcPr>
          <w:p w14:paraId="1D3A2C78">
            <w:pPr>
              <w:rPr>
                <w:bCs/>
                <w:sz w:val="24"/>
                <w:highlight w:val="none"/>
              </w:rPr>
            </w:pPr>
          </w:p>
        </w:tc>
        <w:tc>
          <w:tcPr>
            <w:tcW w:w="2095" w:type="dxa"/>
          </w:tcPr>
          <w:p w14:paraId="1CCBE256">
            <w:pPr>
              <w:rPr>
                <w:bCs/>
                <w:sz w:val="24"/>
                <w:highlight w:val="none"/>
              </w:rPr>
            </w:pPr>
          </w:p>
        </w:tc>
        <w:tc>
          <w:tcPr>
            <w:tcW w:w="1024" w:type="dxa"/>
          </w:tcPr>
          <w:p w14:paraId="385AD0A4">
            <w:pPr>
              <w:rPr>
                <w:bCs/>
                <w:sz w:val="24"/>
                <w:highlight w:val="none"/>
              </w:rPr>
            </w:pPr>
          </w:p>
        </w:tc>
      </w:tr>
      <w:tr w14:paraId="49DEAD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9" w:hRule="exact"/>
        </w:trPr>
        <w:tc>
          <w:tcPr>
            <w:tcW w:w="709" w:type="dxa"/>
          </w:tcPr>
          <w:p w14:paraId="042C5D3A">
            <w:pPr>
              <w:rPr>
                <w:bCs/>
                <w:sz w:val="24"/>
                <w:highlight w:val="none"/>
              </w:rPr>
            </w:pPr>
          </w:p>
        </w:tc>
        <w:tc>
          <w:tcPr>
            <w:tcW w:w="1822" w:type="dxa"/>
          </w:tcPr>
          <w:p w14:paraId="77F2602D">
            <w:pPr>
              <w:rPr>
                <w:bCs/>
                <w:sz w:val="24"/>
                <w:highlight w:val="none"/>
              </w:rPr>
            </w:pPr>
          </w:p>
        </w:tc>
        <w:tc>
          <w:tcPr>
            <w:tcW w:w="871" w:type="dxa"/>
          </w:tcPr>
          <w:p w14:paraId="213835AD">
            <w:pPr>
              <w:rPr>
                <w:bCs/>
                <w:sz w:val="24"/>
                <w:highlight w:val="none"/>
              </w:rPr>
            </w:pPr>
          </w:p>
        </w:tc>
        <w:tc>
          <w:tcPr>
            <w:tcW w:w="1560" w:type="dxa"/>
          </w:tcPr>
          <w:p w14:paraId="1DF29852">
            <w:pPr>
              <w:rPr>
                <w:bCs/>
                <w:sz w:val="24"/>
                <w:highlight w:val="none"/>
              </w:rPr>
            </w:pPr>
          </w:p>
        </w:tc>
        <w:tc>
          <w:tcPr>
            <w:tcW w:w="1275" w:type="dxa"/>
          </w:tcPr>
          <w:p w14:paraId="48DFEECE">
            <w:pPr>
              <w:rPr>
                <w:bCs/>
                <w:sz w:val="24"/>
                <w:highlight w:val="none"/>
              </w:rPr>
            </w:pPr>
          </w:p>
        </w:tc>
        <w:tc>
          <w:tcPr>
            <w:tcW w:w="2095" w:type="dxa"/>
          </w:tcPr>
          <w:p w14:paraId="5CE6E509">
            <w:pPr>
              <w:rPr>
                <w:bCs/>
                <w:sz w:val="24"/>
                <w:highlight w:val="none"/>
              </w:rPr>
            </w:pPr>
          </w:p>
        </w:tc>
        <w:tc>
          <w:tcPr>
            <w:tcW w:w="1024" w:type="dxa"/>
          </w:tcPr>
          <w:p w14:paraId="3B05F23F">
            <w:pPr>
              <w:rPr>
                <w:bCs/>
                <w:sz w:val="24"/>
                <w:highlight w:val="none"/>
              </w:rPr>
            </w:pPr>
          </w:p>
        </w:tc>
      </w:tr>
      <w:tr w14:paraId="7CC328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21" w:hRule="exact"/>
        </w:trPr>
        <w:tc>
          <w:tcPr>
            <w:tcW w:w="9356" w:type="dxa"/>
            <w:gridSpan w:val="7"/>
          </w:tcPr>
          <w:p w14:paraId="0B6FC5B1">
            <w:pPr>
              <w:spacing w:line="276" w:lineRule="auto"/>
              <w:rPr>
                <w:bCs/>
                <w:sz w:val="24"/>
                <w:highlight w:val="none"/>
              </w:rPr>
            </w:pPr>
            <w:r>
              <w:rPr>
                <w:rFonts w:hint="eastAsia"/>
                <w:bCs/>
                <w:sz w:val="24"/>
                <w:highlight w:val="none"/>
              </w:rPr>
              <w:t>说明：</w:t>
            </w:r>
            <w:r>
              <w:rPr>
                <w:rFonts w:hint="eastAsia"/>
                <w:bCs/>
                <w:sz w:val="24"/>
                <w:highlight w:val="none"/>
                <w:lang w:eastAsia="zh-CN"/>
              </w:rPr>
              <w:t>报价</w:t>
            </w:r>
            <w:r>
              <w:rPr>
                <w:rFonts w:hint="eastAsia"/>
                <w:bCs/>
                <w:sz w:val="24"/>
                <w:highlight w:val="none"/>
              </w:rPr>
              <w:t>供应商应当对照专用文件规定的技术要求，逐条如实填写所投物资的具体技术评审参数，注明无偏离、正偏离或负偏离，并在备注中注明偏离的具体内容。技术指标参数响应栏如果原文完全复制</w:t>
            </w:r>
            <w:r>
              <w:rPr>
                <w:rFonts w:hint="eastAsia"/>
                <w:bCs/>
                <w:sz w:val="24"/>
                <w:highlight w:val="none"/>
                <w:lang w:eastAsia="zh-CN"/>
              </w:rPr>
              <w:t>谈判</w:t>
            </w:r>
            <w:r>
              <w:rPr>
                <w:rFonts w:hint="eastAsia"/>
                <w:bCs/>
                <w:sz w:val="24"/>
                <w:highlight w:val="none"/>
              </w:rPr>
              <w:t>文件技术要求，作无效投标处理。负偏离应当如实注明。本表中带“★”号条款出现负偏离，视为无效投标。</w:t>
            </w:r>
          </w:p>
        </w:tc>
      </w:tr>
    </w:tbl>
    <w:p w14:paraId="0CEE1ECA">
      <w:pPr>
        <w:rPr>
          <w:bCs/>
          <w:highlight w:val="none"/>
        </w:rPr>
      </w:pPr>
    </w:p>
    <w:p w14:paraId="30F588DF">
      <w:pPr>
        <w:rPr>
          <w:bCs/>
          <w:highlight w:val="none"/>
        </w:rPr>
      </w:pPr>
    </w:p>
    <w:p w14:paraId="3BB6D102">
      <w:pPr>
        <w:rPr>
          <w:bCs/>
          <w:highlight w:val="none"/>
        </w:rPr>
      </w:pPr>
    </w:p>
    <w:p w14:paraId="42AA0417">
      <w:pPr>
        <w:spacing w:line="360" w:lineRule="auto"/>
        <w:rPr>
          <w:bCs/>
          <w:highlight w:val="none"/>
        </w:rPr>
      </w:pPr>
    </w:p>
    <w:p w14:paraId="182C5B25">
      <w:pPr>
        <w:spacing w:line="360" w:lineRule="auto"/>
        <w:jc w:val="center"/>
        <w:rPr>
          <w:bCs/>
          <w:sz w:val="28"/>
          <w:szCs w:val="28"/>
          <w:highlight w:val="none"/>
          <w:lang w:val="zh-CN"/>
        </w:rPr>
      </w:pPr>
      <w:r>
        <w:rPr>
          <w:bCs/>
          <w:sz w:val="28"/>
          <w:szCs w:val="28"/>
          <w:highlight w:val="none"/>
          <w:lang w:val="zh-CN"/>
        </w:rPr>
        <w:t xml:space="preserve">                 </w:t>
      </w:r>
      <w:r>
        <w:rPr>
          <w:rFonts w:hint="eastAsia"/>
          <w:bCs/>
          <w:sz w:val="28"/>
          <w:szCs w:val="28"/>
          <w:highlight w:val="none"/>
          <w:lang w:val="zh-CN"/>
        </w:rPr>
        <w:t>报价供应商全称：（盖章）</w:t>
      </w:r>
    </w:p>
    <w:p w14:paraId="02A0393A">
      <w:pPr>
        <w:spacing w:line="360" w:lineRule="auto"/>
        <w:ind w:firstLine="560" w:firstLineChars="200"/>
        <w:jc w:val="center"/>
        <w:rPr>
          <w:bCs/>
          <w:sz w:val="28"/>
          <w:szCs w:val="28"/>
          <w:highlight w:val="none"/>
          <w:lang w:val="zh-CN"/>
        </w:rPr>
      </w:pPr>
      <w:r>
        <w:rPr>
          <w:rFonts w:hint="eastAsia"/>
          <w:bCs/>
          <w:sz w:val="28"/>
          <w:szCs w:val="28"/>
          <w:highlight w:val="none"/>
          <w:lang w:val="zh-CN"/>
        </w:rPr>
        <w:t xml:space="preserve">             </w:t>
      </w:r>
      <w:r>
        <w:rPr>
          <w:bCs/>
          <w:sz w:val="28"/>
          <w:szCs w:val="28"/>
          <w:highlight w:val="none"/>
          <w:lang w:val="zh-CN"/>
        </w:rPr>
        <w:t xml:space="preserve">        </w:t>
      </w:r>
      <w:r>
        <w:rPr>
          <w:rFonts w:hint="eastAsia"/>
          <w:bCs/>
          <w:sz w:val="28"/>
          <w:szCs w:val="28"/>
          <w:highlight w:val="none"/>
          <w:lang w:val="zh-CN"/>
        </w:rPr>
        <w:t xml:space="preserve"> 法定代表人（或授权代表）：（签字）</w:t>
      </w:r>
    </w:p>
    <w:p w14:paraId="57869D33">
      <w:pPr>
        <w:spacing w:line="360" w:lineRule="auto"/>
        <w:ind w:firstLine="560" w:firstLineChars="200"/>
        <w:jc w:val="center"/>
        <w:rPr>
          <w:bCs/>
          <w:sz w:val="28"/>
          <w:szCs w:val="28"/>
          <w:highlight w:val="none"/>
          <w:lang w:val="zh-CN"/>
        </w:rPr>
      </w:pPr>
      <w:r>
        <w:rPr>
          <w:bCs/>
          <w:sz w:val="28"/>
          <w:szCs w:val="28"/>
          <w:highlight w:val="none"/>
          <w:lang w:val="zh-CN"/>
        </w:rPr>
        <w:t xml:space="preserve">                                     </w:t>
      </w:r>
      <w:r>
        <w:rPr>
          <w:bCs/>
          <w:sz w:val="28"/>
          <w:szCs w:val="28"/>
          <w:highlight w:val="none"/>
          <w:u w:val="single"/>
        </w:rPr>
        <w:t xml:space="preserve">    </w:t>
      </w:r>
      <w:r>
        <w:rPr>
          <w:rFonts w:hint="eastAsia"/>
          <w:bCs/>
          <w:sz w:val="28"/>
          <w:szCs w:val="28"/>
          <w:highlight w:val="none"/>
        </w:rPr>
        <w:t>年</w:t>
      </w:r>
      <w:r>
        <w:rPr>
          <w:bCs/>
          <w:sz w:val="28"/>
          <w:szCs w:val="28"/>
          <w:highlight w:val="none"/>
          <w:u w:val="single"/>
        </w:rPr>
        <w:t xml:space="preserve">   </w:t>
      </w:r>
      <w:r>
        <w:rPr>
          <w:rFonts w:hint="eastAsia"/>
          <w:bCs/>
          <w:sz w:val="28"/>
          <w:szCs w:val="28"/>
          <w:highlight w:val="none"/>
        </w:rPr>
        <w:t>月</w:t>
      </w:r>
      <w:r>
        <w:rPr>
          <w:bCs/>
          <w:sz w:val="28"/>
          <w:szCs w:val="28"/>
          <w:highlight w:val="none"/>
          <w:u w:val="single"/>
        </w:rPr>
        <w:t xml:space="preserve">   </w:t>
      </w:r>
      <w:r>
        <w:rPr>
          <w:rFonts w:hint="eastAsia"/>
          <w:bCs/>
          <w:sz w:val="28"/>
          <w:szCs w:val="28"/>
          <w:highlight w:val="none"/>
        </w:rPr>
        <w:t>日</w:t>
      </w:r>
    </w:p>
    <w:p w14:paraId="1E5FD076">
      <w:pPr>
        <w:pStyle w:val="6"/>
        <w:spacing w:before="120" w:beforeLines="50" w:after="120" w:afterLines="50" w:line="360" w:lineRule="auto"/>
        <w:rPr>
          <w:b w:val="0"/>
          <w:highlight w:val="none"/>
        </w:rPr>
      </w:pPr>
      <w:r>
        <w:rPr>
          <w:b w:val="0"/>
          <w:highlight w:val="none"/>
        </w:rPr>
        <w:br w:type="page"/>
      </w:r>
      <w:bookmarkStart w:id="625" w:name="_Toc112768470"/>
      <w:bookmarkStart w:id="626" w:name="_Toc23421"/>
      <w:bookmarkStart w:id="627" w:name="_Toc31198"/>
      <w:bookmarkStart w:id="628" w:name="_Toc17357"/>
      <w:bookmarkStart w:id="629" w:name="_Toc15352"/>
      <w:bookmarkStart w:id="630" w:name="_Toc9609"/>
      <w:bookmarkStart w:id="631" w:name="_Toc112768468"/>
      <w:bookmarkStart w:id="632" w:name="_Toc15416"/>
      <w:bookmarkStart w:id="633" w:name="_Toc11622"/>
      <w:bookmarkStart w:id="634" w:name="_Toc29226"/>
      <w:bookmarkStart w:id="635" w:name="_Toc14714"/>
      <w:bookmarkStart w:id="636" w:name="_Toc5827"/>
      <w:r>
        <w:rPr>
          <w:rFonts w:hint="eastAsia"/>
          <w:b w:val="0"/>
          <w:highlight w:val="none"/>
        </w:rPr>
        <w:t>附件2-</w:t>
      </w:r>
      <w:r>
        <w:rPr>
          <w:b w:val="0"/>
          <w:highlight w:val="none"/>
        </w:rPr>
        <w:t>7</w:t>
      </w:r>
      <w:r>
        <w:rPr>
          <w:rFonts w:hint="eastAsia"/>
          <w:b w:val="0"/>
          <w:highlight w:val="none"/>
        </w:rPr>
        <w:t>交货清单</w:t>
      </w:r>
    </w:p>
    <w:p w14:paraId="2240B0B8">
      <w:pPr>
        <w:spacing w:before="120" w:beforeLines="50" w:after="120" w:afterLines="50" w:line="560" w:lineRule="exact"/>
        <w:jc w:val="center"/>
        <w:rPr>
          <w:rFonts w:ascii="黑体" w:hAnsi="黑体" w:eastAsia="黑体" w:cs="黑体"/>
          <w:bCs/>
          <w:sz w:val="36"/>
          <w:szCs w:val="36"/>
          <w:highlight w:val="none"/>
          <w:lang w:val="zh-CN"/>
        </w:rPr>
      </w:pPr>
      <w:r>
        <w:rPr>
          <w:rFonts w:ascii="黑体" w:hAnsi="黑体" w:eastAsia="黑体" w:cs="黑体"/>
          <w:bCs/>
          <w:sz w:val="36"/>
          <w:szCs w:val="36"/>
          <w:highlight w:val="none"/>
          <w:lang w:val="zh-CN"/>
        </w:rPr>
        <w:t>交货清单</w:t>
      </w:r>
    </w:p>
    <w:p w14:paraId="761202C5">
      <w:pPr>
        <w:rPr>
          <w:snapToGrid w:val="0"/>
          <w:sz w:val="28"/>
          <w:szCs w:val="28"/>
          <w:highlight w:val="none"/>
          <w:lang w:val="zh-CN"/>
        </w:rPr>
      </w:pPr>
      <w:r>
        <w:rPr>
          <w:sz w:val="28"/>
          <w:szCs w:val="28"/>
          <w:highlight w:val="none"/>
        </w:rPr>
        <w:t>项目名称：</w:t>
      </w:r>
      <w:r>
        <w:rPr>
          <w:sz w:val="28"/>
          <w:szCs w:val="28"/>
          <w:highlight w:val="none"/>
          <w:u w:val="single"/>
        </w:rPr>
        <w:t xml:space="preserve">          </w:t>
      </w:r>
      <w:r>
        <w:rPr>
          <w:sz w:val="28"/>
          <w:szCs w:val="28"/>
          <w:highlight w:val="none"/>
        </w:rPr>
        <w:t xml:space="preserve">    项目编号：</w:t>
      </w:r>
      <w:r>
        <w:rPr>
          <w:sz w:val="28"/>
          <w:szCs w:val="28"/>
          <w:highlight w:val="none"/>
          <w:u w:val="single"/>
        </w:rPr>
        <w:t xml:space="preserve">            </w:t>
      </w:r>
      <w:r>
        <w:rPr>
          <w:sz w:val="28"/>
          <w:szCs w:val="28"/>
          <w:highlight w:val="none"/>
        </w:rPr>
        <w:t xml:space="preserve">   包号：</w:t>
      </w:r>
      <w:r>
        <w:rPr>
          <w:sz w:val="28"/>
          <w:szCs w:val="28"/>
          <w:highlight w:val="none"/>
          <w:u w:val="single"/>
        </w:rPr>
        <w:t xml:space="preserve">         </w:t>
      </w:r>
    </w:p>
    <w:tbl>
      <w:tblPr>
        <w:tblStyle w:val="42"/>
        <w:tblW w:w="4994" w:type="pct"/>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750"/>
        <w:gridCol w:w="1198"/>
        <w:gridCol w:w="817"/>
        <w:gridCol w:w="840"/>
        <w:gridCol w:w="681"/>
        <w:gridCol w:w="1026"/>
        <w:gridCol w:w="848"/>
        <w:gridCol w:w="909"/>
        <w:gridCol w:w="723"/>
        <w:gridCol w:w="743"/>
        <w:gridCol w:w="1024"/>
      </w:tblGrid>
      <w:tr w14:paraId="12509E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24" w:hRule="atLeast"/>
        </w:trPr>
        <w:tc>
          <w:tcPr>
            <w:tcW w:w="392" w:type="pct"/>
            <w:tcBorders>
              <w:top w:val="single" w:color="000000" w:sz="4" w:space="0"/>
              <w:left w:val="single" w:color="000000" w:sz="4" w:space="0"/>
              <w:bottom w:val="single" w:color="000000" w:sz="4" w:space="0"/>
              <w:right w:val="single" w:color="000000" w:sz="4" w:space="0"/>
            </w:tcBorders>
            <w:vAlign w:val="center"/>
          </w:tcPr>
          <w:p w14:paraId="26E3F2A9">
            <w:pPr>
              <w:widowControl/>
              <w:jc w:val="center"/>
              <w:rPr>
                <w:sz w:val="24"/>
                <w:highlight w:val="none"/>
              </w:rPr>
            </w:pPr>
            <w:r>
              <w:rPr>
                <w:sz w:val="24"/>
                <w:highlight w:val="none"/>
              </w:rPr>
              <w:t>序号</w:t>
            </w:r>
          </w:p>
        </w:tc>
        <w:tc>
          <w:tcPr>
            <w:tcW w:w="626" w:type="pct"/>
            <w:tcBorders>
              <w:top w:val="single" w:color="000000" w:sz="4" w:space="0"/>
              <w:left w:val="single" w:color="000000" w:sz="4" w:space="0"/>
              <w:bottom w:val="single" w:color="000000" w:sz="4" w:space="0"/>
              <w:right w:val="single" w:color="000000" w:sz="4" w:space="0"/>
            </w:tcBorders>
            <w:vAlign w:val="center"/>
          </w:tcPr>
          <w:p w14:paraId="37EFA406">
            <w:pPr>
              <w:widowControl/>
              <w:jc w:val="center"/>
              <w:rPr>
                <w:sz w:val="24"/>
                <w:highlight w:val="none"/>
              </w:rPr>
            </w:pPr>
            <w:r>
              <w:rPr>
                <w:rFonts w:hint="eastAsia"/>
                <w:sz w:val="24"/>
                <w:highlight w:val="none"/>
              </w:rPr>
              <w:t>物资名称</w:t>
            </w:r>
          </w:p>
        </w:tc>
        <w:tc>
          <w:tcPr>
            <w:tcW w:w="427" w:type="pct"/>
            <w:tcBorders>
              <w:top w:val="single" w:color="000000" w:sz="4" w:space="0"/>
              <w:left w:val="single" w:color="000000" w:sz="4" w:space="0"/>
              <w:bottom w:val="single" w:color="000000" w:sz="4" w:space="0"/>
              <w:right w:val="single" w:color="000000" w:sz="4" w:space="0"/>
            </w:tcBorders>
            <w:vAlign w:val="center"/>
          </w:tcPr>
          <w:p w14:paraId="1BDF858B">
            <w:pPr>
              <w:widowControl/>
              <w:jc w:val="center"/>
              <w:rPr>
                <w:sz w:val="24"/>
                <w:highlight w:val="none"/>
              </w:rPr>
            </w:pPr>
            <w:r>
              <w:rPr>
                <w:sz w:val="24"/>
                <w:highlight w:val="none"/>
              </w:rPr>
              <w:t>品牌</w:t>
            </w:r>
          </w:p>
        </w:tc>
        <w:tc>
          <w:tcPr>
            <w:tcW w:w="439" w:type="pct"/>
            <w:tcBorders>
              <w:top w:val="single" w:color="000000" w:sz="4" w:space="0"/>
              <w:left w:val="single" w:color="000000" w:sz="4" w:space="0"/>
              <w:bottom w:val="single" w:color="000000" w:sz="4" w:space="0"/>
              <w:right w:val="single" w:color="000000" w:sz="4" w:space="0"/>
            </w:tcBorders>
            <w:vAlign w:val="center"/>
          </w:tcPr>
          <w:p w14:paraId="2328DDFE">
            <w:pPr>
              <w:widowControl/>
              <w:jc w:val="center"/>
              <w:rPr>
                <w:sz w:val="24"/>
                <w:highlight w:val="none"/>
              </w:rPr>
            </w:pPr>
            <w:r>
              <w:rPr>
                <w:sz w:val="24"/>
                <w:highlight w:val="none"/>
              </w:rPr>
              <w:t>规格型号</w:t>
            </w:r>
          </w:p>
        </w:tc>
        <w:tc>
          <w:tcPr>
            <w:tcW w:w="356" w:type="pct"/>
            <w:tcBorders>
              <w:top w:val="single" w:color="000000" w:sz="4" w:space="0"/>
              <w:left w:val="single" w:color="000000" w:sz="4" w:space="0"/>
              <w:bottom w:val="single" w:color="000000" w:sz="4" w:space="0"/>
              <w:right w:val="single" w:color="000000" w:sz="4" w:space="0"/>
            </w:tcBorders>
            <w:vAlign w:val="center"/>
          </w:tcPr>
          <w:p w14:paraId="6F6FB8FC">
            <w:pPr>
              <w:widowControl/>
              <w:jc w:val="center"/>
              <w:rPr>
                <w:sz w:val="24"/>
                <w:highlight w:val="none"/>
              </w:rPr>
            </w:pPr>
            <w:r>
              <w:rPr>
                <w:sz w:val="24"/>
                <w:highlight w:val="none"/>
              </w:rPr>
              <w:t>单位</w:t>
            </w:r>
          </w:p>
        </w:tc>
        <w:tc>
          <w:tcPr>
            <w:tcW w:w="536" w:type="pct"/>
            <w:tcBorders>
              <w:top w:val="single" w:color="000000" w:sz="4" w:space="0"/>
              <w:left w:val="single" w:color="auto" w:sz="4" w:space="0"/>
              <w:bottom w:val="single" w:color="000000" w:sz="4" w:space="0"/>
              <w:right w:val="single" w:color="auto" w:sz="4" w:space="0"/>
            </w:tcBorders>
            <w:vAlign w:val="center"/>
          </w:tcPr>
          <w:p w14:paraId="5EB7DB21">
            <w:pPr>
              <w:widowControl/>
              <w:jc w:val="center"/>
              <w:rPr>
                <w:sz w:val="24"/>
                <w:highlight w:val="none"/>
              </w:rPr>
            </w:pPr>
            <w:r>
              <w:rPr>
                <w:rFonts w:hint="eastAsia"/>
                <w:sz w:val="24"/>
                <w:highlight w:val="none"/>
              </w:rPr>
              <w:t>数量</w:t>
            </w:r>
          </w:p>
        </w:tc>
        <w:tc>
          <w:tcPr>
            <w:tcW w:w="443" w:type="pct"/>
            <w:tcBorders>
              <w:top w:val="single" w:color="000000" w:sz="4" w:space="0"/>
              <w:left w:val="single" w:color="auto" w:sz="4" w:space="0"/>
              <w:bottom w:val="single" w:color="000000" w:sz="4" w:space="0"/>
              <w:right w:val="single" w:color="000000" w:sz="4" w:space="0"/>
            </w:tcBorders>
            <w:vAlign w:val="center"/>
          </w:tcPr>
          <w:p w14:paraId="335187EF">
            <w:pPr>
              <w:widowControl/>
              <w:jc w:val="center"/>
              <w:rPr>
                <w:sz w:val="24"/>
                <w:highlight w:val="none"/>
              </w:rPr>
            </w:pPr>
            <w:r>
              <w:rPr>
                <w:sz w:val="24"/>
                <w:highlight w:val="none"/>
              </w:rPr>
              <w:t>原产地</w:t>
            </w:r>
          </w:p>
        </w:tc>
        <w:tc>
          <w:tcPr>
            <w:tcW w:w="475" w:type="pct"/>
            <w:tcBorders>
              <w:top w:val="single" w:color="000000" w:sz="4" w:space="0"/>
              <w:left w:val="single" w:color="auto" w:sz="4" w:space="0"/>
              <w:bottom w:val="single" w:color="000000" w:sz="4" w:space="0"/>
              <w:right w:val="single" w:color="000000" w:sz="4" w:space="0"/>
            </w:tcBorders>
            <w:vAlign w:val="center"/>
          </w:tcPr>
          <w:p w14:paraId="04DCE60C">
            <w:pPr>
              <w:widowControl/>
              <w:jc w:val="center"/>
              <w:rPr>
                <w:sz w:val="24"/>
                <w:highlight w:val="none"/>
              </w:rPr>
            </w:pPr>
            <w:r>
              <w:rPr>
                <w:rFonts w:hint="eastAsia"/>
                <w:snapToGrid w:val="0"/>
                <w:sz w:val="24"/>
                <w:highlight w:val="none"/>
              </w:rPr>
              <w:t>交货时间</w:t>
            </w:r>
          </w:p>
        </w:tc>
        <w:tc>
          <w:tcPr>
            <w:tcW w:w="378" w:type="pct"/>
            <w:tcBorders>
              <w:top w:val="single" w:color="000000" w:sz="4" w:space="0"/>
              <w:left w:val="single" w:color="auto" w:sz="4" w:space="0"/>
              <w:bottom w:val="single" w:color="000000" w:sz="4" w:space="0"/>
              <w:right w:val="single" w:color="000000" w:sz="4" w:space="0"/>
            </w:tcBorders>
            <w:vAlign w:val="center"/>
          </w:tcPr>
          <w:p w14:paraId="1C97DF35">
            <w:pPr>
              <w:widowControl/>
              <w:jc w:val="center"/>
              <w:rPr>
                <w:sz w:val="24"/>
                <w:highlight w:val="none"/>
              </w:rPr>
            </w:pPr>
            <w:r>
              <w:rPr>
                <w:rFonts w:hint="eastAsia"/>
                <w:snapToGrid w:val="0"/>
                <w:sz w:val="24"/>
                <w:highlight w:val="none"/>
              </w:rPr>
              <w:t>交货地点</w:t>
            </w:r>
          </w:p>
        </w:tc>
        <w:tc>
          <w:tcPr>
            <w:tcW w:w="388" w:type="pct"/>
            <w:tcBorders>
              <w:top w:val="single" w:color="000000" w:sz="4" w:space="0"/>
              <w:left w:val="single" w:color="auto" w:sz="4" w:space="0"/>
              <w:bottom w:val="single" w:color="000000" w:sz="4" w:space="0"/>
              <w:right w:val="single" w:color="000000" w:sz="4" w:space="0"/>
            </w:tcBorders>
            <w:vAlign w:val="center"/>
          </w:tcPr>
          <w:p w14:paraId="42D97DE0">
            <w:pPr>
              <w:widowControl/>
              <w:jc w:val="center"/>
              <w:rPr>
                <w:sz w:val="24"/>
                <w:highlight w:val="none"/>
              </w:rPr>
            </w:pPr>
            <w:r>
              <w:rPr>
                <w:rFonts w:hint="eastAsia"/>
                <w:snapToGrid w:val="0"/>
                <w:sz w:val="24"/>
                <w:highlight w:val="none"/>
              </w:rPr>
              <w:t>交货方式</w:t>
            </w:r>
          </w:p>
        </w:tc>
        <w:tc>
          <w:tcPr>
            <w:tcW w:w="535" w:type="pct"/>
            <w:tcBorders>
              <w:top w:val="single" w:color="000000" w:sz="4" w:space="0"/>
              <w:left w:val="single" w:color="auto" w:sz="4" w:space="0"/>
              <w:bottom w:val="single" w:color="000000" w:sz="4" w:space="0"/>
              <w:right w:val="single" w:color="000000" w:sz="4" w:space="0"/>
            </w:tcBorders>
            <w:vAlign w:val="center"/>
          </w:tcPr>
          <w:p w14:paraId="6416C28E">
            <w:pPr>
              <w:widowControl/>
              <w:jc w:val="center"/>
              <w:rPr>
                <w:rFonts w:hint="eastAsia" w:eastAsia="宋体"/>
                <w:snapToGrid w:val="0"/>
                <w:sz w:val="24"/>
                <w:highlight w:val="none"/>
                <w:lang w:val="en-US" w:eastAsia="zh-CN"/>
              </w:rPr>
            </w:pPr>
            <w:r>
              <w:rPr>
                <w:rFonts w:hint="eastAsia"/>
                <w:snapToGrid w:val="0"/>
                <w:sz w:val="24"/>
                <w:highlight w:val="none"/>
                <w:lang w:val="en-US" w:eastAsia="zh-CN"/>
              </w:rPr>
              <w:t>备注</w:t>
            </w:r>
          </w:p>
        </w:tc>
      </w:tr>
      <w:tr w14:paraId="19446E2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24" w:hRule="atLeast"/>
        </w:trPr>
        <w:tc>
          <w:tcPr>
            <w:tcW w:w="392" w:type="pct"/>
            <w:tcBorders>
              <w:top w:val="single" w:color="000000" w:sz="4" w:space="0"/>
              <w:left w:val="single" w:color="000000" w:sz="4" w:space="0"/>
              <w:bottom w:val="single" w:color="000000" w:sz="4" w:space="0"/>
              <w:right w:val="single" w:color="000000" w:sz="4" w:space="0"/>
            </w:tcBorders>
            <w:vAlign w:val="center"/>
          </w:tcPr>
          <w:p w14:paraId="724D8713">
            <w:pPr>
              <w:jc w:val="center"/>
              <w:rPr>
                <w:snapToGrid w:val="0"/>
                <w:sz w:val="24"/>
                <w:highlight w:val="none"/>
              </w:rPr>
            </w:pPr>
          </w:p>
        </w:tc>
        <w:tc>
          <w:tcPr>
            <w:tcW w:w="626" w:type="pct"/>
            <w:tcBorders>
              <w:top w:val="single" w:color="000000" w:sz="4" w:space="0"/>
              <w:left w:val="single" w:color="000000" w:sz="4" w:space="0"/>
              <w:bottom w:val="single" w:color="000000" w:sz="4" w:space="0"/>
              <w:right w:val="single" w:color="000000" w:sz="4" w:space="0"/>
            </w:tcBorders>
            <w:vAlign w:val="center"/>
          </w:tcPr>
          <w:p w14:paraId="5FA07846">
            <w:pPr>
              <w:jc w:val="center"/>
              <w:rPr>
                <w:snapToGrid w:val="0"/>
                <w:sz w:val="24"/>
                <w:highlight w:val="none"/>
              </w:rPr>
            </w:pPr>
          </w:p>
        </w:tc>
        <w:tc>
          <w:tcPr>
            <w:tcW w:w="427" w:type="pct"/>
            <w:tcBorders>
              <w:top w:val="single" w:color="000000" w:sz="4" w:space="0"/>
              <w:left w:val="single" w:color="000000" w:sz="4" w:space="0"/>
              <w:bottom w:val="single" w:color="000000" w:sz="4" w:space="0"/>
              <w:right w:val="single" w:color="000000" w:sz="4" w:space="0"/>
            </w:tcBorders>
            <w:vAlign w:val="center"/>
          </w:tcPr>
          <w:p w14:paraId="3F0708DB">
            <w:pPr>
              <w:jc w:val="center"/>
              <w:rPr>
                <w:snapToGrid w:val="0"/>
                <w:sz w:val="24"/>
                <w:highlight w:val="none"/>
              </w:rPr>
            </w:pPr>
          </w:p>
        </w:tc>
        <w:tc>
          <w:tcPr>
            <w:tcW w:w="439" w:type="pct"/>
            <w:tcBorders>
              <w:top w:val="single" w:color="000000" w:sz="4" w:space="0"/>
              <w:left w:val="single" w:color="000000" w:sz="4" w:space="0"/>
              <w:bottom w:val="single" w:color="000000" w:sz="4" w:space="0"/>
              <w:right w:val="single" w:color="000000" w:sz="4" w:space="0"/>
            </w:tcBorders>
            <w:vAlign w:val="center"/>
          </w:tcPr>
          <w:p w14:paraId="040E54D8">
            <w:pPr>
              <w:jc w:val="center"/>
              <w:rPr>
                <w:snapToGrid w:val="0"/>
                <w:sz w:val="24"/>
                <w:highlight w:val="none"/>
              </w:rPr>
            </w:pPr>
          </w:p>
        </w:tc>
        <w:tc>
          <w:tcPr>
            <w:tcW w:w="356" w:type="pct"/>
            <w:tcBorders>
              <w:top w:val="single" w:color="000000" w:sz="4" w:space="0"/>
              <w:left w:val="single" w:color="000000" w:sz="4" w:space="0"/>
              <w:bottom w:val="single" w:color="000000" w:sz="4" w:space="0"/>
              <w:right w:val="single" w:color="000000" w:sz="4" w:space="0"/>
            </w:tcBorders>
            <w:vAlign w:val="center"/>
          </w:tcPr>
          <w:p w14:paraId="3689527D">
            <w:pPr>
              <w:jc w:val="center"/>
              <w:rPr>
                <w:snapToGrid w:val="0"/>
                <w:sz w:val="24"/>
                <w:highlight w:val="none"/>
              </w:rPr>
            </w:pPr>
          </w:p>
        </w:tc>
        <w:tc>
          <w:tcPr>
            <w:tcW w:w="536" w:type="pct"/>
            <w:tcBorders>
              <w:top w:val="single" w:color="000000" w:sz="4" w:space="0"/>
              <w:left w:val="single" w:color="auto" w:sz="4" w:space="0"/>
              <w:bottom w:val="single" w:color="000000" w:sz="4" w:space="0"/>
              <w:right w:val="single" w:color="auto" w:sz="4" w:space="0"/>
            </w:tcBorders>
          </w:tcPr>
          <w:p w14:paraId="6782A64A">
            <w:pPr>
              <w:jc w:val="center"/>
              <w:rPr>
                <w:snapToGrid w:val="0"/>
                <w:sz w:val="24"/>
                <w:highlight w:val="none"/>
              </w:rPr>
            </w:pPr>
          </w:p>
        </w:tc>
        <w:tc>
          <w:tcPr>
            <w:tcW w:w="443" w:type="pct"/>
            <w:tcBorders>
              <w:top w:val="single" w:color="000000" w:sz="4" w:space="0"/>
              <w:left w:val="single" w:color="auto" w:sz="4" w:space="0"/>
              <w:bottom w:val="single" w:color="000000" w:sz="4" w:space="0"/>
              <w:right w:val="single" w:color="000000" w:sz="4" w:space="0"/>
            </w:tcBorders>
            <w:vAlign w:val="center"/>
          </w:tcPr>
          <w:p w14:paraId="3BA0CB19">
            <w:pPr>
              <w:jc w:val="center"/>
              <w:rPr>
                <w:snapToGrid w:val="0"/>
                <w:sz w:val="24"/>
                <w:highlight w:val="none"/>
              </w:rPr>
            </w:pPr>
          </w:p>
        </w:tc>
        <w:tc>
          <w:tcPr>
            <w:tcW w:w="475" w:type="pct"/>
            <w:tcBorders>
              <w:top w:val="single" w:color="000000" w:sz="4" w:space="0"/>
              <w:left w:val="single" w:color="auto" w:sz="4" w:space="0"/>
              <w:bottom w:val="single" w:color="000000" w:sz="4" w:space="0"/>
              <w:right w:val="single" w:color="000000" w:sz="4" w:space="0"/>
            </w:tcBorders>
          </w:tcPr>
          <w:p w14:paraId="2E78E9E6">
            <w:pPr>
              <w:jc w:val="center"/>
              <w:rPr>
                <w:snapToGrid w:val="0"/>
                <w:sz w:val="24"/>
                <w:highlight w:val="none"/>
              </w:rPr>
            </w:pPr>
          </w:p>
        </w:tc>
        <w:tc>
          <w:tcPr>
            <w:tcW w:w="378" w:type="pct"/>
            <w:tcBorders>
              <w:top w:val="single" w:color="000000" w:sz="4" w:space="0"/>
              <w:left w:val="single" w:color="auto" w:sz="4" w:space="0"/>
              <w:bottom w:val="single" w:color="000000" w:sz="4" w:space="0"/>
              <w:right w:val="single" w:color="000000" w:sz="4" w:space="0"/>
            </w:tcBorders>
          </w:tcPr>
          <w:p w14:paraId="0529F928">
            <w:pPr>
              <w:jc w:val="center"/>
              <w:rPr>
                <w:snapToGrid w:val="0"/>
                <w:sz w:val="24"/>
                <w:highlight w:val="none"/>
              </w:rPr>
            </w:pPr>
          </w:p>
        </w:tc>
        <w:tc>
          <w:tcPr>
            <w:tcW w:w="388" w:type="pct"/>
            <w:tcBorders>
              <w:top w:val="single" w:color="000000" w:sz="4" w:space="0"/>
              <w:left w:val="single" w:color="auto" w:sz="4" w:space="0"/>
              <w:bottom w:val="single" w:color="000000" w:sz="4" w:space="0"/>
              <w:right w:val="single" w:color="000000" w:sz="4" w:space="0"/>
            </w:tcBorders>
          </w:tcPr>
          <w:p w14:paraId="1069AEC5">
            <w:pPr>
              <w:jc w:val="center"/>
              <w:rPr>
                <w:snapToGrid w:val="0"/>
                <w:sz w:val="24"/>
                <w:highlight w:val="none"/>
              </w:rPr>
            </w:pPr>
          </w:p>
        </w:tc>
        <w:tc>
          <w:tcPr>
            <w:tcW w:w="535" w:type="pct"/>
            <w:tcBorders>
              <w:top w:val="single" w:color="000000" w:sz="4" w:space="0"/>
              <w:left w:val="single" w:color="auto" w:sz="4" w:space="0"/>
              <w:bottom w:val="single" w:color="000000" w:sz="4" w:space="0"/>
              <w:right w:val="single" w:color="000000" w:sz="4" w:space="0"/>
            </w:tcBorders>
          </w:tcPr>
          <w:p w14:paraId="09EADC1A">
            <w:pPr>
              <w:jc w:val="center"/>
              <w:rPr>
                <w:rFonts w:hint="default" w:eastAsia="宋体"/>
                <w:snapToGrid w:val="0"/>
                <w:sz w:val="24"/>
                <w:highlight w:val="none"/>
                <w:lang w:val="en-US" w:eastAsia="zh-CN"/>
              </w:rPr>
            </w:pPr>
            <w:r>
              <w:rPr>
                <w:rFonts w:hint="eastAsia"/>
                <w:color w:val="FF0000"/>
                <w:szCs w:val="28"/>
                <w:highlight w:val="none"/>
              </w:rPr>
              <w:t>填写对应配置清单要求名称，如不一致请说明情况</w:t>
            </w:r>
          </w:p>
        </w:tc>
      </w:tr>
      <w:tr w14:paraId="212922A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24" w:hRule="atLeast"/>
        </w:trPr>
        <w:tc>
          <w:tcPr>
            <w:tcW w:w="392" w:type="pct"/>
            <w:tcBorders>
              <w:top w:val="single" w:color="000000" w:sz="4" w:space="0"/>
              <w:left w:val="single" w:color="000000" w:sz="4" w:space="0"/>
              <w:bottom w:val="single" w:color="000000" w:sz="4" w:space="0"/>
              <w:right w:val="single" w:color="000000" w:sz="4" w:space="0"/>
            </w:tcBorders>
            <w:vAlign w:val="center"/>
          </w:tcPr>
          <w:p w14:paraId="4B15CC77">
            <w:pPr>
              <w:jc w:val="center"/>
              <w:rPr>
                <w:snapToGrid w:val="0"/>
                <w:sz w:val="24"/>
                <w:highlight w:val="none"/>
              </w:rPr>
            </w:pPr>
          </w:p>
        </w:tc>
        <w:tc>
          <w:tcPr>
            <w:tcW w:w="626" w:type="pct"/>
            <w:tcBorders>
              <w:top w:val="single" w:color="000000" w:sz="4" w:space="0"/>
              <w:left w:val="single" w:color="000000" w:sz="4" w:space="0"/>
              <w:bottom w:val="single" w:color="000000" w:sz="4" w:space="0"/>
              <w:right w:val="single" w:color="000000" w:sz="4" w:space="0"/>
            </w:tcBorders>
            <w:vAlign w:val="center"/>
          </w:tcPr>
          <w:p w14:paraId="79F43749">
            <w:pPr>
              <w:jc w:val="center"/>
              <w:rPr>
                <w:snapToGrid w:val="0"/>
                <w:sz w:val="24"/>
                <w:highlight w:val="none"/>
              </w:rPr>
            </w:pPr>
          </w:p>
        </w:tc>
        <w:tc>
          <w:tcPr>
            <w:tcW w:w="427" w:type="pct"/>
            <w:tcBorders>
              <w:top w:val="single" w:color="000000" w:sz="4" w:space="0"/>
              <w:left w:val="single" w:color="000000" w:sz="4" w:space="0"/>
              <w:bottom w:val="single" w:color="000000" w:sz="4" w:space="0"/>
              <w:right w:val="single" w:color="000000" w:sz="4" w:space="0"/>
            </w:tcBorders>
            <w:vAlign w:val="center"/>
          </w:tcPr>
          <w:p w14:paraId="04DB10CB">
            <w:pPr>
              <w:jc w:val="center"/>
              <w:rPr>
                <w:snapToGrid w:val="0"/>
                <w:sz w:val="24"/>
                <w:highlight w:val="none"/>
              </w:rPr>
            </w:pPr>
          </w:p>
        </w:tc>
        <w:tc>
          <w:tcPr>
            <w:tcW w:w="439" w:type="pct"/>
            <w:tcBorders>
              <w:top w:val="single" w:color="000000" w:sz="4" w:space="0"/>
              <w:left w:val="single" w:color="000000" w:sz="4" w:space="0"/>
              <w:bottom w:val="single" w:color="000000" w:sz="4" w:space="0"/>
              <w:right w:val="single" w:color="000000" w:sz="4" w:space="0"/>
            </w:tcBorders>
            <w:vAlign w:val="center"/>
          </w:tcPr>
          <w:p w14:paraId="5A91F44E">
            <w:pPr>
              <w:jc w:val="center"/>
              <w:rPr>
                <w:snapToGrid w:val="0"/>
                <w:sz w:val="24"/>
                <w:highlight w:val="none"/>
              </w:rPr>
            </w:pPr>
          </w:p>
        </w:tc>
        <w:tc>
          <w:tcPr>
            <w:tcW w:w="356" w:type="pct"/>
            <w:tcBorders>
              <w:top w:val="single" w:color="000000" w:sz="4" w:space="0"/>
              <w:left w:val="single" w:color="000000" w:sz="4" w:space="0"/>
              <w:bottom w:val="single" w:color="000000" w:sz="4" w:space="0"/>
              <w:right w:val="single" w:color="000000" w:sz="4" w:space="0"/>
            </w:tcBorders>
            <w:vAlign w:val="center"/>
          </w:tcPr>
          <w:p w14:paraId="1EA9D03D">
            <w:pPr>
              <w:jc w:val="center"/>
              <w:rPr>
                <w:snapToGrid w:val="0"/>
                <w:sz w:val="24"/>
                <w:highlight w:val="none"/>
              </w:rPr>
            </w:pPr>
          </w:p>
        </w:tc>
        <w:tc>
          <w:tcPr>
            <w:tcW w:w="536" w:type="pct"/>
            <w:tcBorders>
              <w:top w:val="single" w:color="000000" w:sz="4" w:space="0"/>
              <w:left w:val="single" w:color="auto" w:sz="4" w:space="0"/>
              <w:bottom w:val="single" w:color="000000" w:sz="4" w:space="0"/>
              <w:right w:val="single" w:color="auto" w:sz="4" w:space="0"/>
            </w:tcBorders>
          </w:tcPr>
          <w:p w14:paraId="12D766F9">
            <w:pPr>
              <w:jc w:val="center"/>
              <w:rPr>
                <w:snapToGrid w:val="0"/>
                <w:sz w:val="24"/>
                <w:highlight w:val="none"/>
              </w:rPr>
            </w:pPr>
          </w:p>
        </w:tc>
        <w:tc>
          <w:tcPr>
            <w:tcW w:w="443" w:type="pct"/>
            <w:tcBorders>
              <w:top w:val="single" w:color="000000" w:sz="4" w:space="0"/>
              <w:left w:val="single" w:color="auto" w:sz="4" w:space="0"/>
              <w:bottom w:val="single" w:color="000000" w:sz="4" w:space="0"/>
              <w:right w:val="single" w:color="000000" w:sz="4" w:space="0"/>
            </w:tcBorders>
            <w:vAlign w:val="center"/>
          </w:tcPr>
          <w:p w14:paraId="1754FDBC">
            <w:pPr>
              <w:jc w:val="center"/>
              <w:rPr>
                <w:snapToGrid w:val="0"/>
                <w:sz w:val="24"/>
                <w:highlight w:val="none"/>
              </w:rPr>
            </w:pPr>
          </w:p>
        </w:tc>
        <w:tc>
          <w:tcPr>
            <w:tcW w:w="475" w:type="pct"/>
            <w:tcBorders>
              <w:top w:val="single" w:color="000000" w:sz="4" w:space="0"/>
              <w:left w:val="single" w:color="auto" w:sz="4" w:space="0"/>
              <w:bottom w:val="single" w:color="000000" w:sz="4" w:space="0"/>
              <w:right w:val="single" w:color="000000" w:sz="4" w:space="0"/>
            </w:tcBorders>
          </w:tcPr>
          <w:p w14:paraId="1630185A">
            <w:pPr>
              <w:jc w:val="center"/>
              <w:rPr>
                <w:snapToGrid w:val="0"/>
                <w:sz w:val="24"/>
                <w:highlight w:val="none"/>
              </w:rPr>
            </w:pPr>
          </w:p>
        </w:tc>
        <w:tc>
          <w:tcPr>
            <w:tcW w:w="378" w:type="pct"/>
            <w:tcBorders>
              <w:top w:val="single" w:color="000000" w:sz="4" w:space="0"/>
              <w:left w:val="single" w:color="auto" w:sz="4" w:space="0"/>
              <w:bottom w:val="single" w:color="000000" w:sz="4" w:space="0"/>
              <w:right w:val="single" w:color="000000" w:sz="4" w:space="0"/>
            </w:tcBorders>
          </w:tcPr>
          <w:p w14:paraId="1E9A3511">
            <w:pPr>
              <w:jc w:val="center"/>
              <w:rPr>
                <w:snapToGrid w:val="0"/>
                <w:sz w:val="24"/>
                <w:highlight w:val="none"/>
              </w:rPr>
            </w:pPr>
          </w:p>
        </w:tc>
        <w:tc>
          <w:tcPr>
            <w:tcW w:w="388" w:type="pct"/>
            <w:tcBorders>
              <w:top w:val="single" w:color="000000" w:sz="4" w:space="0"/>
              <w:left w:val="single" w:color="auto" w:sz="4" w:space="0"/>
              <w:bottom w:val="single" w:color="000000" w:sz="4" w:space="0"/>
              <w:right w:val="single" w:color="000000" w:sz="4" w:space="0"/>
            </w:tcBorders>
          </w:tcPr>
          <w:p w14:paraId="39289A59">
            <w:pPr>
              <w:jc w:val="center"/>
              <w:rPr>
                <w:snapToGrid w:val="0"/>
                <w:sz w:val="24"/>
                <w:highlight w:val="none"/>
              </w:rPr>
            </w:pPr>
          </w:p>
        </w:tc>
        <w:tc>
          <w:tcPr>
            <w:tcW w:w="535" w:type="pct"/>
            <w:tcBorders>
              <w:top w:val="single" w:color="000000" w:sz="4" w:space="0"/>
              <w:left w:val="single" w:color="auto" w:sz="4" w:space="0"/>
              <w:bottom w:val="single" w:color="000000" w:sz="4" w:space="0"/>
              <w:right w:val="single" w:color="000000" w:sz="4" w:space="0"/>
            </w:tcBorders>
          </w:tcPr>
          <w:p w14:paraId="70B03BE9">
            <w:pPr>
              <w:jc w:val="center"/>
              <w:rPr>
                <w:snapToGrid w:val="0"/>
                <w:sz w:val="24"/>
                <w:highlight w:val="none"/>
              </w:rPr>
            </w:pPr>
          </w:p>
        </w:tc>
      </w:tr>
      <w:tr w14:paraId="25EBAB2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24" w:hRule="atLeast"/>
        </w:trPr>
        <w:tc>
          <w:tcPr>
            <w:tcW w:w="392" w:type="pct"/>
            <w:tcBorders>
              <w:top w:val="single" w:color="000000" w:sz="4" w:space="0"/>
              <w:left w:val="single" w:color="000000" w:sz="4" w:space="0"/>
              <w:bottom w:val="single" w:color="000000" w:sz="4" w:space="0"/>
              <w:right w:val="single" w:color="000000" w:sz="4" w:space="0"/>
            </w:tcBorders>
            <w:vAlign w:val="center"/>
          </w:tcPr>
          <w:p w14:paraId="42158B46">
            <w:pPr>
              <w:jc w:val="center"/>
              <w:rPr>
                <w:snapToGrid w:val="0"/>
                <w:sz w:val="24"/>
                <w:highlight w:val="none"/>
              </w:rPr>
            </w:pPr>
          </w:p>
        </w:tc>
        <w:tc>
          <w:tcPr>
            <w:tcW w:w="626" w:type="pct"/>
            <w:tcBorders>
              <w:top w:val="single" w:color="000000" w:sz="4" w:space="0"/>
              <w:left w:val="single" w:color="000000" w:sz="4" w:space="0"/>
              <w:bottom w:val="single" w:color="000000" w:sz="4" w:space="0"/>
              <w:right w:val="single" w:color="000000" w:sz="4" w:space="0"/>
            </w:tcBorders>
            <w:vAlign w:val="center"/>
          </w:tcPr>
          <w:p w14:paraId="6325F5FA">
            <w:pPr>
              <w:jc w:val="center"/>
              <w:rPr>
                <w:snapToGrid w:val="0"/>
                <w:sz w:val="24"/>
                <w:highlight w:val="none"/>
              </w:rPr>
            </w:pPr>
          </w:p>
        </w:tc>
        <w:tc>
          <w:tcPr>
            <w:tcW w:w="427" w:type="pct"/>
            <w:tcBorders>
              <w:top w:val="single" w:color="000000" w:sz="4" w:space="0"/>
              <w:left w:val="single" w:color="000000" w:sz="4" w:space="0"/>
              <w:bottom w:val="single" w:color="000000" w:sz="4" w:space="0"/>
              <w:right w:val="single" w:color="000000" w:sz="4" w:space="0"/>
            </w:tcBorders>
            <w:vAlign w:val="center"/>
          </w:tcPr>
          <w:p w14:paraId="0E32371F">
            <w:pPr>
              <w:jc w:val="center"/>
              <w:rPr>
                <w:snapToGrid w:val="0"/>
                <w:sz w:val="24"/>
                <w:highlight w:val="none"/>
              </w:rPr>
            </w:pPr>
          </w:p>
        </w:tc>
        <w:tc>
          <w:tcPr>
            <w:tcW w:w="439" w:type="pct"/>
            <w:tcBorders>
              <w:top w:val="single" w:color="000000" w:sz="4" w:space="0"/>
              <w:left w:val="single" w:color="000000" w:sz="4" w:space="0"/>
              <w:bottom w:val="single" w:color="000000" w:sz="4" w:space="0"/>
              <w:right w:val="single" w:color="000000" w:sz="4" w:space="0"/>
            </w:tcBorders>
            <w:vAlign w:val="center"/>
          </w:tcPr>
          <w:p w14:paraId="237F43F9">
            <w:pPr>
              <w:jc w:val="center"/>
              <w:rPr>
                <w:snapToGrid w:val="0"/>
                <w:sz w:val="24"/>
                <w:highlight w:val="none"/>
              </w:rPr>
            </w:pPr>
          </w:p>
        </w:tc>
        <w:tc>
          <w:tcPr>
            <w:tcW w:w="356" w:type="pct"/>
            <w:tcBorders>
              <w:top w:val="single" w:color="000000" w:sz="4" w:space="0"/>
              <w:left w:val="single" w:color="000000" w:sz="4" w:space="0"/>
              <w:bottom w:val="single" w:color="000000" w:sz="4" w:space="0"/>
              <w:right w:val="single" w:color="000000" w:sz="4" w:space="0"/>
            </w:tcBorders>
            <w:vAlign w:val="center"/>
          </w:tcPr>
          <w:p w14:paraId="41680A05">
            <w:pPr>
              <w:jc w:val="center"/>
              <w:rPr>
                <w:snapToGrid w:val="0"/>
                <w:sz w:val="24"/>
                <w:highlight w:val="none"/>
              </w:rPr>
            </w:pPr>
          </w:p>
        </w:tc>
        <w:tc>
          <w:tcPr>
            <w:tcW w:w="536" w:type="pct"/>
            <w:tcBorders>
              <w:top w:val="single" w:color="000000" w:sz="4" w:space="0"/>
              <w:left w:val="single" w:color="auto" w:sz="4" w:space="0"/>
              <w:bottom w:val="single" w:color="000000" w:sz="4" w:space="0"/>
              <w:right w:val="single" w:color="auto" w:sz="4" w:space="0"/>
            </w:tcBorders>
          </w:tcPr>
          <w:p w14:paraId="56D97D46">
            <w:pPr>
              <w:jc w:val="center"/>
              <w:rPr>
                <w:snapToGrid w:val="0"/>
                <w:sz w:val="24"/>
                <w:highlight w:val="none"/>
              </w:rPr>
            </w:pPr>
          </w:p>
        </w:tc>
        <w:tc>
          <w:tcPr>
            <w:tcW w:w="443" w:type="pct"/>
            <w:tcBorders>
              <w:top w:val="single" w:color="000000" w:sz="4" w:space="0"/>
              <w:left w:val="single" w:color="auto" w:sz="4" w:space="0"/>
              <w:bottom w:val="single" w:color="000000" w:sz="4" w:space="0"/>
              <w:right w:val="single" w:color="000000" w:sz="4" w:space="0"/>
            </w:tcBorders>
            <w:vAlign w:val="center"/>
          </w:tcPr>
          <w:p w14:paraId="1354EC2A">
            <w:pPr>
              <w:jc w:val="center"/>
              <w:rPr>
                <w:snapToGrid w:val="0"/>
                <w:sz w:val="24"/>
                <w:highlight w:val="none"/>
              </w:rPr>
            </w:pPr>
          </w:p>
        </w:tc>
        <w:tc>
          <w:tcPr>
            <w:tcW w:w="475" w:type="pct"/>
            <w:tcBorders>
              <w:top w:val="single" w:color="000000" w:sz="4" w:space="0"/>
              <w:left w:val="single" w:color="auto" w:sz="4" w:space="0"/>
              <w:bottom w:val="single" w:color="000000" w:sz="4" w:space="0"/>
              <w:right w:val="single" w:color="000000" w:sz="4" w:space="0"/>
            </w:tcBorders>
          </w:tcPr>
          <w:p w14:paraId="1DF8B64C">
            <w:pPr>
              <w:jc w:val="center"/>
              <w:rPr>
                <w:snapToGrid w:val="0"/>
                <w:sz w:val="24"/>
                <w:highlight w:val="none"/>
              </w:rPr>
            </w:pPr>
          </w:p>
        </w:tc>
        <w:tc>
          <w:tcPr>
            <w:tcW w:w="378" w:type="pct"/>
            <w:tcBorders>
              <w:top w:val="single" w:color="000000" w:sz="4" w:space="0"/>
              <w:left w:val="single" w:color="auto" w:sz="4" w:space="0"/>
              <w:bottom w:val="single" w:color="000000" w:sz="4" w:space="0"/>
              <w:right w:val="single" w:color="000000" w:sz="4" w:space="0"/>
            </w:tcBorders>
          </w:tcPr>
          <w:p w14:paraId="758CDB67">
            <w:pPr>
              <w:jc w:val="center"/>
              <w:rPr>
                <w:snapToGrid w:val="0"/>
                <w:sz w:val="24"/>
                <w:highlight w:val="none"/>
              </w:rPr>
            </w:pPr>
          </w:p>
        </w:tc>
        <w:tc>
          <w:tcPr>
            <w:tcW w:w="388" w:type="pct"/>
            <w:tcBorders>
              <w:top w:val="single" w:color="000000" w:sz="4" w:space="0"/>
              <w:left w:val="single" w:color="auto" w:sz="4" w:space="0"/>
              <w:bottom w:val="single" w:color="000000" w:sz="4" w:space="0"/>
              <w:right w:val="single" w:color="000000" w:sz="4" w:space="0"/>
            </w:tcBorders>
          </w:tcPr>
          <w:p w14:paraId="7FABC850">
            <w:pPr>
              <w:jc w:val="center"/>
              <w:rPr>
                <w:snapToGrid w:val="0"/>
                <w:sz w:val="24"/>
                <w:highlight w:val="none"/>
              </w:rPr>
            </w:pPr>
          </w:p>
        </w:tc>
        <w:tc>
          <w:tcPr>
            <w:tcW w:w="535" w:type="pct"/>
            <w:tcBorders>
              <w:top w:val="single" w:color="000000" w:sz="4" w:space="0"/>
              <w:left w:val="single" w:color="auto" w:sz="4" w:space="0"/>
              <w:bottom w:val="single" w:color="000000" w:sz="4" w:space="0"/>
              <w:right w:val="single" w:color="000000" w:sz="4" w:space="0"/>
            </w:tcBorders>
          </w:tcPr>
          <w:p w14:paraId="3C109205">
            <w:pPr>
              <w:jc w:val="center"/>
              <w:rPr>
                <w:snapToGrid w:val="0"/>
                <w:sz w:val="24"/>
                <w:highlight w:val="none"/>
              </w:rPr>
            </w:pPr>
          </w:p>
        </w:tc>
      </w:tr>
      <w:tr w14:paraId="105DD0C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24" w:hRule="atLeast"/>
        </w:trPr>
        <w:tc>
          <w:tcPr>
            <w:tcW w:w="392" w:type="pct"/>
            <w:tcBorders>
              <w:top w:val="single" w:color="000000" w:sz="4" w:space="0"/>
              <w:left w:val="single" w:color="000000" w:sz="4" w:space="0"/>
              <w:bottom w:val="single" w:color="000000" w:sz="4" w:space="0"/>
              <w:right w:val="single" w:color="000000" w:sz="4" w:space="0"/>
            </w:tcBorders>
            <w:vAlign w:val="center"/>
          </w:tcPr>
          <w:p w14:paraId="21243AD1">
            <w:pPr>
              <w:jc w:val="center"/>
              <w:rPr>
                <w:snapToGrid w:val="0"/>
                <w:sz w:val="24"/>
                <w:highlight w:val="none"/>
              </w:rPr>
            </w:pPr>
          </w:p>
        </w:tc>
        <w:tc>
          <w:tcPr>
            <w:tcW w:w="626" w:type="pct"/>
            <w:tcBorders>
              <w:top w:val="single" w:color="000000" w:sz="4" w:space="0"/>
              <w:left w:val="single" w:color="000000" w:sz="4" w:space="0"/>
              <w:bottom w:val="single" w:color="000000" w:sz="4" w:space="0"/>
              <w:right w:val="single" w:color="000000" w:sz="4" w:space="0"/>
            </w:tcBorders>
            <w:vAlign w:val="center"/>
          </w:tcPr>
          <w:p w14:paraId="2E443991">
            <w:pPr>
              <w:jc w:val="center"/>
              <w:rPr>
                <w:snapToGrid w:val="0"/>
                <w:sz w:val="24"/>
                <w:highlight w:val="none"/>
              </w:rPr>
            </w:pPr>
          </w:p>
        </w:tc>
        <w:tc>
          <w:tcPr>
            <w:tcW w:w="427" w:type="pct"/>
            <w:tcBorders>
              <w:top w:val="single" w:color="000000" w:sz="4" w:space="0"/>
              <w:left w:val="single" w:color="000000" w:sz="4" w:space="0"/>
              <w:bottom w:val="single" w:color="000000" w:sz="4" w:space="0"/>
              <w:right w:val="single" w:color="000000" w:sz="4" w:space="0"/>
            </w:tcBorders>
            <w:vAlign w:val="center"/>
          </w:tcPr>
          <w:p w14:paraId="3CC70E2E">
            <w:pPr>
              <w:jc w:val="center"/>
              <w:rPr>
                <w:snapToGrid w:val="0"/>
                <w:sz w:val="24"/>
                <w:highlight w:val="none"/>
              </w:rPr>
            </w:pPr>
          </w:p>
        </w:tc>
        <w:tc>
          <w:tcPr>
            <w:tcW w:w="439" w:type="pct"/>
            <w:tcBorders>
              <w:top w:val="single" w:color="000000" w:sz="4" w:space="0"/>
              <w:left w:val="single" w:color="000000" w:sz="4" w:space="0"/>
              <w:bottom w:val="single" w:color="000000" w:sz="4" w:space="0"/>
              <w:right w:val="single" w:color="000000" w:sz="4" w:space="0"/>
            </w:tcBorders>
            <w:vAlign w:val="center"/>
          </w:tcPr>
          <w:p w14:paraId="511B6343">
            <w:pPr>
              <w:jc w:val="center"/>
              <w:rPr>
                <w:snapToGrid w:val="0"/>
                <w:sz w:val="24"/>
                <w:highlight w:val="none"/>
              </w:rPr>
            </w:pPr>
          </w:p>
        </w:tc>
        <w:tc>
          <w:tcPr>
            <w:tcW w:w="356" w:type="pct"/>
            <w:tcBorders>
              <w:top w:val="single" w:color="000000" w:sz="4" w:space="0"/>
              <w:left w:val="single" w:color="000000" w:sz="4" w:space="0"/>
              <w:bottom w:val="single" w:color="000000" w:sz="4" w:space="0"/>
              <w:right w:val="single" w:color="000000" w:sz="4" w:space="0"/>
            </w:tcBorders>
            <w:vAlign w:val="center"/>
          </w:tcPr>
          <w:p w14:paraId="73896EC9">
            <w:pPr>
              <w:jc w:val="center"/>
              <w:rPr>
                <w:snapToGrid w:val="0"/>
                <w:sz w:val="24"/>
                <w:highlight w:val="none"/>
              </w:rPr>
            </w:pPr>
          </w:p>
        </w:tc>
        <w:tc>
          <w:tcPr>
            <w:tcW w:w="536" w:type="pct"/>
            <w:tcBorders>
              <w:top w:val="single" w:color="000000" w:sz="4" w:space="0"/>
              <w:left w:val="single" w:color="auto" w:sz="4" w:space="0"/>
              <w:bottom w:val="single" w:color="000000" w:sz="4" w:space="0"/>
              <w:right w:val="single" w:color="auto" w:sz="4" w:space="0"/>
            </w:tcBorders>
          </w:tcPr>
          <w:p w14:paraId="6B8D961D">
            <w:pPr>
              <w:jc w:val="center"/>
              <w:rPr>
                <w:snapToGrid w:val="0"/>
                <w:sz w:val="24"/>
                <w:highlight w:val="none"/>
              </w:rPr>
            </w:pPr>
          </w:p>
        </w:tc>
        <w:tc>
          <w:tcPr>
            <w:tcW w:w="443" w:type="pct"/>
            <w:tcBorders>
              <w:top w:val="single" w:color="000000" w:sz="4" w:space="0"/>
              <w:left w:val="single" w:color="auto" w:sz="4" w:space="0"/>
              <w:bottom w:val="single" w:color="000000" w:sz="4" w:space="0"/>
              <w:right w:val="single" w:color="000000" w:sz="4" w:space="0"/>
            </w:tcBorders>
            <w:vAlign w:val="center"/>
          </w:tcPr>
          <w:p w14:paraId="7AA510BB">
            <w:pPr>
              <w:jc w:val="center"/>
              <w:rPr>
                <w:snapToGrid w:val="0"/>
                <w:sz w:val="24"/>
                <w:highlight w:val="none"/>
              </w:rPr>
            </w:pPr>
          </w:p>
        </w:tc>
        <w:tc>
          <w:tcPr>
            <w:tcW w:w="475" w:type="pct"/>
            <w:tcBorders>
              <w:top w:val="single" w:color="000000" w:sz="4" w:space="0"/>
              <w:left w:val="single" w:color="auto" w:sz="4" w:space="0"/>
              <w:bottom w:val="single" w:color="000000" w:sz="4" w:space="0"/>
              <w:right w:val="single" w:color="000000" w:sz="4" w:space="0"/>
            </w:tcBorders>
          </w:tcPr>
          <w:p w14:paraId="66A6BA57">
            <w:pPr>
              <w:jc w:val="center"/>
              <w:rPr>
                <w:snapToGrid w:val="0"/>
                <w:sz w:val="24"/>
                <w:highlight w:val="none"/>
              </w:rPr>
            </w:pPr>
          </w:p>
        </w:tc>
        <w:tc>
          <w:tcPr>
            <w:tcW w:w="378" w:type="pct"/>
            <w:tcBorders>
              <w:top w:val="single" w:color="000000" w:sz="4" w:space="0"/>
              <w:left w:val="single" w:color="auto" w:sz="4" w:space="0"/>
              <w:bottom w:val="single" w:color="000000" w:sz="4" w:space="0"/>
              <w:right w:val="single" w:color="000000" w:sz="4" w:space="0"/>
            </w:tcBorders>
          </w:tcPr>
          <w:p w14:paraId="0DD0637B">
            <w:pPr>
              <w:jc w:val="center"/>
              <w:rPr>
                <w:snapToGrid w:val="0"/>
                <w:sz w:val="24"/>
                <w:highlight w:val="none"/>
              </w:rPr>
            </w:pPr>
          </w:p>
        </w:tc>
        <w:tc>
          <w:tcPr>
            <w:tcW w:w="388" w:type="pct"/>
            <w:tcBorders>
              <w:top w:val="single" w:color="000000" w:sz="4" w:space="0"/>
              <w:left w:val="single" w:color="auto" w:sz="4" w:space="0"/>
              <w:bottom w:val="single" w:color="000000" w:sz="4" w:space="0"/>
              <w:right w:val="single" w:color="000000" w:sz="4" w:space="0"/>
            </w:tcBorders>
          </w:tcPr>
          <w:p w14:paraId="07F164C4">
            <w:pPr>
              <w:jc w:val="center"/>
              <w:rPr>
                <w:snapToGrid w:val="0"/>
                <w:sz w:val="24"/>
                <w:highlight w:val="none"/>
              </w:rPr>
            </w:pPr>
          </w:p>
        </w:tc>
        <w:tc>
          <w:tcPr>
            <w:tcW w:w="535" w:type="pct"/>
            <w:tcBorders>
              <w:top w:val="single" w:color="000000" w:sz="4" w:space="0"/>
              <w:left w:val="single" w:color="auto" w:sz="4" w:space="0"/>
              <w:bottom w:val="single" w:color="000000" w:sz="4" w:space="0"/>
              <w:right w:val="single" w:color="000000" w:sz="4" w:space="0"/>
            </w:tcBorders>
          </w:tcPr>
          <w:p w14:paraId="295536DB">
            <w:pPr>
              <w:jc w:val="center"/>
              <w:rPr>
                <w:snapToGrid w:val="0"/>
                <w:sz w:val="24"/>
                <w:highlight w:val="none"/>
              </w:rPr>
            </w:pPr>
          </w:p>
        </w:tc>
      </w:tr>
      <w:tr w14:paraId="0D931F4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24" w:hRule="atLeast"/>
        </w:trPr>
        <w:tc>
          <w:tcPr>
            <w:tcW w:w="392" w:type="pct"/>
            <w:tcBorders>
              <w:top w:val="single" w:color="000000" w:sz="4" w:space="0"/>
              <w:left w:val="single" w:color="000000" w:sz="4" w:space="0"/>
              <w:bottom w:val="single" w:color="000000" w:sz="4" w:space="0"/>
              <w:right w:val="single" w:color="000000" w:sz="4" w:space="0"/>
            </w:tcBorders>
            <w:vAlign w:val="center"/>
          </w:tcPr>
          <w:p w14:paraId="49855616">
            <w:pPr>
              <w:jc w:val="center"/>
              <w:rPr>
                <w:snapToGrid w:val="0"/>
                <w:sz w:val="24"/>
                <w:highlight w:val="none"/>
              </w:rPr>
            </w:pPr>
          </w:p>
        </w:tc>
        <w:tc>
          <w:tcPr>
            <w:tcW w:w="626" w:type="pct"/>
            <w:tcBorders>
              <w:top w:val="single" w:color="000000" w:sz="4" w:space="0"/>
              <w:left w:val="single" w:color="000000" w:sz="4" w:space="0"/>
              <w:bottom w:val="single" w:color="000000" w:sz="4" w:space="0"/>
              <w:right w:val="single" w:color="000000" w:sz="4" w:space="0"/>
            </w:tcBorders>
            <w:vAlign w:val="center"/>
          </w:tcPr>
          <w:p w14:paraId="7ED0967F">
            <w:pPr>
              <w:jc w:val="center"/>
              <w:rPr>
                <w:snapToGrid w:val="0"/>
                <w:sz w:val="24"/>
                <w:highlight w:val="none"/>
              </w:rPr>
            </w:pPr>
          </w:p>
        </w:tc>
        <w:tc>
          <w:tcPr>
            <w:tcW w:w="427" w:type="pct"/>
            <w:tcBorders>
              <w:top w:val="single" w:color="000000" w:sz="4" w:space="0"/>
              <w:left w:val="single" w:color="000000" w:sz="4" w:space="0"/>
              <w:bottom w:val="single" w:color="000000" w:sz="4" w:space="0"/>
              <w:right w:val="single" w:color="000000" w:sz="4" w:space="0"/>
            </w:tcBorders>
            <w:vAlign w:val="center"/>
          </w:tcPr>
          <w:p w14:paraId="091DA510">
            <w:pPr>
              <w:jc w:val="center"/>
              <w:rPr>
                <w:snapToGrid w:val="0"/>
                <w:sz w:val="24"/>
                <w:highlight w:val="none"/>
              </w:rPr>
            </w:pPr>
          </w:p>
        </w:tc>
        <w:tc>
          <w:tcPr>
            <w:tcW w:w="439" w:type="pct"/>
            <w:tcBorders>
              <w:top w:val="single" w:color="000000" w:sz="4" w:space="0"/>
              <w:left w:val="single" w:color="000000" w:sz="4" w:space="0"/>
              <w:bottom w:val="single" w:color="000000" w:sz="4" w:space="0"/>
              <w:right w:val="single" w:color="000000" w:sz="4" w:space="0"/>
            </w:tcBorders>
            <w:vAlign w:val="center"/>
          </w:tcPr>
          <w:p w14:paraId="327BD6F4">
            <w:pPr>
              <w:jc w:val="center"/>
              <w:rPr>
                <w:snapToGrid w:val="0"/>
                <w:sz w:val="24"/>
                <w:highlight w:val="none"/>
              </w:rPr>
            </w:pPr>
          </w:p>
        </w:tc>
        <w:tc>
          <w:tcPr>
            <w:tcW w:w="356" w:type="pct"/>
            <w:tcBorders>
              <w:top w:val="single" w:color="000000" w:sz="4" w:space="0"/>
              <w:left w:val="single" w:color="000000" w:sz="4" w:space="0"/>
              <w:bottom w:val="single" w:color="000000" w:sz="4" w:space="0"/>
              <w:right w:val="single" w:color="000000" w:sz="4" w:space="0"/>
            </w:tcBorders>
            <w:vAlign w:val="center"/>
          </w:tcPr>
          <w:p w14:paraId="380D770E">
            <w:pPr>
              <w:jc w:val="center"/>
              <w:rPr>
                <w:snapToGrid w:val="0"/>
                <w:sz w:val="24"/>
                <w:highlight w:val="none"/>
              </w:rPr>
            </w:pPr>
          </w:p>
        </w:tc>
        <w:tc>
          <w:tcPr>
            <w:tcW w:w="536" w:type="pct"/>
            <w:tcBorders>
              <w:top w:val="single" w:color="000000" w:sz="4" w:space="0"/>
              <w:left w:val="single" w:color="auto" w:sz="4" w:space="0"/>
              <w:bottom w:val="single" w:color="000000" w:sz="4" w:space="0"/>
              <w:right w:val="single" w:color="auto" w:sz="4" w:space="0"/>
            </w:tcBorders>
          </w:tcPr>
          <w:p w14:paraId="7FCA49B1">
            <w:pPr>
              <w:jc w:val="center"/>
              <w:rPr>
                <w:snapToGrid w:val="0"/>
                <w:sz w:val="24"/>
                <w:highlight w:val="none"/>
              </w:rPr>
            </w:pPr>
          </w:p>
        </w:tc>
        <w:tc>
          <w:tcPr>
            <w:tcW w:w="443" w:type="pct"/>
            <w:tcBorders>
              <w:top w:val="single" w:color="000000" w:sz="4" w:space="0"/>
              <w:left w:val="single" w:color="auto" w:sz="4" w:space="0"/>
              <w:bottom w:val="single" w:color="000000" w:sz="4" w:space="0"/>
              <w:right w:val="single" w:color="000000" w:sz="4" w:space="0"/>
            </w:tcBorders>
            <w:vAlign w:val="center"/>
          </w:tcPr>
          <w:p w14:paraId="7D00DD77">
            <w:pPr>
              <w:jc w:val="center"/>
              <w:rPr>
                <w:snapToGrid w:val="0"/>
                <w:sz w:val="24"/>
                <w:highlight w:val="none"/>
              </w:rPr>
            </w:pPr>
          </w:p>
        </w:tc>
        <w:tc>
          <w:tcPr>
            <w:tcW w:w="475" w:type="pct"/>
            <w:tcBorders>
              <w:top w:val="single" w:color="000000" w:sz="4" w:space="0"/>
              <w:left w:val="single" w:color="auto" w:sz="4" w:space="0"/>
              <w:bottom w:val="single" w:color="000000" w:sz="4" w:space="0"/>
              <w:right w:val="single" w:color="000000" w:sz="4" w:space="0"/>
            </w:tcBorders>
          </w:tcPr>
          <w:p w14:paraId="735ED77E">
            <w:pPr>
              <w:jc w:val="center"/>
              <w:rPr>
                <w:snapToGrid w:val="0"/>
                <w:sz w:val="24"/>
                <w:highlight w:val="none"/>
              </w:rPr>
            </w:pPr>
          </w:p>
        </w:tc>
        <w:tc>
          <w:tcPr>
            <w:tcW w:w="378" w:type="pct"/>
            <w:tcBorders>
              <w:top w:val="single" w:color="000000" w:sz="4" w:space="0"/>
              <w:left w:val="single" w:color="auto" w:sz="4" w:space="0"/>
              <w:bottom w:val="single" w:color="000000" w:sz="4" w:space="0"/>
              <w:right w:val="single" w:color="000000" w:sz="4" w:space="0"/>
            </w:tcBorders>
          </w:tcPr>
          <w:p w14:paraId="7B341875">
            <w:pPr>
              <w:jc w:val="center"/>
              <w:rPr>
                <w:snapToGrid w:val="0"/>
                <w:sz w:val="24"/>
                <w:highlight w:val="none"/>
              </w:rPr>
            </w:pPr>
          </w:p>
        </w:tc>
        <w:tc>
          <w:tcPr>
            <w:tcW w:w="388" w:type="pct"/>
            <w:tcBorders>
              <w:top w:val="single" w:color="000000" w:sz="4" w:space="0"/>
              <w:left w:val="single" w:color="auto" w:sz="4" w:space="0"/>
              <w:bottom w:val="single" w:color="000000" w:sz="4" w:space="0"/>
              <w:right w:val="single" w:color="000000" w:sz="4" w:space="0"/>
            </w:tcBorders>
          </w:tcPr>
          <w:p w14:paraId="41C50A8A">
            <w:pPr>
              <w:jc w:val="center"/>
              <w:rPr>
                <w:snapToGrid w:val="0"/>
                <w:sz w:val="24"/>
                <w:highlight w:val="none"/>
              </w:rPr>
            </w:pPr>
          </w:p>
        </w:tc>
        <w:tc>
          <w:tcPr>
            <w:tcW w:w="535" w:type="pct"/>
            <w:tcBorders>
              <w:top w:val="single" w:color="000000" w:sz="4" w:space="0"/>
              <w:left w:val="single" w:color="auto" w:sz="4" w:space="0"/>
              <w:bottom w:val="single" w:color="000000" w:sz="4" w:space="0"/>
              <w:right w:val="single" w:color="000000" w:sz="4" w:space="0"/>
            </w:tcBorders>
          </w:tcPr>
          <w:p w14:paraId="4F36A9AC">
            <w:pPr>
              <w:jc w:val="center"/>
              <w:rPr>
                <w:snapToGrid w:val="0"/>
                <w:sz w:val="24"/>
                <w:highlight w:val="none"/>
              </w:rPr>
            </w:pPr>
          </w:p>
        </w:tc>
      </w:tr>
    </w:tbl>
    <w:p w14:paraId="1E04CCA1">
      <w:pPr>
        <w:ind w:firstLine="420" w:firstLineChars="200"/>
        <w:rPr>
          <w:rFonts w:hint="eastAsia" w:eastAsia="宋体"/>
          <w:b w:val="0"/>
          <w:bCs/>
          <w:highlight w:val="none"/>
        </w:rPr>
      </w:pPr>
      <w:r>
        <w:rPr>
          <w:rFonts w:hint="eastAsia" w:eastAsia="宋体"/>
          <w:b w:val="0"/>
          <w:bCs/>
          <w:highlight w:val="none"/>
        </w:rPr>
        <w:t>备注：1.</w:t>
      </w:r>
      <w:r>
        <w:rPr>
          <w:rFonts w:hint="eastAsia" w:eastAsia="宋体"/>
          <w:b w:val="0"/>
          <w:bCs/>
          <w:highlight w:val="none"/>
          <w:lang w:val="zh-CN"/>
        </w:rPr>
        <w:t>请报价人严格对照最终交货产品填写品牌及规格型号，若最终因交货清单与实际交货品牌及规格型号不符，后果由成交人自行承担。</w:t>
      </w:r>
    </w:p>
    <w:p w14:paraId="57461557">
      <w:pPr>
        <w:ind w:firstLine="420" w:firstLineChars="200"/>
        <w:rPr>
          <w:rFonts w:hint="eastAsia" w:eastAsia="宋体"/>
          <w:b w:val="0"/>
          <w:bCs/>
          <w:highlight w:val="none"/>
        </w:rPr>
      </w:pPr>
      <w:r>
        <w:rPr>
          <w:rFonts w:hint="eastAsia" w:eastAsia="宋体"/>
          <w:b w:val="0"/>
          <w:bCs/>
          <w:highlight w:val="none"/>
        </w:rPr>
        <w:t>2.如不能完全包含采购需求配置清单，将做无效投标处理。</w:t>
      </w:r>
    </w:p>
    <w:p w14:paraId="03EEF0C0">
      <w:pPr>
        <w:rPr>
          <w:snapToGrid w:val="0"/>
          <w:sz w:val="32"/>
          <w:szCs w:val="32"/>
          <w:highlight w:val="none"/>
        </w:rPr>
      </w:pPr>
      <w:r>
        <w:rPr>
          <w:rFonts w:hint="eastAsia" w:eastAsia="宋体"/>
          <w:b w:val="0"/>
          <w:bCs/>
          <w:highlight w:val="none"/>
        </w:rPr>
        <w:t>3.根据采购需求数量填写交货数量，如技术要求中单台设备配置清单“主机”数量为1台，货物一览表中总“***设备”采购数量为2套，则设备交货清单中“主机”数量应为1*2=2台。</w:t>
      </w:r>
    </w:p>
    <w:p w14:paraId="615A1A69">
      <w:pPr>
        <w:rPr>
          <w:snapToGrid w:val="0"/>
          <w:sz w:val="32"/>
          <w:szCs w:val="32"/>
          <w:highlight w:val="none"/>
        </w:rPr>
      </w:pPr>
    </w:p>
    <w:p w14:paraId="20EED595">
      <w:pPr>
        <w:rPr>
          <w:snapToGrid w:val="0"/>
          <w:sz w:val="32"/>
          <w:szCs w:val="32"/>
          <w:highlight w:val="none"/>
        </w:rPr>
      </w:pPr>
    </w:p>
    <w:p w14:paraId="13A47BC0">
      <w:pPr>
        <w:rPr>
          <w:snapToGrid w:val="0"/>
          <w:sz w:val="32"/>
          <w:szCs w:val="32"/>
          <w:highlight w:val="none"/>
        </w:rPr>
      </w:pPr>
    </w:p>
    <w:p w14:paraId="609233E2">
      <w:pPr>
        <w:autoSpaceDE w:val="0"/>
        <w:autoSpaceDN w:val="0"/>
        <w:adjustRightInd w:val="0"/>
        <w:ind w:firstLine="352" w:firstLineChars="168"/>
        <w:rPr>
          <w:snapToGrid w:val="0"/>
          <w:highlight w:val="none"/>
          <w:lang w:val="zh-CN"/>
        </w:rPr>
      </w:pPr>
    </w:p>
    <w:p w14:paraId="2563DD3A">
      <w:pPr>
        <w:spacing w:line="360" w:lineRule="auto"/>
        <w:jc w:val="center"/>
        <w:rPr>
          <w:bCs/>
          <w:sz w:val="28"/>
          <w:szCs w:val="28"/>
          <w:highlight w:val="none"/>
          <w:lang w:val="zh-CN"/>
        </w:rPr>
      </w:pPr>
      <w:r>
        <w:rPr>
          <w:rFonts w:hint="eastAsia"/>
          <w:snapToGrid w:val="0"/>
          <w:sz w:val="28"/>
          <w:szCs w:val="28"/>
          <w:highlight w:val="none"/>
          <w:lang w:val="zh-CN"/>
        </w:rPr>
        <w:t xml:space="preserve">    </w:t>
      </w:r>
      <w:r>
        <w:rPr>
          <w:snapToGrid w:val="0"/>
          <w:sz w:val="28"/>
          <w:szCs w:val="28"/>
          <w:highlight w:val="none"/>
          <w:lang w:val="zh-CN"/>
        </w:rPr>
        <w:t xml:space="preserve">                </w:t>
      </w:r>
      <w:r>
        <w:rPr>
          <w:rFonts w:hint="eastAsia"/>
          <w:bCs/>
          <w:sz w:val="28"/>
          <w:szCs w:val="28"/>
          <w:highlight w:val="none"/>
          <w:lang w:val="zh-CN"/>
        </w:rPr>
        <w:t>报价供应商全称：（盖章）</w:t>
      </w:r>
    </w:p>
    <w:p w14:paraId="2055E715">
      <w:pPr>
        <w:spacing w:line="360" w:lineRule="auto"/>
        <w:ind w:firstLine="560" w:firstLineChars="200"/>
        <w:jc w:val="center"/>
        <w:rPr>
          <w:bCs/>
          <w:sz w:val="28"/>
          <w:szCs w:val="28"/>
          <w:highlight w:val="none"/>
          <w:lang w:val="zh-CN"/>
        </w:rPr>
      </w:pPr>
      <w:r>
        <w:rPr>
          <w:rFonts w:hint="eastAsia"/>
          <w:bCs/>
          <w:sz w:val="28"/>
          <w:szCs w:val="28"/>
          <w:highlight w:val="none"/>
          <w:lang w:val="zh-CN"/>
        </w:rPr>
        <w:t xml:space="preserve">              </w:t>
      </w:r>
      <w:r>
        <w:rPr>
          <w:bCs/>
          <w:sz w:val="28"/>
          <w:szCs w:val="28"/>
          <w:highlight w:val="none"/>
          <w:lang w:val="zh-CN"/>
        </w:rPr>
        <w:t xml:space="preserve">            </w:t>
      </w:r>
      <w:r>
        <w:rPr>
          <w:rFonts w:hint="eastAsia"/>
          <w:bCs/>
          <w:sz w:val="28"/>
          <w:szCs w:val="28"/>
          <w:highlight w:val="none"/>
          <w:lang w:val="zh-CN"/>
        </w:rPr>
        <w:t>法定代表人（或授权代表）：（签字）</w:t>
      </w:r>
    </w:p>
    <w:p w14:paraId="4FF85CC7">
      <w:pPr>
        <w:spacing w:line="360" w:lineRule="auto"/>
        <w:ind w:firstLine="560" w:firstLineChars="200"/>
        <w:jc w:val="center"/>
        <w:rPr>
          <w:bCs/>
          <w:sz w:val="28"/>
          <w:szCs w:val="28"/>
          <w:highlight w:val="none"/>
          <w:lang w:val="zh-CN"/>
        </w:rPr>
      </w:pPr>
      <w:r>
        <w:rPr>
          <w:bCs/>
          <w:sz w:val="28"/>
          <w:szCs w:val="28"/>
          <w:highlight w:val="none"/>
          <w:lang w:val="zh-CN"/>
        </w:rPr>
        <w:t xml:space="preserve">                                         </w:t>
      </w:r>
      <w:r>
        <w:rPr>
          <w:bCs/>
          <w:sz w:val="28"/>
          <w:szCs w:val="28"/>
          <w:highlight w:val="none"/>
          <w:u w:val="single"/>
        </w:rPr>
        <w:t xml:space="preserve">    </w:t>
      </w:r>
      <w:r>
        <w:rPr>
          <w:rFonts w:hint="eastAsia"/>
          <w:bCs/>
          <w:sz w:val="28"/>
          <w:szCs w:val="28"/>
          <w:highlight w:val="none"/>
        </w:rPr>
        <w:t>年</w:t>
      </w:r>
      <w:r>
        <w:rPr>
          <w:bCs/>
          <w:sz w:val="28"/>
          <w:szCs w:val="28"/>
          <w:highlight w:val="none"/>
          <w:u w:val="single"/>
        </w:rPr>
        <w:t xml:space="preserve">   </w:t>
      </w:r>
      <w:r>
        <w:rPr>
          <w:rFonts w:hint="eastAsia"/>
          <w:bCs/>
          <w:sz w:val="28"/>
          <w:szCs w:val="28"/>
          <w:highlight w:val="none"/>
        </w:rPr>
        <w:t>月</w:t>
      </w:r>
      <w:r>
        <w:rPr>
          <w:bCs/>
          <w:sz w:val="28"/>
          <w:szCs w:val="28"/>
          <w:highlight w:val="none"/>
          <w:u w:val="single"/>
        </w:rPr>
        <w:t xml:space="preserve">   </w:t>
      </w:r>
      <w:r>
        <w:rPr>
          <w:rFonts w:hint="eastAsia"/>
          <w:bCs/>
          <w:sz w:val="28"/>
          <w:szCs w:val="28"/>
          <w:highlight w:val="none"/>
        </w:rPr>
        <w:t>日</w:t>
      </w:r>
    </w:p>
    <w:p w14:paraId="527FDEA4">
      <w:pPr>
        <w:jc w:val="center"/>
        <w:rPr>
          <w:highlight w:val="none"/>
        </w:rPr>
      </w:pPr>
    </w:p>
    <w:p w14:paraId="2FBCBB53">
      <w:pPr>
        <w:rPr>
          <w:highlight w:val="none"/>
        </w:rPr>
      </w:pPr>
    </w:p>
    <w:p w14:paraId="5968BE8D">
      <w:pPr>
        <w:widowControl/>
        <w:jc w:val="left"/>
        <w:rPr>
          <w:highlight w:val="none"/>
        </w:rPr>
      </w:pPr>
      <w:r>
        <w:rPr>
          <w:highlight w:val="none"/>
        </w:rPr>
        <w:br w:type="page"/>
      </w:r>
    </w:p>
    <w:p w14:paraId="34074FB7">
      <w:pPr>
        <w:pStyle w:val="6"/>
        <w:spacing w:before="120" w:beforeLines="50" w:after="120" w:afterLines="50" w:line="560" w:lineRule="exact"/>
        <w:rPr>
          <w:b w:val="0"/>
          <w:highlight w:val="none"/>
        </w:rPr>
      </w:pPr>
      <w:r>
        <w:rPr>
          <w:rFonts w:hint="eastAsia"/>
          <w:b w:val="0"/>
          <w:highlight w:val="none"/>
        </w:rPr>
        <w:t>附件</w:t>
      </w:r>
      <w:r>
        <w:rPr>
          <w:b w:val="0"/>
          <w:highlight w:val="none"/>
        </w:rPr>
        <w:t>2-8</w:t>
      </w:r>
      <w:r>
        <w:rPr>
          <w:rFonts w:hint="eastAsia"/>
          <w:b w:val="0"/>
          <w:highlight w:val="none"/>
        </w:rPr>
        <w:t xml:space="preserve"> 易损易耗件清单</w:t>
      </w:r>
      <w:bookmarkEnd w:id="625"/>
      <w:bookmarkEnd w:id="626"/>
      <w:bookmarkEnd w:id="627"/>
      <w:bookmarkEnd w:id="628"/>
      <w:bookmarkEnd w:id="629"/>
      <w:bookmarkEnd w:id="630"/>
    </w:p>
    <w:p w14:paraId="38229CD3">
      <w:pPr>
        <w:spacing w:before="120" w:beforeLines="50" w:after="120" w:afterLines="50" w:line="560" w:lineRule="exact"/>
        <w:jc w:val="center"/>
        <w:rPr>
          <w:rFonts w:ascii="黑体" w:hAnsi="黑体" w:eastAsia="黑体" w:cs="黑体"/>
          <w:bCs/>
          <w:sz w:val="36"/>
          <w:szCs w:val="36"/>
          <w:highlight w:val="none"/>
          <w:lang w:val="zh-CN"/>
        </w:rPr>
      </w:pPr>
      <w:r>
        <w:rPr>
          <w:rFonts w:hint="eastAsia" w:ascii="黑体" w:hAnsi="黑体" w:eastAsia="黑体" w:cs="黑体"/>
          <w:bCs/>
          <w:sz w:val="36"/>
          <w:szCs w:val="36"/>
          <w:highlight w:val="none"/>
          <w:lang w:val="zh-CN"/>
        </w:rPr>
        <w:t>易损易耗件清单</w:t>
      </w:r>
    </w:p>
    <w:p w14:paraId="1310CC20">
      <w:pPr>
        <w:rPr>
          <w:bCs/>
          <w:sz w:val="28"/>
          <w:szCs w:val="28"/>
          <w:highlight w:val="none"/>
        </w:rPr>
      </w:pPr>
    </w:p>
    <w:p w14:paraId="5EF99FF1">
      <w:pPr>
        <w:rPr>
          <w:bCs/>
          <w:sz w:val="28"/>
          <w:szCs w:val="28"/>
          <w:highlight w:val="none"/>
        </w:rPr>
      </w:pPr>
      <w:r>
        <w:rPr>
          <w:rFonts w:hint="eastAsia"/>
          <w:bCs/>
          <w:sz w:val="28"/>
          <w:szCs w:val="28"/>
          <w:highlight w:val="none"/>
        </w:rPr>
        <w:t>项目名称：</w:t>
      </w:r>
      <w:r>
        <w:rPr>
          <w:bCs/>
          <w:sz w:val="28"/>
          <w:szCs w:val="28"/>
          <w:highlight w:val="none"/>
          <w:u w:val="single"/>
        </w:rPr>
        <w:t xml:space="preserve">          </w:t>
      </w:r>
      <w:r>
        <w:rPr>
          <w:bCs/>
          <w:sz w:val="28"/>
          <w:szCs w:val="28"/>
          <w:highlight w:val="none"/>
        </w:rPr>
        <w:t xml:space="preserve">  </w:t>
      </w:r>
      <w:r>
        <w:rPr>
          <w:rFonts w:hint="eastAsia"/>
          <w:bCs/>
          <w:sz w:val="28"/>
          <w:szCs w:val="28"/>
          <w:highlight w:val="none"/>
        </w:rPr>
        <w:t>项目编号：</w:t>
      </w:r>
      <w:r>
        <w:rPr>
          <w:bCs/>
          <w:sz w:val="28"/>
          <w:szCs w:val="28"/>
          <w:highlight w:val="none"/>
          <w:u w:val="single"/>
        </w:rPr>
        <w:t xml:space="preserve">        </w:t>
      </w:r>
      <w:r>
        <w:rPr>
          <w:bCs/>
          <w:sz w:val="28"/>
          <w:szCs w:val="28"/>
          <w:highlight w:val="none"/>
        </w:rPr>
        <w:t xml:space="preserve"> </w:t>
      </w:r>
      <w:r>
        <w:rPr>
          <w:rFonts w:hint="eastAsia"/>
          <w:bCs/>
          <w:sz w:val="28"/>
          <w:szCs w:val="28"/>
          <w:highlight w:val="none"/>
        </w:rPr>
        <w:t>包号：</w:t>
      </w:r>
      <w:r>
        <w:rPr>
          <w:bCs/>
          <w:sz w:val="28"/>
          <w:szCs w:val="28"/>
          <w:highlight w:val="none"/>
          <w:u w:val="single"/>
        </w:rPr>
        <w:t xml:space="preserve">    </w:t>
      </w:r>
      <w:r>
        <w:rPr>
          <w:bCs/>
          <w:sz w:val="28"/>
          <w:szCs w:val="28"/>
          <w:highlight w:val="none"/>
        </w:rPr>
        <w:t xml:space="preserve">  </w:t>
      </w:r>
      <w:r>
        <w:rPr>
          <w:rFonts w:hint="eastAsia"/>
          <w:bCs/>
          <w:sz w:val="28"/>
          <w:szCs w:val="28"/>
          <w:highlight w:val="none"/>
        </w:rPr>
        <w:t>金额：元</w:t>
      </w:r>
    </w:p>
    <w:tbl>
      <w:tblPr>
        <w:tblStyle w:val="42"/>
        <w:tblW w:w="9243"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8"/>
        <w:gridCol w:w="1946"/>
        <w:gridCol w:w="1417"/>
        <w:gridCol w:w="851"/>
        <w:gridCol w:w="992"/>
        <w:gridCol w:w="1134"/>
        <w:gridCol w:w="1134"/>
        <w:gridCol w:w="1021"/>
      </w:tblGrid>
      <w:tr w14:paraId="182C8A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65" w:hRule="exact"/>
        </w:trPr>
        <w:tc>
          <w:tcPr>
            <w:tcW w:w="748" w:type="dxa"/>
            <w:tcBorders>
              <w:top w:val="single" w:color="auto" w:sz="4" w:space="0"/>
              <w:left w:val="single" w:color="auto" w:sz="4" w:space="0"/>
              <w:bottom w:val="single" w:color="auto" w:sz="4" w:space="0"/>
              <w:right w:val="single" w:color="auto" w:sz="4" w:space="0"/>
            </w:tcBorders>
            <w:vAlign w:val="center"/>
          </w:tcPr>
          <w:p w14:paraId="7E677E65">
            <w:pPr>
              <w:widowControl/>
              <w:jc w:val="center"/>
              <w:rPr>
                <w:bCs/>
                <w:sz w:val="24"/>
                <w:highlight w:val="none"/>
              </w:rPr>
            </w:pPr>
            <w:r>
              <w:rPr>
                <w:rFonts w:hint="eastAsia"/>
                <w:bCs/>
                <w:sz w:val="24"/>
                <w:highlight w:val="none"/>
              </w:rPr>
              <w:t>序号</w:t>
            </w:r>
          </w:p>
        </w:tc>
        <w:tc>
          <w:tcPr>
            <w:tcW w:w="1946" w:type="dxa"/>
            <w:tcBorders>
              <w:top w:val="single" w:color="auto" w:sz="4" w:space="0"/>
              <w:left w:val="single" w:color="auto" w:sz="4" w:space="0"/>
              <w:bottom w:val="single" w:color="auto" w:sz="4" w:space="0"/>
              <w:right w:val="single" w:color="auto" w:sz="4" w:space="0"/>
            </w:tcBorders>
            <w:vAlign w:val="center"/>
          </w:tcPr>
          <w:p w14:paraId="3E095E2E">
            <w:pPr>
              <w:widowControl/>
              <w:jc w:val="center"/>
              <w:rPr>
                <w:bCs/>
                <w:sz w:val="24"/>
                <w:highlight w:val="none"/>
              </w:rPr>
            </w:pPr>
            <w:r>
              <w:rPr>
                <w:rFonts w:hint="eastAsia"/>
                <w:bCs/>
                <w:sz w:val="24"/>
                <w:highlight w:val="none"/>
              </w:rPr>
              <w:t>易损易耗件名称</w:t>
            </w:r>
          </w:p>
        </w:tc>
        <w:tc>
          <w:tcPr>
            <w:tcW w:w="1417" w:type="dxa"/>
            <w:tcBorders>
              <w:top w:val="single" w:color="auto" w:sz="4" w:space="0"/>
              <w:left w:val="single" w:color="auto" w:sz="4" w:space="0"/>
              <w:bottom w:val="single" w:color="auto" w:sz="4" w:space="0"/>
              <w:right w:val="single" w:color="auto" w:sz="4" w:space="0"/>
            </w:tcBorders>
            <w:vAlign w:val="center"/>
          </w:tcPr>
          <w:p w14:paraId="5178037D">
            <w:pPr>
              <w:widowControl/>
              <w:jc w:val="center"/>
              <w:rPr>
                <w:bCs/>
                <w:sz w:val="24"/>
                <w:highlight w:val="none"/>
              </w:rPr>
            </w:pPr>
            <w:r>
              <w:rPr>
                <w:rFonts w:hint="eastAsia"/>
                <w:bCs/>
                <w:sz w:val="24"/>
                <w:highlight w:val="none"/>
              </w:rPr>
              <w:t>规格型号</w:t>
            </w:r>
          </w:p>
        </w:tc>
        <w:tc>
          <w:tcPr>
            <w:tcW w:w="851" w:type="dxa"/>
            <w:tcBorders>
              <w:top w:val="single" w:color="auto" w:sz="4" w:space="0"/>
              <w:left w:val="single" w:color="auto" w:sz="4" w:space="0"/>
              <w:bottom w:val="single" w:color="auto" w:sz="4" w:space="0"/>
              <w:right w:val="single" w:color="auto" w:sz="4" w:space="0"/>
            </w:tcBorders>
            <w:vAlign w:val="center"/>
          </w:tcPr>
          <w:p w14:paraId="6FC2E727">
            <w:pPr>
              <w:widowControl/>
              <w:jc w:val="center"/>
              <w:rPr>
                <w:bCs/>
                <w:sz w:val="24"/>
                <w:highlight w:val="none"/>
              </w:rPr>
            </w:pPr>
            <w:r>
              <w:rPr>
                <w:rFonts w:hint="eastAsia"/>
                <w:bCs/>
                <w:sz w:val="24"/>
                <w:highlight w:val="none"/>
              </w:rPr>
              <w:t>品牌</w:t>
            </w:r>
          </w:p>
        </w:tc>
        <w:tc>
          <w:tcPr>
            <w:tcW w:w="992" w:type="dxa"/>
            <w:tcBorders>
              <w:top w:val="single" w:color="auto" w:sz="4" w:space="0"/>
              <w:left w:val="single" w:color="auto" w:sz="4" w:space="0"/>
              <w:bottom w:val="single" w:color="auto" w:sz="4" w:space="0"/>
              <w:right w:val="single" w:color="auto" w:sz="4" w:space="0"/>
            </w:tcBorders>
            <w:vAlign w:val="center"/>
          </w:tcPr>
          <w:p w14:paraId="6C0C6A9B">
            <w:pPr>
              <w:jc w:val="center"/>
              <w:rPr>
                <w:bCs/>
                <w:sz w:val="24"/>
                <w:highlight w:val="none"/>
              </w:rPr>
            </w:pPr>
            <w:r>
              <w:rPr>
                <w:rFonts w:hint="eastAsia"/>
                <w:bCs/>
                <w:sz w:val="24"/>
                <w:highlight w:val="none"/>
              </w:rPr>
              <w:t>单位</w:t>
            </w:r>
          </w:p>
        </w:tc>
        <w:tc>
          <w:tcPr>
            <w:tcW w:w="1134" w:type="dxa"/>
            <w:tcBorders>
              <w:top w:val="single" w:color="auto" w:sz="4" w:space="0"/>
              <w:left w:val="single" w:color="auto" w:sz="4" w:space="0"/>
              <w:bottom w:val="single" w:color="auto" w:sz="4" w:space="0"/>
              <w:right w:val="single" w:color="auto" w:sz="4" w:space="0"/>
            </w:tcBorders>
            <w:vAlign w:val="center"/>
          </w:tcPr>
          <w:p w14:paraId="4C1638D6">
            <w:pPr>
              <w:widowControl/>
              <w:jc w:val="center"/>
              <w:rPr>
                <w:bCs/>
                <w:sz w:val="24"/>
                <w:highlight w:val="none"/>
              </w:rPr>
            </w:pPr>
            <w:r>
              <w:rPr>
                <w:rFonts w:hint="eastAsia"/>
                <w:bCs/>
                <w:sz w:val="24"/>
                <w:highlight w:val="none"/>
              </w:rPr>
              <w:t>单价</w:t>
            </w:r>
          </w:p>
        </w:tc>
        <w:tc>
          <w:tcPr>
            <w:tcW w:w="1134" w:type="dxa"/>
            <w:tcBorders>
              <w:top w:val="single" w:color="auto" w:sz="4" w:space="0"/>
              <w:left w:val="single" w:color="auto" w:sz="4" w:space="0"/>
              <w:bottom w:val="single" w:color="auto" w:sz="4" w:space="0"/>
              <w:right w:val="single" w:color="auto" w:sz="4" w:space="0"/>
            </w:tcBorders>
            <w:vAlign w:val="center"/>
          </w:tcPr>
          <w:p w14:paraId="717D65DE">
            <w:pPr>
              <w:widowControl/>
              <w:jc w:val="center"/>
              <w:rPr>
                <w:bCs/>
                <w:sz w:val="24"/>
                <w:highlight w:val="none"/>
              </w:rPr>
            </w:pPr>
            <w:r>
              <w:rPr>
                <w:rFonts w:hint="eastAsia"/>
                <w:bCs/>
                <w:sz w:val="24"/>
                <w:highlight w:val="none"/>
              </w:rPr>
              <w:t>原产地</w:t>
            </w:r>
          </w:p>
        </w:tc>
        <w:tc>
          <w:tcPr>
            <w:tcW w:w="1021" w:type="dxa"/>
            <w:tcBorders>
              <w:top w:val="single" w:color="auto" w:sz="4" w:space="0"/>
              <w:left w:val="single" w:color="auto" w:sz="4" w:space="0"/>
              <w:bottom w:val="single" w:color="auto" w:sz="4" w:space="0"/>
              <w:right w:val="single" w:color="auto" w:sz="4" w:space="0"/>
            </w:tcBorders>
            <w:vAlign w:val="center"/>
          </w:tcPr>
          <w:p w14:paraId="59C91100">
            <w:pPr>
              <w:jc w:val="center"/>
              <w:rPr>
                <w:bCs/>
                <w:sz w:val="24"/>
                <w:highlight w:val="none"/>
              </w:rPr>
            </w:pPr>
            <w:r>
              <w:rPr>
                <w:rFonts w:hint="eastAsia"/>
                <w:bCs/>
                <w:sz w:val="24"/>
                <w:highlight w:val="none"/>
              </w:rPr>
              <w:t>备注</w:t>
            </w:r>
          </w:p>
        </w:tc>
      </w:tr>
      <w:tr w14:paraId="4627C5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9" w:hRule="exact"/>
        </w:trPr>
        <w:tc>
          <w:tcPr>
            <w:tcW w:w="748" w:type="dxa"/>
            <w:tcBorders>
              <w:top w:val="single" w:color="auto" w:sz="4" w:space="0"/>
              <w:left w:val="single" w:color="auto" w:sz="4" w:space="0"/>
              <w:bottom w:val="single" w:color="auto" w:sz="4" w:space="0"/>
              <w:right w:val="single" w:color="auto" w:sz="4" w:space="0"/>
            </w:tcBorders>
          </w:tcPr>
          <w:p w14:paraId="03190C3B">
            <w:pPr>
              <w:rPr>
                <w:bCs/>
                <w:sz w:val="24"/>
                <w:highlight w:val="none"/>
              </w:rPr>
            </w:pPr>
          </w:p>
        </w:tc>
        <w:tc>
          <w:tcPr>
            <w:tcW w:w="1946" w:type="dxa"/>
            <w:tcBorders>
              <w:top w:val="single" w:color="auto" w:sz="4" w:space="0"/>
              <w:left w:val="single" w:color="auto" w:sz="4" w:space="0"/>
              <w:bottom w:val="single" w:color="auto" w:sz="4" w:space="0"/>
              <w:right w:val="single" w:color="auto" w:sz="4" w:space="0"/>
            </w:tcBorders>
          </w:tcPr>
          <w:p w14:paraId="561D21F1">
            <w:pPr>
              <w:rPr>
                <w:bCs/>
                <w:sz w:val="24"/>
                <w:highlight w:val="none"/>
              </w:rPr>
            </w:pPr>
          </w:p>
        </w:tc>
        <w:tc>
          <w:tcPr>
            <w:tcW w:w="1417" w:type="dxa"/>
            <w:tcBorders>
              <w:top w:val="single" w:color="auto" w:sz="4" w:space="0"/>
              <w:left w:val="single" w:color="auto" w:sz="4" w:space="0"/>
              <w:bottom w:val="single" w:color="auto" w:sz="4" w:space="0"/>
              <w:right w:val="single" w:color="auto" w:sz="4" w:space="0"/>
            </w:tcBorders>
          </w:tcPr>
          <w:p w14:paraId="7662B28E">
            <w:pPr>
              <w:rPr>
                <w:bCs/>
                <w:sz w:val="24"/>
                <w:highlight w:val="none"/>
              </w:rPr>
            </w:pPr>
          </w:p>
        </w:tc>
        <w:tc>
          <w:tcPr>
            <w:tcW w:w="851" w:type="dxa"/>
            <w:tcBorders>
              <w:top w:val="single" w:color="auto" w:sz="4" w:space="0"/>
              <w:left w:val="single" w:color="auto" w:sz="4" w:space="0"/>
              <w:bottom w:val="single" w:color="auto" w:sz="4" w:space="0"/>
              <w:right w:val="single" w:color="auto" w:sz="4" w:space="0"/>
            </w:tcBorders>
          </w:tcPr>
          <w:p w14:paraId="035F0F19">
            <w:pPr>
              <w:rPr>
                <w:bCs/>
                <w:sz w:val="24"/>
                <w:highlight w:val="none"/>
              </w:rPr>
            </w:pPr>
          </w:p>
        </w:tc>
        <w:tc>
          <w:tcPr>
            <w:tcW w:w="992" w:type="dxa"/>
            <w:tcBorders>
              <w:top w:val="single" w:color="auto" w:sz="4" w:space="0"/>
              <w:left w:val="single" w:color="auto" w:sz="4" w:space="0"/>
              <w:bottom w:val="single" w:color="auto" w:sz="4" w:space="0"/>
              <w:right w:val="single" w:color="auto" w:sz="4" w:space="0"/>
            </w:tcBorders>
          </w:tcPr>
          <w:p w14:paraId="50ABDEEE">
            <w:pPr>
              <w:rPr>
                <w:bCs/>
                <w:sz w:val="24"/>
                <w:highlight w:val="none"/>
              </w:rPr>
            </w:pPr>
          </w:p>
        </w:tc>
        <w:tc>
          <w:tcPr>
            <w:tcW w:w="1134" w:type="dxa"/>
            <w:tcBorders>
              <w:top w:val="single" w:color="auto" w:sz="4" w:space="0"/>
              <w:left w:val="single" w:color="auto" w:sz="4" w:space="0"/>
              <w:bottom w:val="single" w:color="auto" w:sz="4" w:space="0"/>
              <w:right w:val="single" w:color="auto" w:sz="4" w:space="0"/>
            </w:tcBorders>
          </w:tcPr>
          <w:p w14:paraId="0AE6913E">
            <w:pPr>
              <w:rPr>
                <w:bCs/>
                <w:sz w:val="24"/>
                <w:highlight w:val="none"/>
              </w:rPr>
            </w:pPr>
          </w:p>
        </w:tc>
        <w:tc>
          <w:tcPr>
            <w:tcW w:w="1134" w:type="dxa"/>
            <w:tcBorders>
              <w:top w:val="single" w:color="auto" w:sz="4" w:space="0"/>
              <w:left w:val="single" w:color="auto" w:sz="4" w:space="0"/>
              <w:bottom w:val="single" w:color="auto" w:sz="4" w:space="0"/>
              <w:right w:val="single" w:color="auto" w:sz="4" w:space="0"/>
            </w:tcBorders>
          </w:tcPr>
          <w:p w14:paraId="7760D22D">
            <w:pPr>
              <w:rPr>
                <w:bCs/>
                <w:sz w:val="24"/>
                <w:highlight w:val="none"/>
              </w:rPr>
            </w:pPr>
          </w:p>
        </w:tc>
        <w:tc>
          <w:tcPr>
            <w:tcW w:w="1021" w:type="dxa"/>
            <w:tcBorders>
              <w:top w:val="single" w:color="auto" w:sz="4" w:space="0"/>
              <w:left w:val="single" w:color="auto" w:sz="4" w:space="0"/>
              <w:bottom w:val="single" w:color="auto" w:sz="4" w:space="0"/>
              <w:right w:val="single" w:color="auto" w:sz="4" w:space="0"/>
            </w:tcBorders>
          </w:tcPr>
          <w:p w14:paraId="1DACDBD4">
            <w:pPr>
              <w:rPr>
                <w:bCs/>
                <w:sz w:val="24"/>
                <w:highlight w:val="none"/>
              </w:rPr>
            </w:pPr>
          </w:p>
        </w:tc>
      </w:tr>
      <w:tr w14:paraId="792032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9" w:hRule="exact"/>
        </w:trPr>
        <w:tc>
          <w:tcPr>
            <w:tcW w:w="748" w:type="dxa"/>
            <w:tcBorders>
              <w:top w:val="single" w:color="auto" w:sz="4" w:space="0"/>
              <w:left w:val="single" w:color="auto" w:sz="4" w:space="0"/>
              <w:bottom w:val="single" w:color="auto" w:sz="4" w:space="0"/>
              <w:right w:val="single" w:color="auto" w:sz="4" w:space="0"/>
            </w:tcBorders>
          </w:tcPr>
          <w:p w14:paraId="4781EC8A">
            <w:pPr>
              <w:rPr>
                <w:bCs/>
                <w:sz w:val="24"/>
                <w:highlight w:val="none"/>
              </w:rPr>
            </w:pPr>
          </w:p>
        </w:tc>
        <w:tc>
          <w:tcPr>
            <w:tcW w:w="1946" w:type="dxa"/>
            <w:tcBorders>
              <w:top w:val="single" w:color="auto" w:sz="4" w:space="0"/>
              <w:left w:val="single" w:color="auto" w:sz="4" w:space="0"/>
              <w:bottom w:val="single" w:color="auto" w:sz="4" w:space="0"/>
              <w:right w:val="single" w:color="auto" w:sz="4" w:space="0"/>
            </w:tcBorders>
          </w:tcPr>
          <w:p w14:paraId="5CFD0B6A">
            <w:pPr>
              <w:rPr>
                <w:bCs/>
                <w:sz w:val="24"/>
                <w:highlight w:val="none"/>
              </w:rPr>
            </w:pPr>
          </w:p>
        </w:tc>
        <w:tc>
          <w:tcPr>
            <w:tcW w:w="1417" w:type="dxa"/>
            <w:tcBorders>
              <w:top w:val="single" w:color="auto" w:sz="4" w:space="0"/>
              <w:left w:val="single" w:color="auto" w:sz="4" w:space="0"/>
              <w:bottom w:val="single" w:color="auto" w:sz="4" w:space="0"/>
              <w:right w:val="single" w:color="auto" w:sz="4" w:space="0"/>
            </w:tcBorders>
          </w:tcPr>
          <w:p w14:paraId="2C428ED0">
            <w:pPr>
              <w:rPr>
                <w:bCs/>
                <w:sz w:val="24"/>
                <w:highlight w:val="none"/>
              </w:rPr>
            </w:pPr>
          </w:p>
        </w:tc>
        <w:tc>
          <w:tcPr>
            <w:tcW w:w="851" w:type="dxa"/>
            <w:tcBorders>
              <w:top w:val="single" w:color="auto" w:sz="4" w:space="0"/>
              <w:left w:val="single" w:color="auto" w:sz="4" w:space="0"/>
              <w:bottom w:val="single" w:color="auto" w:sz="4" w:space="0"/>
              <w:right w:val="single" w:color="auto" w:sz="4" w:space="0"/>
            </w:tcBorders>
          </w:tcPr>
          <w:p w14:paraId="4BD28C1E">
            <w:pPr>
              <w:rPr>
                <w:bCs/>
                <w:sz w:val="24"/>
                <w:highlight w:val="none"/>
              </w:rPr>
            </w:pPr>
          </w:p>
        </w:tc>
        <w:tc>
          <w:tcPr>
            <w:tcW w:w="992" w:type="dxa"/>
            <w:tcBorders>
              <w:top w:val="single" w:color="auto" w:sz="4" w:space="0"/>
              <w:left w:val="single" w:color="auto" w:sz="4" w:space="0"/>
              <w:bottom w:val="single" w:color="auto" w:sz="4" w:space="0"/>
              <w:right w:val="single" w:color="auto" w:sz="4" w:space="0"/>
            </w:tcBorders>
          </w:tcPr>
          <w:p w14:paraId="3F4C3572">
            <w:pPr>
              <w:rPr>
                <w:bCs/>
                <w:sz w:val="24"/>
                <w:highlight w:val="none"/>
              </w:rPr>
            </w:pPr>
          </w:p>
        </w:tc>
        <w:tc>
          <w:tcPr>
            <w:tcW w:w="1134" w:type="dxa"/>
            <w:tcBorders>
              <w:top w:val="single" w:color="auto" w:sz="4" w:space="0"/>
              <w:left w:val="single" w:color="auto" w:sz="4" w:space="0"/>
              <w:bottom w:val="single" w:color="auto" w:sz="4" w:space="0"/>
              <w:right w:val="single" w:color="auto" w:sz="4" w:space="0"/>
            </w:tcBorders>
          </w:tcPr>
          <w:p w14:paraId="50D3C95A">
            <w:pPr>
              <w:rPr>
                <w:bCs/>
                <w:sz w:val="24"/>
                <w:highlight w:val="none"/>
              </w:rPr>
            </w:pPr>
          </w:p>
        </w:tc>
        <w:tc>
          <w:tcPr>
            <w:tcW w:w="1134" w:type="dxa"/>
            <w:tcBorders>
              <w:top w:val="single" w:color="auto" w:sz="4" w:space="0"/>
              <w:left w:val="single" w:color="auto" w:sz="4" w:space="0"/>
              <w:bottom w:val="single" w:color="auto" w:sz="4" w:space="0"/>
              <w:right w:val="single" w:color="auto" w:sz="4" w:space="0"/>
            </w:tcBorders>
          </w:tcPr>
          <w:p w14:paraId="2AA0C4C9">
            <w:pPr>
              <w:rPr>
                <w:bCs/>
                <w:sz w:val="24"/>
                <w:highlight w:val="none"/>
              </w:rPr>
            </w:pPr>
          </w:p>
        </w:tc>
        <w:tc>
          <w:tcPr>
            <w:tcW w:w="1021" w:type="dxa"/>
            <w:tcBorders>
              <w:top w:val="single" w:color="auto" w:sz="4" w:space="0"/>
              <w:left w:val="single" w:color="auto" w:sz="4" w:space="0"/>
              <w:bottom w:val="single" w:color="auto" w:sz="4" w:space="0"/>
              <w:right w:val="single" w:color="auto" w:sz="4" w:space="0"/>
            </w:tcBorders>
          </w:tcPr>
          <w:p w14:paraId="4AA2934A">
            <w:pPr>
              <w:rPr>
                <w:bCs/>
                <w:sz w:val="24"/>
                <w:highlight w:val="none"/>
              </w:rPr>
            </w:pPr>
          </w:p>
        </w:tc>
      </w:tr>
      <w:tr w14:paraId="2FFFDD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9" w:hRule="exact"/>
        </w:trPr>
        <w:tc>
          <w:tcPr>
            <w:tcW w:w="748" w:type="dxa"/>
            <w:tcBorders>
              <w:top w:val="single" w:color="auto" w:sz="4" w:space="0"/>
              <w:left w:val="single" w:color="auto" w:sz="4" w:space="0"/>
              <w:bottom w:val="single" w:color="auto" w:sz="4" w:space="0"/>
              <w:right w:val="single" w:color="auto" w:sz="4" w:space="0"/>
            </w:tcBorders>
          </w:tcPr>
          <w:p w14:paraId="6BFE55A4">
            <w:pPr>
              <w:rPr>
                <w:bCs/>
                <w:sz w:val="24"/>
                <w:highlight w:val="none"/>
              </w:rPr>
            </w:pPr>
          </w:p>
        </w:tc>
        <w:tc>
          <w:tcPr>
            <w:tcW w:w="1946" w:type="dxa"/>
            <w:tcBorders>
              <w:top w:val="single" w:color="auto" w:sz="4" w:space="0"/>
              <w:left w:val="single" w:color="auto" w:sz="4" w:space="0"/>
              <w:bottom w:val="single" w:color="auto" w:sz="4" w:space="0"/>
              <w:right w:val="single" w:color="auto" w:sz="4" w:space="0"/>
            </w:tcBorders>
          </w:tcPr>
          <w:p w14:paraId="0D108DC3">
            <w:pPr>
              <w:rPr>
                <w:bCs/>
                <w:sz w:val="24"/>
                <w:highlight w:val="none"/>
              </w:rPr>
            </w:pPr>
          </w:p>
        </w:tc>
        <w:tc>
          <w:tcPr>
            <w:tcW w:w="1417" w:type="dxa"/>
            <w:tcBorders>
              <w:top w:val="single" w:color="auto" w:sz="4" w:space="0"/>
              <w:left w:val="single" w:color="auto" w:sz="4" w:space="0"/>
              <w:bottom w:val="single" w:color="auto" w:sz="4" w:space="0"/>
              <w:right w:val="single" w:color="auto" w:sz="4" w:space="0"/>
            </w:tcBorders>
          </w:tcPr>
          <w:p w14:paraId="67B8AE33">
            <w:pPr>
              <w:rPr>
                <w:bCs/>
                <w:sz w:val="24"/>
                <w:highlight w:val="none"/>
              </w:rPr>
            </w:pPr>
          </w:p>
        </w:tc>
        <w:tc>
          <w:tcPr>
            <w:tcW w:w="851" w:type="dxa"/>
            <w:tcBorders>
              <w:top w:val="single" w:color="auto" w:sz="4" w:space="0"/>
              <w:left w:val="single" w:color="auto" w:sz="4" w:space="0"/>
              <w:bottom w:val="single" w:color="auto" w:sz="4" w:space="0"/>
              <w:right w:val="single" w:color="auto" w:sz="4" w:space="0"/>
            </w:tcBorders>
          </w:tcPr>
          <w:p w14:paraId="02699634">
            <w:pPr>
              <w:rPr>
                <w:bCs/>
                <w:sz w:val="24"/>
                <w:highlight w:val="none"/>
              </w:rPr>
            </w:pPr>
          </w:p>
        </w:tc>
        <w:tc>
          <w:tcPr>
            <w:tcW w:w="992" w:type="dxa"/>
            <w:tcBorders>
              <w:top w:val="single" w:color="auto" w:sz="4" w:space="0"/>
              <w:left w:val="single" w:color="auto" w:sz="4" w:space="0"/>
              <w:bottom w:val="single" w:color="auto" w:sz="4" w:space="0"/>
              <w:right w:val="single" w:color="auto" w:sz="4" w:space="0"/>
            </w:tcBorders>
          </w:tcPr>
          <w:p w14:paraId="39659EF3">
            <w:pPr>
              <w:rPr>
                <w:bCs/>
                <w:sz w:val="24"/>
                <w:highlight w:val="none"/>
              </w:rPr>
            </w:pPr>
          </w:p>
        </w:tc>
        <w:tc>
          <w:tcPr>
            <w:tcW w:w="1134" w:type="dxa"/>
            <w:tcBorders>
              <w:top w:val="single" w:color="auto" w:sz="4" w:space="0"/>
              <w:left w:val="single" w:color="auto" w:sz="4" w:space="0"/>
              <w:bottom w:val="single" w:color="auto" w:sz="4" w:space="0"/>
              <w:right w:val="single" w:color="auto" w:sz="4" w:space="0"/>
            </w:tcBorders>
          </w:tcPr>
          <w:p w14:paraId="66ADD7FF">
            <w:pPr>
              <w:rPr>
                <w:bCs/>
                <w:sz w:val="24"/>
                <w:highlight w:val="none"/>
              </w:rPr>
            </w:pPr>
          </w:p>
        </w:tc>
        <w:tc>
          <w:tcPr>
            <w:tcW w:w="1134" w:type="dxa"/>
            <w:tcBorders>
              <w:top w:val="single" w:color="auto" w:sz="4" w:space="0"/>
              <w:left w:val="single" w:color="auto" w:sz="4" w:space="0"/>
              <w:bottom w:val="single" w:color="auto" w:sz="4" w:space="0"/>
              <w:right w:val="single" w:color="auto" w:sz="4" w:space="0"/>
            </w:tcBorders>
          </w:tcPr>
          <w:p w14:paraId="58634D04">
            <w:pPr>
              <w:rPr>
                <w:bCs/>
                <w:sz w:val="24"/>
                <w:highlight w:val="none"/>
              </w:rPr>
            </w:pPr>
          </w:p>
        </w:tc>
        <w:tc>
          <w:tcPr>
            <w:tcW w:w="1021" w:type="dxa"/>
            <w:tcBorders>
              <w:top w:val="single" w:color="auto" w:sz="4" w:space="0"/>
              <w:left w:val="single" w:color="auto" w:sz="4" w:space="0"/>
              <w:bottom w:val="single" w:color="auto" w:sz="4" w:space="0"/>
              <w:right w:val="single" w:color="auto" w:sz="4" w:space="0"/>
            </w:tcBorders>
          </w:tcPr>
          <w:p w14:paraId="74F4D5CC">
            <w:pPr>
              <w:rPr>
                <w:bCs/>
                <w:sz w:val="24"/>
                <w:highlight w:val="none"/>
              </w:rPr>
            </w:pPr>
          </w:p>
        </w:tc>
      </w:tr>
      <w:tr w14:paraId="323A57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9" w:hRule="exact"/>
        </w:trPr>
        <w:tc>
          <w:tcPr>
            <w:tcW w:w="748" w:type="dxa"/>
            <w:tcBorders>
              <w:top w:val="single" w:color="auto" w:sz="4" w:space="0"/>
              <w:left w:val="single" w:color="auto" w:sz="4" w:space="0"/>
              <w:bottom w:val="single" w:color="auto" w:sz="4" w:space="0"/>
              <w:right w:val="single" w:color="auto" w:sz="4" w:space="0"/>
            </w:tcBorders>
          </w:tcPr>
          <w:p w14:paraId="2B1745BF">
            <w:pPr>
              <w:rPr>
                <w:bCs/>
                <w:sz w:val="24"/>
                <w:highlight w:val="none"/>
              </w:rPr>
            </w:pPr>
          </w:p>
        </w:tc>
        <w:tc>
          <w:tcPr>
            <w:tcW w:w="1946" w:type="dxa"/>
            <w:tcBorders>
              <w:top w:val="single" w:color="auto" w:sz="4" w:space="0"/>
              <w:left w:val="single" w:color="auto" w:sz="4" w:space="0"/>
              <w:bottom w:val="single" w:color="auto" w:sz="4" w:space="0"/>
              <w:right w:val="single" w:color="auto" w:sz="4" w:space="0"/>
            </w:tcBorders>
          </w:tcPr>
          <w:p w14:paraId="7B8B9330">
            <w:pPr>
              <w:rPr>
                <w:bCs/>
                <w:sz w:val="24"/>
                <w:highlight w:val="none"/>
              </w:rPr>
            </w:pPr>
          </w:p>
        </w:tc>
        <w:tc>
          <w:tcPr>
            <w:tcW w:w="1417" w:type="dxa"/>
            <w:tcBorders>
              <w:top w:val="single" w:color="auto" w:sz="4" w:space="0"/>
              <w:left w:val="single" w:color="auto" w:sz="4" w:space="0"/>
              <w:bottom w:val="single" w:color="auto" w:sz="4" w:space="0"/>
              <w:right w:val="single" w:color="auto" w:sz="4" w:space="0"/>
            </w:tcBorders>
          </w:tcPr>
          <w:p w14:paraId="7BA7DC6E">
            <w:pPr>
              <w:rPr>
                <w:bCs/>
                <w:sz w:val="24"/>
                <w:highlight w:val="none"/>
              </w:rPr>
            </w:pPr>
          </w:p>
        </w:tc>
        <w:tc>
          <w:tcPr>
            <w:tcW w:w="851" w:type="dxa"/>
            <w:tcBorders>
              <w:top w:val="single" w:color="auto" w:sz="4" w:space="0"/>
              <w:left w:val="single" w:color="auto" w:sz="4" w:space="0"/>
              <w:bottom w:val="single" w:color="auto" w:sz="4" w:space="0"/>
              <w:right w:val="single" w:color="auto" w:sz="4" w:space="0"/>
            </w:tcBorders>
          </w:tcPr>
          <w:p w14:paraId="0A85AE7C">
            <w:pPr>
              <w:rPr>
                <w:bCs/>
                <w:sz w:val="24"/>
                <w:highlight w:val="none"/>
              </w:rPr>
            </w:pPr>
          </w:p>
        </w:tc>
        <w:tc>
          <w:tcPr>
            <w:tcW w:w="992" w:type="dxa"/>
            <w:tcBorders>
              <w:top w:val="single" w:color="auto" w:sz="4" w:space="0"/>
              <w:left w:val="single" w:color="auto" w:sz="4" w:space="0"/>
              <w:bottom w:val="single" w:color="auto" w:sz="4" w:space="0"/>
              <w:right w:val="single" w:color="auto" w:sz="4" w:space="0"/>
            </w:tcBorders>
          </w:tcPr>
          <w:p w14:paraId="005D2611">
            <w:pPr>
              <w:rPr>
                <w:bCs/>
                <w:sz w:val="24"/>
                <w:highlight w:val="none"/>
              </w:rPr>
            </w:pPr>
          </w:p>
        </w:tc>
        <w:tc>
          <w:tcPr>
            <w:tcW w:w="1134" w:type="dxa"/>
            <w:tcBorders>
              <w:top w:val="single" w:color="auto" w:sz="4" w:space="0"/>
              <w:left w:val="single" w:color="auto" w:sz="4" w:space="0"/>
              <w:bottom w:val="single" w:color="auto" w:sz="4" w:space="0"/>
              <w:right w:val="single" w:color="auto" w:sz="4" w:space="0"/>
            </w:tcBorders>
          </w:tcPr>
          <w:p w14:paraId="5191E43B">
            <w:pPr>
              <w:rPr>
                <w:bCs/>
                <w:sz w:val="24"/>
                <w:highlight w:val="none"/>
              </w:rPr>
            </w:pPr>
          </w:p>
        </w:tc>
        <w:tc>
          <w:tcPr>
            <w:tcW w:w="1134" w:type="dxa"/>
            <w:tcBorders>
              <w:top w:val="single" w:color="auto" w:sz="4" w:space="0"/>
              <w:left w:val="single" w:color="auto" w:sz="4" w:space="0"/>
              <w:bottom w:val="single" w:color="auto" w:sz="4" w:space="0"/>
              <w:right w:val="single" w:color="auto" w:sz="4" w:space="0"/>
            </w:tcBorders>
          </w:tcPr>
          <w:p w14:paraId="5746EAFF">
            <w:pPr>
              <w:rPr>
                <w:bCs/>
                <w:sz w:val="24"/>
                <w:highlight w:val="none"/>
              </w:rPr>
            </w:pPr>
          </w:p>
        </w:tc>
        <w:tc>
          <w:tcPr>
            <w:tcW w:w="1021" w:type="dxa"/>
            <w:tcBorders>
              <w:top w:val="single" w:color="auto" w:sz="4" w:space="0"/>
              <w:left w:val="single" w:color="auto" w:sz="4" w:space="0"/>
              <w:bottom w:val="single" w:color="auto" w:sz="4" w:space="0"/>
              <w:right w:val="single" w:color="auto" w:sz="4" w:space="0"/>
            </w:tcBorders>
          </w:tcPr>
          <w:p w14:paraId="3A55993B">
            <w:pPr>
              <w:rPr>
                <w:bCs/>
                <w:sz w:val="24"/>
                <w:highlight w:val="none"/>
              </w:rPr>
            </w:pPr>
          </w:p>
        </w:tc>
      </w:tr>
      <w:tr w14:paraId="5D9D2B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9" w:hRule="exact"/>
        </w:trPr>
        <w:tc>
          <w:tcPr>
            <w:tcW w:w="748" w:type="dxa"/>
            <w:tcBorders>
              <w:top w:val="single" w:color="auto" w:sz="4" w:space="0"/>
              <w:left w:val="single" w:color="auto" w:sz="4" w:space="0"/>
              <w:bottom w:val="single" w:color="auto" w:sz="4" w:space="0"/>
              <w:right w:val="single" w:color="auto" w:sz="4" w:space="0"/>
            </w:tcBorders>
          </w:tcPr>
          <w:p w14:paraId="0E96C9D1">
            <w:pPr>
              <w:rPr>
                <w:bCs/>
                <w:sz w:val="24"/>
                <w:highlight w:val="none"/>
              </w:rPr>
            </w:pPr>
          </w:p>
        </w:tc>
        <w:tc>
          <w:tcPr>
            <w:tcW w:w="1946" w:type="dxa"/>
            <w:tcBorders>
              <w:top w:val="single" w:color="auto" w:sz="4" w:space="0"/>
              <w:left w:val="single" w:color="auto" w:sz="4" w:space="0"/>
              <w:bottom w:val="single" w:color="auto" w:sz="4" w:space="0"/>
              <w:right w:val="single" w:color="auto" w:sz="4" w:space="0"/>
            </w:tcBorders>
          </w:tcPr>
          <w:p w14:paraId="6B536141">
            <w:pPr>
              <w:rPr>
                <w:bCs/>
                <w:sz w:val="24"/>
                <w:highlight w:val="none"/>
              </w:rPr>
            </w:pPr>
          </w:p>
        </w:tc>
        <w:tc>
          <w:tcPr>
            <w:tcW w:w="1417" w:type="dxa"/>
            <w:tcBorders>
              <w:top w:val="single" w:color="auto" w:sz="4" w:space="0"/>
              <w:left w:val="single" w:color="auto" w:sz="4" w:space="0"/>
              <w:bottom w:val="single" w:color="auto" w:sz="4" w:space="0"/>
              <w:right w:val="single" w:color="auto" w:sz="4" w:space="0"/>
            </w:tcBorders>
          </w:tcPr>
          <w:p w14:paraId="637E0E39">
            <w:pPr>
              <w:rPr>
                <w:bCs/>
                <w:sz w:val="24"/>
                <w:highlight w:val="none"/>
              </w:rPr>
            </w:pPr>
          </w:p>
        </w:tc>
        <w:tc>
          <w:tcPr>
            <w:tcW w:w="851" w:type="dxa"/>
            <w:tcBorders>
              <w:top w:val="single" w:color="auto" w:sz="4" w:space="0"/>
              <w:left w:val="single" w:color="auto" w:sz="4" w:space="0"/>
              <w:bottom w:val="single" w:color="auto" w:sz="4" w:space="0"/>
              <w:right w:val="single" w:color="auto" w:sz="4" w:space="0"/>
            </w:tcBorders>
          </w:tcPr>
          <w:p w14:paraId="5AAE490D">
            <w:pPr>
              <w:rPr>
                <w:bCs/>
                <w:sz w:val="24"/>
                <w:highlight w:val="none"/>
              </w:rPr>
            </w:pPr>
          </w:p>
        </w:tc>
        <w:tc>
          <w:tcPr>
            <w:tcW w:w="992" w:type="dxa"/>
            <w:tcBorders>
              <w:top w:val="single" w:color="auto" w:sz="4" w:space="0"/>
              <w:left w:val="single" w:color="auto" w:sz="4" w:space="0"/>
              <w:bottom w:val="single" w:color="auto" w:sz="4" w:space="0"/>
              <w:right w:val="single" w:color="auto" w:sz="4" w:space="0"/>
            </w:tcBorders>
          </w:tcPr>
          <w:p w14:paraId="2A65CE30">
            <w:pPr>
              <w:rPr>
                <w:bCs/>
                <w:sz w:val="24"/>
                <w:highlight w:val="none"/>
              </w:rPr>
            </w:pPr>
          </w:p>
        </w:tc>
        <w:tc>
          <w:tcPr>
            <w:tcW w:w="1134" w:type="dxa"/>
            <w:tcBorders>
              <w:top w:val="single" w:color="auto" w:sz="4" w:space="0"/>
              <w:left w:val="single" w:color="auto" w:sz="4" w:space="0"/>
              <w:bottom w:val="single" w:color="auto" w:sz="4" w:space="0"/>
              <w:right w:val="single" w:color="auto" w:sz="4" w:space="0"/>
            </w:tcBorders>
          </w:tcPr>
          <w:p w14:paraId="7AC19686">
            <w:pPr>
              <w:rPr>
                <w:bCs/>
                <w:sz w:val="24"/>
                <w:highlight w:val="none"/>
              </w:rPr>
            </w:pPr>
          </w:p>
        </w:tc>
        <w:tc>
          <w:tcPr>
            <w:tcW w:w="1134" w:type="dxa"/>
            <w:tcBorders>
              <w:top w:val="single" w:color="auto" w:sz="4" w:space="0"/>
              <w:left w:val="single" w:color="auto" w:sz="4" w:space="0"/>
              <w:bottom w:val="single" w:color="auto" w:sz="4" w:space="0"/>
              <w:right w:val="single" w:color="auto" w:sz="4" w:space="0"/>
            </w:tcBorders>
          </w:tcPr>
          <w:p w14:paraId="7CFA1571">
            <w:pPr>
              <w:rPr>
                <w:bCs/>
                <w:sz w:val="24"/>
                <w:highlight w:val="none"/>
              </w:rPr>
            </w:pPr>
          </w:p>
        </w:tc>
        <w:tc>
          <w:tcPr>
            <w:tcW w:w="1021" w:type="dxa"/>
            <w:tcBorders>
              <w:top w:val="single" w:color="auto" w:sz="4" w:space="0"/>
              <w:left w:val="single" w:color="auto" w:sz="4" w:space="0"/>
              <w:bottom w:val="single" w:color="auto" w:sz="4" w:space="0"/>
              <w:right w:val="single" w:color="auto" w:sz="4" w:space="0"/>
            </w:tcBorders>
          </w:tcPr>
          <w:p w14:paraId="1D63599D">
            <w:pPr>
              <w:rPr>
                <w:bCs/>
                <w:sz w:val="24"/>
                <w:highlight w:val="none"/>
              </w:rPr>
            </w:pPr>
          </w:p>
        </w:tc>
      </w:tr>
      <w:tr w14:paraId="610BF7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9" w:hRule="exact"/>
        </w:trPr>
        <w:tc>
          <w:tcPr>
            <w:tcW w:w="748" w:type="dxa"/>
            <w:tcBorders>
              <w:top w:val="single" w:color="auto" w:sz="4" w:space="0"/>
              <w:left w:val="single" w:color="auto" w:sz="4" w:space="0"/>
              <w:bottom w:val="single" w:color="auto" w:sz="4" w:space="0"/>
              <w:right w:val="single" w:color="auto" w:sz="4" w:space="0"/>
            </w:tcBorders>
          </w:tcPr>
          <w:p w14:paraId="429BD53A">
            <w:pPr>
              <w:rPr>
                <w:bCs/>
                <w:sz w:val="24"/>
                <w:highlight w:val="none"/>
              </w:rPr>
            </w:pPr>
          </w:p>
        </w:tc>
        <w:tc>
          <w:tcPr>
            <w:tcW w:w="1946" w:type="dxa"/>
            <w:tcBorders>
              <w:top w:val="single" w:color="auto" w:sz="4" w:space="0"/>
              <w:left w:val="single" w:color="auto" w:sz="4" w:space="0"/>
              <w:bottom w:val="single" w:color="auto" w:sz="4" w:space="0"/>
              <w:right w:val="single" w:color="auto" w:sz="4" w:space="0"/>
            </w:tcBorders>
          </w:tcPr>
          <w:p w14:paraId="6E96864F">
            <w:pPr>
              <w:rPr>
                <w:bCs/>
                <w:sz w:val="24"/>
                <w:highlight w:val="none"/>
              </w:rPr>
            </w:pPr>
          </w:p>
        </w:tc>
        <w:tc>
          <w:tcPr>
            <w:tcW w:w="1417" w:type="dxa"/>
            <w:tcBorders>
              <w:top w:val="single" w:color="auto" w:sz="4" w:space="0"/>
              <w:left w:val="single" w:color="auto" w:sz="4" w:space="0"/>
              <w:bottom w:val="single" w:color="auto" w:sz="4" w:space="0"/>
              <w:right w:val="single" w:color="auto" w:sz="4" w:space="0"/>
            </w:tcBorders>
          </w:tcPr>
          <w:p w14:paraId="4A9542C7">
            <w:pPr>
              <w:rPr>
                <w:bCs/>
                <w:sz w:val="24"/>
                <w:highlight w:val="none"/>
              </w:rPr>
            </w:pPr>
          </w:p>
        </w:tc>
        <w:tc>
          <w:tcPr>
            <w:tcW w:w="851" w:type="dxa"/>
            <w:tcBorders>
              <w:top w:val="single" w:color="auto" w:sz="4" w:space="0"/>
              <w:left w:val="single" w:color="auto" w:sz="4" w:space="0"/>
              <w:bottom w:val="single" w:color="auto" w:sz="4" w:space="0"/>
              <w:right w:val="single" w:color="auto" w:sz="4" w:space="0"/>
            </w:tcBorders>
          </w:tcPr>
          <w:p w14:paraId="602D30D4">
            <w:pPr>
              <w:rPr>
                <w:bCs/>
                <w:sz w:val="24"/>
                <w:highlight w:val="none"/>
              </w:rPr>
            </w:pPr>
          </w:p>
        </w:tc>
        <w:tc>
          <w:tcPr>
            <w:tcW w:w="992" w:type="dxa"/>
            <w:tcBorders>
              <w:top w:val="single" w:color="auto" w:sz="4" w:space="0"/>
              <w:left w:val="single" w:color="auto" w:sz="4" w:space="0"/>
              <w:bottom w:val="single" w:color="auto" w:sz="4" w:space="0"/>
              <w:right w:val="single" w:color="auto" w:sz="4" w:space="0"/>
            </w:tcBorders>
          </w:tcPr>
          <w:p w14:paraId="3AA193ED">
            <w:pPr>
              <w:rPr>
                <w:bCs/>
                <w:sz w:val="24"/>
                <w:highlight w:val="none"/>
              </w:rPr>
            </w:pPr>
          </w:p>
        </w:tc>
        <w:tc>
          <w:tcPr>
            <w:tcW w:w="1134" w:type="dxa"/>
            <w:tcBorders>
              <w:top w:val="single" w:color="auto" w:sz="4" w:space="0"/>
              <w:left w:val="single" w:color="auto" w:sz="4" w:space="0"/>
              <w:bottom w:val="single" w:color="auto" w:sz="4" w:space="0"/>
              <w:right w:val="single" w:color="auto" w:sz="4" w:space="0"/>
            </w:tcBorders>
          </w:tcPr>
          <w:p w14:paraId="004D8D7F">
            <w:pPr>
              <w:rPr>
                <w:bCs/>
                <w:sz w:val="24"/>
                <w:highlight w:val="none"/>
              </w:rPr>
            </w:pPr>
          </w:p>
        </w:tc>
        <w:tc>
          <w:tcPr>
            <w:tcW w:w="1134" w:type="dxa"/>
            <w:tcBorders>
              <w:top w:val="single" w:color="auto" w:sz="4" w:space="0"/>
              <w:left w:val="single" w:color="auto" w:sz="4" w:space="0"/>
              <w:bottom w:val="single" w:color="auto" w:sz="4" w:space="0"/>
              <w:right w:val="single" w:color="auto" w:sz="4" w:space="0"/>
            </w:tcBorders>
          </w:tcPr>
          <w:p w14:paraId="10470C3C">
            <w:pPr>
              <w:rPr>
                <w:bCs/>
                <w:sz w:val="24"/>
                <w:highlight w:val="none"/>
              </w:rPr>
            </w:pPr>
          </w:p>
        </w:tc>
        <w:tc>
          <w:tcPr>
            <w:tcW w:w="1021" w:type="dxa"/>
            <w:tcBorders>
              <w:top w:val="single" w:color="auto" w:sz="4" w:space="0"/>
              <w:left w:val="single" w:color="auto" w:sz="4" w:space="0"/>
              <w:bottom w:val="single" w:color="auto" w:sz="4" w:space="0"/>
              <w:right w:val="single" w:color="auto" w:sz="4" w:space="0"/>
            </w:tcBorders>
          </w:tcPr>
          <w:p w14:paraId="79629955">
            <w:pPr>
              <w:rPr>
                <w:bCs/>
                <w:sz w:val="24"/>
                <w:highlight w:val="none"/>
              </w:rPr>
            </w:pPr>
          </w:p>
        </w:tc>
      </w:tr>
      <w:tr w14:paraId="462843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9" w:hRule="exact"/>
        </w:trPr>
        <w:tc>
          <w:tcPr>
            <w:tcW w:w="748" w:type="dxa"/>
            <w:tcBorders>
              <w:top w:val="single" w:color="auto" w:sz="4" w:space="0"/>
              <w:left w:val="single" w:color="auto" w:sz="4" w:space="0"/>
              <w:bottom w:val="single" w:color="auto" w:sz="4" w:space="0"/>
              <w:right w:val="single" w:color="auto" w:sz="4" w:space="0"/>
            </w:tcBorders>
          </w:tcPr>
          <w:p w14:paraId="7B13762B">
            <w:pPr>
              <w:rPr>
                <w:bCs/>
                <w:sz w:val="24"/>
                <w:highlight w:val="none"/>
              </w:rPr>
            </w:pPr>
          </w:p>
        </w:tc>
        <w:tc>
          <w:tcPr>
            <w:tcW w:w="1946" w:type="dxa"/>
            <w:tcBorders>
              <w:top w:val="single" w:color="auto" w:sz="4" w:space="0"/>
              <w:left w:val="single" w:color="auto" w:sz="4" w:space="0"/>
              <w:bottom w:val="single" w:color="auto" w:sz="4" w:space="0"/>
              <w:right w:val="single" w:color="auto" w:sz="4" w:space="0"/>
            </w:tcBorders>
          </w:tcPr>
          <w:p w14:paraId="128BC4CD">
            <w:pPr>
              <w:rPr>
                <w:bCs/>
                <w:sz w:val="24"/>
                <w:highlight w:val="none"/>
              </w:rPr>
            </w:pPr>
          </w:p>
        </w:tc>
        <w:tc>
          <w:tcPr>
            <w:tcW w:w="1417" w:type="dxa"/>
            <w:tcBorders>
              <w:top w:val="single" w:color="auto" w:sz="4" w:space="0"/>
              <w:left w:val="single" w:color="auto" w:sz="4" w:space="0"/>
              <w:bottom w:val="single" w:color="auto" w:sz="4" w:space="0"/>
              <w:right w:val="single" w:color="auto" w:sz="4" w:space="0"/>
            </w:tcBorders>
          </w:tcPr>
          <w:p w14:paraId="38DA0F71">
            <w:pPr>
              <w:rPr>
                <w:bCs/>
                <w:sz w:val="24"/>
                <w:highlight w:val="none"/>
              </w:rPr>
            </w:pPr>
          </w:p>
        </w:tc>
        <w:tc>
          <w:tcPr>
            <w:tcW w:w="851" w:type="dxa"/>
            <w:tcBorders>
              <w:top w:val="single" w:color="auto" w:sz="4" w:space="0"/>
              <w:left w:val="single" w:color="auto" w:sz="4" w:space="0"/>
              <w:bottom w:val="single" w:color="auto" w:sz="4" w:space="0"/>
              <w:right w:val="single" w:color="auto" w:sz="4" w:space="0"/>
            </w:tcBorders>
          </w:tcPr>
          <w:p w14:paraId="18FD7475">
            <w:pPr>
              <w:rPr>
                <w:bCs/>
                <w:sz w:val="24"/>
                <w:highlight w:val="none"/>
              </w:rPr>
            </w:pPr>
          </w:p>
        </w:tc>
        <w:tc>
          <w:tcPr>
            <w:tcW w:w="992" w:type="dxa"/>
            <w:tcBorders>
              <w:top w:val="single" w:color="auto" w:sz="4" w:space="0"/>
              <w:left w:val="single" w:color="auto" w:sz="4" w:space="0"/>
              <w:bottom w:val="single" w:color="auto" w:sz="4" w:space="0"/>
              <w:right w:val="single" w:color="auto" w:sz="4" w:space="0"/>
            </w:tcBorders>
          </w:tcPr>
          <w:p w14:paraId="2482ED20">
            <w:pPr>
              <w:rPr>
                <w:bCs/>
                <w:sz w:val="24"/>
                <w:highlight w:val="none"/>
              </w:rPr>
            </w:pPr>
          </w:p>
        </w:tc>
        <w:tc>
          <w:tcPr>
            <w:tcW w:w="1134" w:type="dxa"/>
            <w:tcBorders>
              <w:top w:val="single" w:color="auto" w:sz="4" w:space="0"/>
              <w:left w:val="single" w:color="auto" w:sz="4" w:space="0"/>
              <w:bottom w:val="single" w:color="auto" w:sz="4" w:space="0"/>
              <w:right w:val="single" w:color="auto" w:sz="4" w:space="0"/>
            </w:tcBorders>
          </w:tcPr>
          <w:p w14:paraId="34378512">
            <w:pPr>
              <w:rPr>
                <w:bCs/>
                <w:sz w:val="24"/>
                <w:highlight w:val="none"/>
              </w:rPr>
            </w:pPr>
          </w:p>
        </w:tc>
        <w:tc>
          <w:tcPr>
            <w:tcW w:w="1134" w:type="dxa"/>
            <w:tcBorders>
              <w:top w:val="single" w:color="auto" w:sz="4" w:space="0"/>
              <w:left w:val="single" w:color="auto" w:sz="4" w:space="0"/>
              <w:bottom w:val="single" w:color="auto" w:sz="4" w:space="0"/>
              <w:right w:val="single" w:color="auto" w:sz="4" w:space="0"/>
            </w:tcBorders>
          </w:tcPr>
          <w:p w14:paraId="5EA22B37">
            <w:pPr>
              <w:rPr>
                <w:bCs/>
                <w:sz w:val="24"/>
                <w:highlight w:val="none"/>
              </w:rPr>
            </w:pPr>
          </w:p>
        </w:tc>
        <w:tc>
          <w:tcPr>
            <w:tcW w:w="1021" w:type="dxa"/>
            <w:tcBorders>
              <w:top w:val="single" w:color="auto" w:sz="4" w:space="0"/>
              <w:left w:val="single" w:color="auto" w:sz="4" w:space="0"/>
              <w:bottom w:val="single" w:color="auto" w:sz="4" w:space="0"/>
              <w:right w:val="single" w:color="auto" w:sz="4" w:space="0"/>
            </w:tcBorders>
          </w:tcPr>
          <w:p w14:paraId="048932A9">
            <w:pPr>
              <w:rPr>
                <w:bCs/>
                <w:sz w:val="24"/>
                <w:highlight w:val="none"/>
              </w:rPr>
            </w:pPr>
          </w:p>
        </w:tc>
      </w:tr>
      <w:tr w14:paraId="7F6A99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9" w:hRule="exact"/>
        </w:trPr>
        <w:tc>
          <w:tcPr>
            <w:tcW w:w="748" w:type="dxa"/>
            <w:tcBorders>
              <w:top w:val="single" w:color="auto" w:sz="4" w:space="0"/>
              <w:left w:val="single" w:color="auto" w:sz="4" w:space="0"/>
              <w:bottom w:val="single" w:color="auto" w:sz="4" w:space="0"/>
              <w:right w:val="single" w:color="auto" w:sz="4" w:space="0"/>
            </w:tcBorders>
          </w:tcPr>
          <w:p w14:paraId="3389BBF0">
            <w:pPr>
              <w:rPr>
                <w:bCs/>
                <w:sz w:val="24"/>
                <w:highlight w:val="none"/>
              </w:rPr>
            </w:pPr>
          </w:p>
        </w:tc>
        <w:tc>
          <w:tcPr>
            <w:tcW w:w="1946" w:type="dxa"/>
            <w:tcBorders>
              <w:top w:val="single" w:color="auto" w:sz="4" w:space="0"/>
              <w:left w:val="single" w:color="auto" w:sz="4" w:space="0"/>
              <w:bottom w:val="single" w:color="auto" w:sz="4" w:space="0"/>
              <w:right w:val="single" w:color="auto" w:sz="4" w:space="0"/>
            </w:tcBorders>
          </w:tcPr>
          <w:p w14:paraId="350B4B31">
            <w:pPr>
              <w:rPr>
                <w:bCs/>
                <w:sz w:val="24"/>
                <w:highlight w:val="none"/>
              </w:rPr>
            </w:pPr>
          </w:p>
        </w:tc>
        <w:tc>
          <w:tcPr>
            <w:tcW w:w="1417" w:type="dxa"/>
            <w:tcBorders>
              <w:top w:val="single" w:color="auto" w:sz="4" w:space="0"/>
              <w:left w:val="single" w:color="auto" w:sz="4" w:space="0"/>
              <w:bottom w:val="single" w:color="auto" w:sz="4" w:space="0"/>
              <w:right w:val="single" w:color="auto" w:sz="4" w:space="0"/>
            </w:tcBorders>
          </w:tcPr>
          <w:p w14:paraId="163C8C8B">
            <w:pPr>
              <w:rPr>
                <w:bCs/>
                <w:sz w:val="24"/>
                <w:highlight w:val="none"/>
              </w:rPr>
            </w:pPr>
          </w:p>
        </w:tc>
        <w:tc>
          <w:tcPr>
            <w:tcW w:w="851" w:type="dxa"/>
            <w:tcBorders>
              <w:top w:val="single" w:color="auto" w:sz="4" w:space="0"/>
              <w:left w:val="single" w:color="auto" w:sz="4" w:space="0"/>
              <w:bottom w:val="single" w:color="auto" w:sz="4" w:space="0"/>
              <w:right w:val="single" w:color="auto" w:sz="4" w:space="0"/>
            </w:tcBorders>
          </w:tcPr>
          <w:p w14:paraId="3700D37F">
            <w:pPr>
              <w:rPr>
                <w:bCs/>
                <w:sz w:val="24"/>
                <w:highlight w:val="none"/>
              </w:rPr>
            </w:pPr>
          </w:p>
        </w:tc>
        <w:tc>
          <w:tcPr>
            <w:tcW w:w="992" w:type="dxa"/>
            <w:tcBorders>
              <w:top w:val="single" w:color="auto" w:sz="4" w:space="0"/>
              <w:left w:val="single" w:color="auto" w:sz="4" w:space="0"/>
              <w:bottom w:val="single" w:color="auto" w:sz="4" w:space="0"/>
              <w:right w:val="single" w:color="auto" w:sz="4" w:space="0"/>
            </w:tcBorders>
          </w:tcPr>
          <w:p w14:paraId="15753898">
            <w:pPr>
              <w:rPr>
                <w:bCs/>
                <w:sz w:val="24"/>
                <w:highlight w:val="none"/>
              </w:rPr>
            </w:pPr>
          </w:p>
        </w:tc>
        <w:tc>
          <w:tcPr>
            <w:tcW w:w="1134" w:type="dxa"/>
            <w:tcBorders>
              <w:top w:val="single" w:color="auto" w:sz="4" w:space="0"/>
              <w:left w:val="single" w:color="auto" w:sz="4" w:space="0"/>
              <w:bottom w:val="single" w:color="auto" w:sz="4" w:space="0"/>
              <w:right w:val="single" w:color="auto" w:sz="4" w:space="0"/>
            </w:tcBorders>
          </w:tcPr>
          <w:p w14:paraId="4DA71E8A">
            <w:pPr>
              <w:rPr>
                <w:bCs/>
                <w:sz w:val="24"/>
                <w:highlight w:val="none"/>
              </w:rPr>
            </w:pPr>
          </w:p>
        </w:tc>
        <w:tc>
          <w:tcPr>
            <w:tcW w:w="1134" w:type="dxa"/>
            <w:tcBorders>
              <w:top w:val="single" w:color="auto" w:sz="4" w:space="0"/>
              <w:left w:val="single" w:color="auto" w:sz="4" w:space="0"/>
              <w:bottom w:val="single" w:color="auto" w:sz="4" w:space="0"/>
              <w:right w:val="single" w:color="auto" w:sz="4" w:space="0"/>
            </w:tcBorders>
          </w:tcPr>
          <w:p w14:paraId="18C61197">
            <w:pPr>
              <w:rPr>
                <w:bCs/>
                <w:sz w:val="24"/>
                <w:highlight w:val="none"/>
              </w:rPr>
            </w:pPr>
          </w:p>
        </w:tc>
        <w:tc>
          <w:tcPr>
            <w:tcW w:w="1021" w:type="dxa"/>
            <w:tcBorders>
              <w:top w:val="single" w:color="auto" w:sz="4" w:space="0"/>
              <w:left w:val="single" w:color="auto" w:sz="4" w:space="0"/>
              <w:bottom w:val="single" w:color="auto" w:sz="4" w:space="0"/>
              <w:right w:val="single" w:color="auto" w:sz="4" w:space="0"/>
            </w:tcBorders>
          </w:tcPr>
          <w:p w14:paraId="1130BDAE">
            <w:pPr>
              <w:rPr>
                <w:bCs/>
                <w:sz w:val="24"/>
                <w:highlight w:val="none"/>
              </w:rPr>
            </w:pPr>
          </w:p>
        </w:tc>
      </w:tr>
    </w:tbl>
    <w:p w14:paraId="74DBEBF7">
      <w:pPr>
        <w:ind w:firstLine="560" w:firstLineChars="200"/>
        <w:rPr>
          <w:bCs/>
          <w:sz w:val="28"/>
          <w:szCs w:val="28"/>
          <w:highlight w:val="none"/>
        </w:rPr>
      </w:pPr>
    </w:p>
    <w:p w14:paraId="2A7E57C2">
      <w:pPr>
        <w:spacing w:line="560" w:lineRule="exact"/>
        <w:rPr>
          <w:bCs/>
          <w:sz w:val="28"/>
          <w:szCs w:val="28"/>
          <w:highlight w:val="none"/>
        </w:rPr>
      </w:pPr>
    </w:p>
    <w:p w14:paraId="5E4CC42D">
      <w:pPr>
        <w:spacing w:line="560" w:lineRule="exact"/>
        <w:ind w:firstLine="560" w:firstLineChars="200"/>
        <w:jc w:val="center"/>
        <w:rPr>
          <w:bCs/>
          <w:sz w:val="28"/>
          <w:szCs w:val="28"/>
          <w:highlight w:val="none"/>
          <w:lang w:val="zh-CN"/>
        </w:rPr>
      </w:pPr>
      <w:r>
        <w:rPr>
          <w:bCs/>
          <w:sz w:val="28"/>
          <w:szCs w:val="28"/>
          <w:highlight w:val="none"/>
          <w:lang w:val="zh-CN"/>
        </w:rPr>
        <w:t xml:space="preserve">               </w:t>
      </w:r>
      <w:r>
        <w:rPr>
          <w:rFonts w:hint="eastAsia"/>
          <w:bCs/>
          <w:sz w:val="28"/>
          <w:szCs w:val="28"/>
          <w:highlight w:val="none"/>
          <w:lang w:val="zh-CN"/>
        </w:rPr>
        <w:t>报价供应商全称：（盖章）</w:t>
      </w:r>
    </w:p>
    <w:p w14:paraId="0506A5B5">
      <w:pPr>
        <w:spacing w:line="560" w:lineRule="exact"/>
        <w:ind w:firstLine="560" w:firstLineChars="200"/>
        <w:jc w:val="center"/>
        <w:rPr>
          <w:bCs/>
          <w:sz w:val="28"/>
          <w:szCs w:val="28"/>
          <w:highlight w:val="none"/>
          <w:lang w:val="zh-CN"/>
        </w:rPr>
      </w:pPr>
      <w:r>
        <w:rPr>
          <w:rFonts w:hint="eastAsia"/>
          <w:bCs/>
          <w:sz w:val="28"/>
          <w:szCs w:val="28"/>
          <w:highlight w:val="none"/>
          <w:lang w:val="zh-CN"/>
        </w:rPr>
        <w:t xml:space="preserve">              </w:t>
      </w:r>
      <w:r>
        <w:rPr>
          <w:bCs/>
          <w:sz w:val="28"/>
          <w:szCs w:val="28"/>
          <w:highlight w:val="none"/>
          <w:lang w:val="zh-CN"/>
        </w:rPr>
        <w:t xml:space="preserve">          </w:t>
      </w:r>
      <w:r>
        <w:rPr>
          <w:rFonts w:hint="eastAsia"/>
          <w:bCs/>
          <w:sz w:val="28"/>
          <w:szCs w:val="28"/>
          <w:highlight w:val="none"/>
          <w:lang w:val="zh-CN"/>
        </w:rPr>
        <w:t>法定代表人（或授权代表）：（签字）</w:t>
      </w:r>
    </w:p>
    <w:p w14:paraId="60FD2D16">
      <w:pPr>
        <w:spacing w:line="560" w:lineRule="exact"/>
        <w:ind w:firstLine="560" w:firstLineChars="200"/>
        <w:jc w:val="center"/>
        <w:rPr>
          <w:bCs/>
          <w:sz w:val="28"/>
          <w:szCs w:val="28"/>
          <w:highlight w:val="none"/>
        </w:rPr>
      </w:pPr>
      <w:r>
        <w:rPr>
          <w:bCs/>
          <w:sz w:val="28"/>
          <w:szCs w:val="28"/>
          <w:highlight w:val="none"/>
          <w:lang w:val="zh-CN"/>
        </w:rPr>
        <w:t xml:space="preserve">                                     </w:t>
      </w:r>
      <w:r>
        <w:rPr>
          <w:bCs/>
          <w:sz w:val="28"/>
          <w:szCs w:val="28"/>
          <w:highlight w:val="none"/>
          <w:u w:val="single"/>
        </w:rPr>
        <w:t xml:space="preserve">     </w:t>
      </w:r>
      <w:r>
        <w:rPr>
          <w:rFonts w:hint="eastAsia"/>
          <w:bCs/>
          <w:sz w:val="28"/>
          <w:szCs w:val="28"/>
          <w:highlight w:val="none"/>
        </w:rPr>
        <w:t>年</w:t>
      </w:r>
      <w:r>
        <w:rPr>
          <w:bCs/>
          <w:sz w:val="28"/>
          <w:szCs w:val="28"/>
          <w:highlight w:val="none"/>
          <w:u w:val="single"/>
        </w:rPr>
        <w:t xml:space="preserve">   </w:t>
      </w:r>
      <w:r>
        <w:rPr>
          <w:rFonts w:hint="eastAsia"/>
          <w:bCs/>
          <w:sz w:val="28"/>
          <w:szCs w:val="28"/>
          <w:highlight w:val="none"/>
        </w:rPr>
        <w:t>月</w:t>
      </w:r>
      <w:r>
        <w:rPr>
          <w:bCs/>
          <w:sz w:val="28"/>
          <w:szCs w:val="28"/>
          <w:highlight w:val="none"/>
          <w:u w:val="single"/>
        </w:rPr>
        <w:t xml:space="preserve">   </w:t>
      </w:r>
      <w:r>
        <w:rPr>
          <w:rFonts w:hint="eastAsia"/>
          <w:bCs/>
          <w:sz w:val="28"/>
          <w:szCs w:val="28"/>
          <w:highlight w:val="none"/>
        </w:rPr>
        <w:t>日</w:t>
      </w:r>
    </w:p>
    <w:p w14:paraId="2CA591B6">
      <w:pPr>
        <w:rPr>
          <w:bCs/>
          <w:highlight w:val="none"/>
        </w:rPr>
      </w:pPr>
    </w:p>
    <w:p w14:paraId="68F7086F">
      <w:pPr>
        <w:rPr>
          <w:bCs/>
          <w:highlight w:val="none"/>
        </w:rPr>
      </w:pPr>
    </w:p>
    <w:p w14:paraId="57EE7101">
      <w:pPr>
        <w:rPr>
          <w:bCs/>
          <w:highlight w:val="none"/>
        </w:rPr>
      </w:pPr>
    </w:p>
    <w:p w14:paraId="460A8F62">
      <w:pPr>
        <w:widowControl/>
        <w:jc w:val="left"/>
        <w:rPr>
          <w:rFonts w:ascii="Arial" w:hAnsi="Arial" w:eastAsia="黑体"/>
          <w:bCs/>
          <w:sz w:val="28"/>
          <w:szCs w:val="28"/>
          <w:highlight w:val="none"/>
        </w:rPr>
      </w:pPr>
      <w:bookmarkStart w:id="637" w:name="_Toc13729"/>
      <w:bookmarkStart w:id="638" w:name="_Toc16278"/>
      <w:bookmarkStart w:id="639" w:name="_Toc112768469"/>
      <w:bookmarkStart w:id="640" w:name="_Toc3267"/>
      <w:bookmarkStart w:id="641" w:name="_Toc25755"/>
      <w:bookmarkStart w:id="642" w:name="_Toc29285"/>
      <w:r>
        <w:rPr>
          <w:b/>
          <w:highlight w:val="none"/>
        </w:rPr>
        <w:br w:type="page"/>
      </w:r>
    </w:p>
    <w:p w14:paraId="6777B888">
      <w:pPr>
        <w:pStyle w:val="6"/>
        <w:spacing w:before="120" w:beforeLines="50" w:after="120" w:afterLines="50" w:line="560" w:lineRule="exact"/>
        <w:rPr>
          <w:rFonts w:ascii="宋体" w:hAnsi="宋体"/>
          <w:b w:val="0"/>
          <w:highlight w:val="none"/>
        </w:rPr>
      </w:pPr>
      <w:r>
        <w:rPr>
          <w:rFonts w:hint="eastAsia"/>
          <w:b w:val="0"/>
          <w:highlight w:val="none"/>
        </w:rPr>
        <w:t>附件</w:t>
      </w:r>
      <w:r>
        <w:rPr>
          <w:b w:val="0"/>
          <w:highlight w:val="none"/>
        </w:rPr>
        <w:t>2-9</w:t>
      </w:r>
      <w:r>
        <w:rPr>
          <w:rFonts w:hint="eastAsia"/>
          <w:b w:val="0"/>
          <w:highlight w:val="none"/>
        </w:rPr>
        <w:t xml:space="preserve"> 售后服务方案</w:t>
      </w:r>
      <w:bookmarkEnd w:id="637"/>
      <w:bookmarkEnd w:id="638"/>
      <w:bookmarkEnd w:id="639"/>
      <w:bookmarkEnd w:id="640"/>
      <w:bookmarkEnd w:id="641"/>
      <w:bookmarkEnd w:id="642"/>
    </w:p>
    <w:p w14:paraId="3AFD197C">
      <w:pPr>
        <w:spacing w:before="120" w:beforeLines="50" w:after="120" w:afterLines="50" w:line="560" w:lineRule="exact"/>
        <w:jc w:val="center"/>
        <w:rPr>
          <w:rFonts w:ascii="黑体" w:hAnsi="黑体" w:eastAsia="黑体" w:cs="黑体"/>
          <w:bCs/>
          <w:sz w:val="36"/>
          <w:szCs w:val="36"/>
          <w:highlight w:val="none"/>
          <w:lang w:val="zh-CN"/>
        </w:rPr>
      </w:pPr>
      <w:r>
        <w:rPr>
          <w:rFonts w:hint="eastAsia" w:ascii="黑体" w:hAnsi="黑体" w:eastAsia="黑体" w:cs="黑体"/>
          <w:bCs/>
          <w:sz w:val="36"/>
          <w:szCs w:val="36"/>
          <w:highlight w:val="none"/>
          <w:lang w:val="zh-CN"/>
        </w:rPr>
        <w:t>售后服务方案</w:t>
      </w:r>
    </w:p>
    <w:p w14:paraId="7267216B">
      <w:pPr>
        <w:spacing w:line="360" w:lineRule="auto"/>
        <w:ind w:firstLine="560" w:firstLineChars="200"/>
        <w:jc w:val="left"/>
        <w:rPr>
          <w:bCs/>
          <w:sz w:val="28"/>
          <w:szCs w:val="28"/>
          <w:highlight w:val="none"/>
          <w:lang w:val="zh-CN"/>
        </w:rPr>
      </w:pPr>
      <w:r>
        <w:rPr>
          <w:rFonts w:hint="eastAsia"/>
          <w:bCs/>
          <w:sz w:val="28"/>
          <w:szCs w:val="28"/>
          <w:highlight w:val="none"/>
          <w:lang w:val="zh-CN"/>
        </w:rPr>
        <w:t>（由报价供应商根据项目需求及技术评审表中“售后服务”评审细则自行拟定）</w:t>
      </w:r>
    </w:p>
    <w:p w14:paraId="31AC1DBA">
      <w:pPr>
        <w:autoSpaceDE w:val="0"/>
        <w:autoSpaceDN w:val="0"/>
        <w:adjustRightInd w:val="0"/>
        <w:rPr>
          <w:bCs/>
          <w:sz w:val="28"/>
          <w:szCs w:val="28"/>
          <w:highlight w:val="none"/>
          <w:lang w:val="zh-CN"/>
        </w:rPr>
      </w:pPr>
    </w:p>
    <w:p w14:paraId="0493D49D">
      <w:pPr>
        <w:autoSpaceDE w:val="0"/>
        <w:autoSpaceDN w:val="0"/>
        <w:adjustRightInd w:val="0"/>
        <w:rPr>
          <w:bCs/>
          <w:sz w:val="28"/>
          <w:szCs w:val="28"/>
          <w:highlight w:val="none"/>
          <w:lang w:val="zh-CN"/>
        </w:rPr>
      </w:pPr>
    </w:p>
    <w:p w14:paraId="6D1C8E8B">
      <w:pPr>
        <w:autoSpaceDE w:val="0"/>
        <w:autoSpaceDN w:val="0"/>
        <w:adjustRightInd w:val="0"/>
        <w:rPr>
          <w:bCs/>
          <w:sz w:val="28"/>
          <w:szCs w:val="28"/>
          <w:highlight w:val="none"/>
          <w:lang w:val="zh-CN"/>
        </w:rPr>
      </w:pPr>
    </w:p>
    <w:p w14:paraId="62ECBBB3">
      <w:pPr>
        <w:autoSpaceDE w:val="0"/>
        <w:autoSpaceDN w:val="0"/>
        <w:adjustRightInd w:val="0"/>
        <w:rPr>
          <w:bCs/>
          <w:sz w:val="28"/>
          <w:szCs w:val="28"/>
          <w:highlight w:val="none"/>
          <w:lang w:val="zh-CN"/>
        </w:rPr>
      </w:pPr>
    </w:p>
    <w:p w14:paraId="08065D32">
      <w:pPr>
        <w:autoSpaceDE w:val="0"/>
        <w:autoSpaceDN w:val="0"/>
        <w:adjustRightInd w:val="0"/>
        <w:rPr>
          <w:bCs/>
          <w:sz w:val="28"/>
          <w:szCs w:val="28"/>
          <w:highlight w:val="none"/>
          <w:lang w:val="zh-CN"/>
        </w:rPr>
      </w:pPr>
    </w:p>
    <w:p w14:paraId="5EAABE8C">
      <w:pPr>
        <w:autoSpaceDE w:val="0"/>
        <w:autoSpaceDN w:val="0"/>
        <w:adjustRightInd w:val="0"/>
        <w:rPr>
          <w:bCs/>
          <w:sz w:val="28"/>
          <w:szCs w:val="28"/>
          <w:highlight w:val="none"/>
          <w:lang w:val="zh-CN"/>
        </w:rPr>
      </w:pPr>
    </w:p>
    <w:p w14:paraId="4A3AF3D8">
      <w:pPr>
        <w:autoSpaceDE w:val="0"/>
        <w:autoSpaceDN w:val="0"/>
        <w:adjustRightInd w:val="0"/>
        <w:rPr>
          <w:bCs/>
          <w:sz w:val="28"/>
          <w:szCs w:val="28"/>
          <w:highlight w:val="none"/>
          <w:lang w:val="zh-CN"/>
        </w:rPr>
      </w:pPr>
    </w:p>
    <w:p w14:paraId="22763740">
      <w:pPr>
        <w:autoSpaceDE w:val="0"/>
        <w:autoSpaceDN w:val="0"/>
        <w:adjustRightInd w:val="0"/>
        <w:rPr>
          <w:bCs/>
          <w:sz w:val="28"/>
          <w:szCs w:val="28"/>
          <w:highlight w:val="none"/>
          <w:lang w:val="zh-CN"/>
        </w:rPr>
      </w:pPr>
    </w:p>
    <w:p w14:paraId="5DCB3595">
      <w:pPr>
        <w:autoSpaceDE w:val="0"/>
        <w:autoSpaceDN w:val="0"/>
        <w:adjustRightInd w:val="0"/>
        <w:rPr>
          <w:bCs/>
          <w:sz w:val="28"/>
          <w:szCs w:val="28"/>
          <w:highlight w:val="none"/>
          <w:lang w:val="zh-CN"/>
        </w:rPr>
      </w:pPr>
    </w:p>
    <w:p w14:paraId="13E6E8B2">
      <w:pPr>
        <w:autoSpaceDE w:val="0"/>
        <w:autoSpaceDN w:val="0"/>
        <w:adjustRightInd w:val="0"/>
        <w:rPr>
          <w:bCs/>
          <w:sz w:val="28"/>
          <w:szCs w:val="28"/>
          <w:highlight w:val="none"/>
          <w:lang w:val="zh-CN"/>
        </w:rPr>
      </w:pPr>
    </w:p>
    <w:p w14:paraId="4DF9A690">
      <w:pPr>
        <w:autoSpaceDE w:val="0"/>
        <w:autoSpaceDN w:val="0"/>
        <w:adjustRightInd w:val="0"/>
        <w:rPr>
          <w:bCs/>
          <w:sz w:val="28"/>
          <w:szCs w:val="28"/>
          <w:highlight w:val="none"/>
          <w:lang w:val="zh-CN"/>
        </w:rPr>
      </w:pPr>
    </w:p>
    <w:p w14:paraId="681FE711">
      <w:pPr>
        <w:autoSpaceDE w:val="0"/>
        <w:autoSpaceDN w:val="0"/>
        <w:adjustRightInd w:val="0"/>
        <w:rPr>
          <w:bCs/>
          <w:sz w:val="28"/>
          <w:szCs w:val="28"/>
          <w:highlight w:val="none"/>
          <w:lang w:val="zh-CN"/>
        </w:rPr>
      </w:pPr>
    </w:p>
    <w:p w14:paraId="51BEA23C">
      <w:pPr>
        <w:autoSpaceDE w:val="0"/>
        <w:autoSpaceDN w:val="0"/>
        <w:adjustRightInd w:val="0"/>
        <w:rPr>
          <w:bCs/>
          <w:sz w:val="28"/>
          <w:szCs w:val="28"/>
          <w:highlight w:val="none"/>
          <w:lang w:val="zh-CN"/>
        </w:rPr>
      </w:pPr>
    </w:p>
    <w:p w14:paraId="19275443">
      <w:pPr>
        <w:autoSpaceDE w:val="0"/>
        <w:autoSpaceDN w:val="0"/>
        <w:adjustRightInd w:val="0"/>
        <w:rPr>
          <w:bCs/>
          <w:sz w:val="28"/>
          <w:szCs w:val="28"/>
          <w:highlight w:val="none"/>
          <w:lang w:val="zh-CN"/>
        </w:rPr>
      </w:pPr>
    </w:p>
    <w:p w14:paraId="1DDC7081">
      <w:pPr>
        <w:autoSpaceDE w:val="0"/>
        <w:autoSpaceDN w:val="0"/>
        <w:adjustRightInd w:val="0"/>
        <w:rPr>
          <w:bCs/>
          <w:sz w:val="28"/>
          <w:szCs w:val="28"/>
          <w:highlight w:val="none"/>
          <w:lang w:val="zh-CN"/>
        </w:rPr>
      </w:pPr>
    </w:p>
    <w:p w14:paraId="52A48BE5">
      <w:pPr>
        <w:autoSpaceDE w:val="0"/>
        <w:autoSpaceDN w:val="0"/>
        <w:adjustRightInd w:val="0"/>
        <w:rPr>
          <w:bCs/>
          <w:sz w:val="28"/>
          <w:szCs w:val="28"/>
          <w:highlight w:val="none"/>
          <w:lang w:val="zh-CN"/>
        </w:rPr>
      </w:pPr>
    </w:p>
    <w:p w14:paraId="01A06473">
      <w:pPr>
        <w:autoSpaceDE w:val="0"/>
        <w:autoSpaceDN w:val="0"/>
        <w:adjustRightInd w:val="0"/>
        <w:rPr>
          <w:bCs/>
          <w:sz w:val="28"/>
          <w:szCs w:val="28"/>
          <w:highlight w:val="none"/>
          <w:lang w:val="zh-CN"/>
        </w:rPr>
      </w:pPr>
    </w:p>
    <w:p w14:paraId="3094A9D7">
      <w:pPr>
        <w:autoSpaceDE w:val="0"/>
        <w:autoSpaceDN w:val="0"/>
        <w:adjustRightInd w:val="0"/>
        <w:rPr>
          <w:bCs/>
          <w:sz w:val="28"/>
          <w:szCs w:val="28"/>
          <w:highlight w:val="none"/>
          <w:lang w:val="zh-CN"/>
        </w:rPr>
      </w:pPr>
    </w:p>
    <w:p w14:paraId="2057E3B3">
      <w:pPr>
        <w:autoSpaceDE w:val="0"/>
        <w:autoSpaceDN w:val="0"/>
        <w:adjustRightInd w:val="0"/>
        <w:rPr>
          <w:bCs/>
          <w:sz w:val="28"/>
          <w:szCs w:val="28"/>
          <w:highlight w:val="none"/>
          <w:lang w:val="zh-CN"/>
        </w:rPr>
      </w:pPr>
    </w:p>
    <w:p w14:paraId="5D4C0DDF">
      <w:pPr>
        <w:autoSpaceDE w:val="0"/>
        <w:autoSpaceDN w:val="0"/>
        <w:adjustRightInd w:val="0"/>
        <w:rPr>
          <w:bCs/>
          <w:sz w:val="28"/>
          <w:szCs w:val="28"/>
          <w:highlight w:val="none"/>
          <w:lang w:val="zh-CN"/>
        </w:rPr>
      </w:pPr>
    </w:p>
    <w:p w14:paraId="1065256B">
      <w:pPr>
        <w:pStyle w:val="6"/>
        <w:spacing w:before="120" w:beforeLines="50" w:after="120" w:afterLines="50" w:line="560" w:lineRule="exact"/>
        <w:rPr>
          <w:b w:val="0"/>
          <w:highlight w:val="none"/>
        </w:rPr>
      </w:pPr>
      <w:r>
        <w:rPr>
          <w:b w:val="0"/>
          <w:highlight w:val="none"/>
          <w:lang w:val="zh-CN"/>
        </w:rPr>
        <w:br w:type="page"/>
      </w:r>
      <w:bookmarkStart w:id="643" w:name="_Toc112768471"/>
      <w:bookmarkStart w:id="644" w:name="_Toc17638"/>
      <w:bookmarkStart w:id="645" w:name="_Toc8732"/>
      <w:bookmarkStart w:id="646" w:name="_Toc30639"/>
      <w:bookmarkStart w:id="647" w:name="_Toc30559"/>
      <w:bookmarkStart w:id="648" w:name="_Toc4760"/>
      <w:r>
        <w:rPr>
          <w:rFonts w:hint="eastAsia"/>
          <w:b w:val="0"/>
          <w:highlight w:val="none"/>
        </w:rPr>
        <w:t>附件</w:t>
      </w:r>
      <w:r>
        <w:rPr>
          <w:b w:val="0"/>
          <w:highlight w:val="none"/>
        </w:rPr>
        <w:t>2-10</w:t>
      </w:r>
      <w:r>
        <w:rPr>
          <w:rFonts w:hint="eastAsia"/>
          <w:b w:val="0"/>
          <w:highlight w:val="none"/>
        </w:rPr>
        <w:t xml:space="preserve"> 技术方案和所谈判产品技术支持</w:t>
      </w:r>
      <w:bookmarkEnd w:id="643"/>
      <w:bookmarkEnd w:id="644"/>
      <w:bookmarkEnd w:id="645"/>
      <w:bookmarkEnd w:id="646"/>
      <w:bookmarkEnd w:id="647"/>
      <w:r>
        <w:rPr>
          <w:rFonts w:hint="eastAsia"/>
          <w:b w:val="0"/>
          <w:highlight w:val="none"/>
        </w:rPr>
        <w:t>材料</w:t>
      </w:r>
      <w:bookmarkEnd w:id="648"/>
    </w:p>
    <w:p w14:paraId="6EAA14FA">
      <w:pPr>
        <w:spacing w:before="120" w:beforeLines="50" w:after="120" w:afterLines="50" w:line="560" w:lineRule="exact"/>
        <w:jc w:val="center"/>
        <w:rPr>
          <w:rFonts w:ascii="黑体" w:hAnsi="黑体" w:eastAsia="黑体" w:cs="黑体"/>
          <w:bCs/>
          <w:sz w:val="36"/>
          <w:szCs w:val="36"/>
          <w:highlight w:val="none"/>
          <w:lang w:val="zh-CN"/>
        </w:rPr>
      </w:pPr>
      <w:bookmarkStart w:id="649" w:name="_Toc285612608"/>
      <w:r>
        <w:rPr>
          <w:rFonts w:hint="eastAsia" w:ascii="黑体" w:hAnsi="黑体" w:eastAsia="黑体" w:cs="黑体"/>
          <w:bCs/>
          <w:sz w:val="36"/>
          <w:szCs w:val="36"/>
          <w:highlight w:val="none"/>
          <w:lang w:val="zh-CN"/>
        </w:rPr>
        <w:t>技术方案</w:t>
      </w:r>
      <w:bookmarkEnd w:id="649"/>
      <w:r>
        <w:rPr>
          <w:rFonts w:hint="eastAsia" w:ascii="黑体" w:hAnsi="黑体" w:eastAsia="黑体" w:cs="黑体"/>
          <w:bCs/>
          <w:sz w:val="36"/>
          <w:szCs w:val="36"/>
          <w:highlight w:val="none"/>
          <w:lang w:val="zh-CN"/>
        </w:rPr>
        <w:t>和所谈判产品技术支持材料</w:t>
      </w:r>
    </w:p>
    <w:p w14:paraId="1761029F">
      <w:pPr>
        <w:spacing w:line="560" w:lineRule="exact"/>
        <w:ind w:firstLine="560" w:firstLineChars="200"/>
        <w:rPr>
          <w:bCs/>
          <w:sz w:val="28"/>
          <w:szCs w:val="28"/>
          <w:highlight w:val="none"/>
          <w:lang w:val="zh-CN"/>
        </w:rPr>
      </w:pPr>
      <w:r>
        <w:rPr>
          <w:rFonts w:hint="eastAsia"/>
          <w:bCs/>
          <w:sz w:val="28"/>
          <w:szCs w:val="28"/>
          <w:highlight w:val="none"/>
          <w:lang w:val="zh-CN"/>
        </w:rPr>
        <w:t>（由报价供应商自行拟制技术方案，并按技术评审标准附相关证明材料，例如：生产、加工、制造、工艺控制及质量控制等。）</w:t>
      </w:r>
    </w:p>
    <w:p w14:paraId="5089EB4A">
      <w:pPr>
        <w:autoSpaceDE w:val="0"/>
        <w:autoSpaceDN w:val="0"/>
        <w:adjustRightInd w:val="0"/>
        <w:ind w:firstLine="352" w:firstLineChars="168"/>
        <w:rPr>
          <w:bCs/>
          <w:highlight w:val="none"/>
          <w:lang w:val="zh-CN"/>
        </w:rPr>
      </w:pPr>
    </w:p>
    <w:p w14:paraId="52D4D9CA">
      <w:pPr>
        <w:autoSpaceDE w:val="0"/>
        <w:autoSpaceDN w:val="0"/>
        <w:adjustRightInd w:val="0"/>
        <w:ind w:firstLine="352" w:firstLineChars="168"/>
        <w:rPr>
          <w:bCs/>
          <w:highlight w:val="none"/>
          <w:lang w:val="zh-CN"/>
        </w:rPr>
      </w:pPr>
    </w:p>
    <w:p w14:paraId="653ED0EE">
      <w:pPr>
        <w:autoSpaceDE w:val="0"/>
        <w:autoSpaceDN w:val="0"/>
        <w:adjustRightInd w:val="0"/>
        <w:ind w:firstLine="352" w:firstLineChars="168"/>
        <w:rPr>
          <w:bCs/>
          <w:highlight w:val="none"/>
          <w:lang w:val="zh-CN"/>
        </w:rPr>
      </w:pPr>
    </w:p>
    <w:p w14:paraId="7D29824B">
      <w:pPr>
        <w:autoSpaceDE w:val="0"/>
        <w:autoSpaceDN w:val="0"/>
        <w:adjustRightInd w:val="0"/>
        <w:ind w:firstLine="352" w:firstLineChars="168"/>
        <w:rPr>
          <w:bCs/>
          <w:highlight w:val="none"/>
          <w:lang w:val="zh-CN"/>
        </w:rPr>
      </w:pPr>
    </w:p>
    <w:p w14:paraId="54876DF8">
      <w:pPr>
        <w:autoSpaceDE w:val="0"/>
        <w:autoSpaceDN w:val="0"/>
        <w:adjustRightInd w:val="0"/>
        <w:ind w:firstLine="352" w:firstLineChars="168"/>
        <w:rPr>
          <w:bCs/>
          <w:highlight w:val="none"/>
          <w:lang w:val="zh-CN"/>
        </w:rPr>
      </w:pPr>
    </w:p>
    <w:p w14:paraId="6C18E7A0">
      <w:pPr>
        <w:autoSpaceDE w:val="0"/>
        <w:autoSpaceDN w:val="0"/>
        <w:adjustRightInd w:val="0"/>
        <w:ind w:firstLine="352" w:firstLineChars="168"/>
        <w:rPr>
          <w:bCs/>
          <w:highlight w:val="none"/>
          <w:lang w:val="zh-CN"/>
        </w:rPr>
      </w:pPr>
    </w:p>
    <w:p w14:paraId="39C12ED7">
      <w:pPr>
        <w:autoSpaceDE w:val="0"/>
        <w:autoSpaceDN w:val="0"/>
        <w:adjustRightInd w:val="0"/>
        <w:ind w:firstLine="352" w:firstLineChars="168"/>
        <w:rPr>
          <w:bCs/>
          <w:highlight w:val="none"/>
          <w:lang w:val="zh-CN"/>
        </w:rPr>
      </w:pPr>
    </w:p>
    <w:p w14:paraId="3A4F177B">
      <w:pPr>
        <w:autoSpaceDE w:val="0"/>
        <w:autoSpaceDN w:val="0"/>
        <w:adjustRightInd w:val="0"/>
        <w:ind w:firstLine="352" w:firstLineChars="168"/>
        <w:rPr>
          <w:bCs/>
          <w:highlight w:val="none"/>
          <w:lang w:val="zh-CN"/>
        </w:rPr>
      </w:pPr>
    </w:p>
    <w:p w14:paraId="19F5DE97">
      <w:pPr>
        <w:autoSpaceDE w:val="0"/>
        <w:autoSpaceDN w:val="0"/>
        <w:adjustRightInd w:val="0"/>
        <w:ind w:firstLine="352" w:firstLineChars="168"/>
        <w:rPr>
          <w:bCs/>
          <w:highlight w:val="none"/>
          <w:lang w:val="zh-CN"/>
        </w:rPr>
      </w:pPr>
    </w:p>
    <w:p w14:paraId="0E07ABF2">
      <w:pPr>
        <w:autoSpaceDE w:val="0"/>
        <w:autoSpaceDN w:val="0"/>
        <w:adjustRightInd w:val="0"/>
        <w:ind w:firstLine="352" w:firstLineChars="168"/>
        <w:rPr>
          <w:bCs/>
          <w:highlight w:val="none"/>
          <w:lang w:val="zh-CN"/>
        </w:rPr>
      </w:pPr>
    </w:p>
    <w:p w14:paraId="07533ABD">
      <w:pPr>
        <w:autoSpaceDE w:val="0"/>
        <w:autoSpaceDN w:val="0"/>
        <w:adjustRightInd w:val="0"/>
        <w:ind w:firstLine="352" w:firstLineChars="168"/>
        <w:rPr>
          <w:bCs/>
          <w:highlight w:val="none"/>
          <w:lang w:val="zh-CN"/>
        </w:rPr>
      </w:pPr>
    </w:p>
    <w:p w14:paraId="0B86488F">
      <w:pPr>
        <w:autoSpaceDE w:val="0"/>
        <w:autoSpaceDN w:val="0"/>
        <w:adjustRightInd w:val="0"/>
        <w:ind w:firstLine="352" w:firstLineChars="168"/>
        <w:rPr>
          <w:bCs/>
          <w:highlight w:val="none"/>
          <w:lang w:val="zh-CN"/>
        </w:rPr>
      </w:pPr>
    </w:p>
    <w:p w14:paraId="5BEF7409">
      <w:pPr>
        <w:autoSpaceDE w:val="0"/>
        <w:autoSpaceDN w:val="0"/>
        <w:adjustRightInd w:val="0"/>
        <w:ind w:firstLine="352" w:firstLineChars="168"/>
        <w:rPr>
          <w:bCs/>
          <w:highlight w:val="none"/>
          <w:lang w:val="zh-CN"/>
        </w:rPr>
      </w:pPr>
    </w:p>
    <w:p w14:paraId="3C9F1DC2">
      <w:pPr>
        <w:autoSpaceDE w:val="0"/>
        <w:autoSpaceDN w:val="0"/>
        <w:adjustRightInd w:val="0"/>
        <w:ind w:firstLine="352" w:firstLineChars="168"/>
        <w:rPr>
          <w:bCs/>
          <w:highlight w:val="none"/>
          <w:lang w:val="zh-CN"/>
        </w:rPr>
      </w:pPr>
    </w:p>
    <w:p w14:paraId="5C989C4D">
      <w:pPr>
        <w:autoSpaceDE w:val="0"/>
        <w:autoSpaceDN w:val="0"/>
        <w:adjustRightInd w:val="0"/>
        <w:ind w:firstLine="352" w:firstLineChars="168"/>
        <w:rPr>
          <w:bCs/>
          <w:highlight w:val="none"/>
          <w:lang w:val="zh-CN"/>
        </w:rPr>
      </w:pPr>
    </w:p>
    <w:p w14:paraId="2EA4C354">
      <w:pPr>
        <w:autoSpaceDE w:val="0"/>
        <w:autoSpaceDN w:val="0"/>
        <w:adjustRightInd w:val="0"/>
        <w:ind w:firstLine="352" w:firstLineChars="168"/>
        <w:rPr>
          <w:bCs/>
          <w:highlight w:val="none"/>
          <w:lang w:val="zh-CN"/>
        </w:rPr>
      </w:pPr>
    </w:p>
    <w:p w14:paraId="0B0B2E4E">
      <w:pPr>
        <w:autoSpaceDE w:val="0"/>
        <w:autoSpaceDN w:val="0"/>
        <w:adjustRightInd w:val="0"/>
        <w:ind w:firstLine="352" w:firstLineChars="168"/>
        <w:rPr>
          <w:bCs/>
          <w:highlight w:val="none"/>
          <w:lang w:val="zh-CN"/>
        </w:rPr>
      </w:pPr>
    </w:p>
    <w:p w14:paraId="6A1F76FE">
      <w:pPr>
        <w:autoSpaceDE w:val="0"/>
        <w:autoSpaceDN w:val="0"/>
        <w:adjustRightInd w:val="0"/>
        <w:ind w:firstLine="352" w:firstLineChars="168"/>
        <w:rPr>
          <w:bCs/>
          <w:highlight w:val="none"/>
          <w:lang w:val="zh-CN"/>
        </w:rPr>
      </w:pPr>
    </w:p>
    <w:p w14:paraId="08466BA2">
      <w:pPr>
        <w:autoSpaceDE w:val="0"/>
        <w:autoSpaceDN w:val="0"/>
        <w:adjustRightInd w:val="0"/>
        <w:ind w:firstLine="352" w:firstLineChars="168"/>
        <w:rPr>
          <w:bCs/>
          <w:highlight w:val="none"/>
          <w:lang w:val="zh-CN"/>
        </w:rPr>
      </w:pPr>
    </w:p>
    <w:p w14:paraId="0EE7F761">
      <w:pPr>
        <w:autoSpaceDE w:val="0"/>
        <w:autoSpaceDN w:val="0"/>
        <w:adjustRightInd w:val="0"/>
        <w:ind w:firstLine="352" w:firstLineChars="168"/>
        <w:rPr>
          <w:bCs/>
          <w:highlight w:val="none"/>
          <w:lang w:val="zh-CN"/>
        </w:rPr>
      </w:pPr>
    </w:p>
    <w:p w14:paraId="33388A07">
      <w:pPr>
        <w:autoSpaceDE w:val="0"/>
        <w:autoSpaceDN w:val="0"/>
        <w:adjustRightInd w:val="0"/>
        <w:ind w:firstLine="352" w:firstLineChars="168"/>
        <w:rPr>
          <w:bCs/>
          <w:highlight w:val="none"/>
          <w:lang w:val="zh-CN"/>
        </w:rPr>
      </w:pPr>
    </w:p>
    <w:p w14:paraId="40B2949B">
      <w:pPr>
        <w:autoSpaceDE w:val="0"/>
        <w:autoSpaceDN w:val="0"/>
        <w:adjustRightInd w:val="0"/>
        <w:ind w:firstLine="352" w:firstLineChars="168"/>
        <w:rPr>
          <w:bCs/>
          <w:highlight w:val="none"/>
          <w:lang w:val="zh-CN"/>
        </w:rPr>
      </w:pPr>
    </w:p>
    <w:p w14:paraId="401682A3">
      <w:pPr>
        <w:autoSpaceDE w:val="0"/>
        <w:autoSpaceDN w:val="0"/>
        <w:adjustRightInd w:val="0"/>
        <w:ind w:firstLine="352" w:firstLineChars="168"/>
        <w:rPr>
          <w:bCs/>
          <w:highlight w:val="none"/>
          <w:lang w:val="zh-CN"/>
        </w:rPr>
      </w:pPr>
    </w:p>
    <w:p w14:paraId="0E9A3C6F">
      <w:pPr>
        <w:autoSpaceDE w:val="0"/>
        <w:autoSpaceDN w:val="0"/>
        <w:adjustRightInd w:val="0"/>
        <w:ind w:firstLine="352" w:firstLineChars="168"/>
        <w:rPr>
          <w:bCs/>
          <w:highlight w:val="none"/>
          <w:lang w:val="zh-CN"/>
        </w:rPr>
      </w:pPr>
    </w:p>
    <w:p w14:paraId="51A3FBAA">
      <w:pPr>
        <w:pStyle w:val="6"/>
        <w:spacing w:after="280" w:line="560" w:lineRule="exact"/>
        <w:rPr>
          <w:b w:val="0"/>
          <w:highlight w:val="none"/>
          <w:lang w:val="zh-CN"/>
        </w:rPr>
      </w:pPr>
      <w:r>
        <w:rPr>
          <w:b w:val="0"/>
          <w:highlight w:val="none"/>
          <w:lang w:val="zh-CN"/>
        </w:rPr>
        <w:br w:type="page"/>
      </w:r>
      <w:bookmarkStart w:id="650" w:name="_Toc24270"/>
      <w:bookmarkStart w:id="651" w:name="_Toc112768472"/>
      <w:bookmarkStart w:id="652" w:name="_Toc15668"/>
      <w:bookmarkStart w:id="653" w:name="_Toc1944"/>
      <w:bookmarkStart w:id="654" w:name="_Toc31317"/>
      <w:bookmarkStart w:id="655" w:name="_Toc24962"/>
      <w:r>
        <w:rPr>
          <w:rFonts w:hint="eastAsia"/>
          <w:b w:val="0"/>
          <w:highlight w:val="none"/>
        </w:rPr>
        <w:t>附件2-1</w:t>
      </w:r>
      <w:r>
        <w:rPr>
          <w:b w:val="0"/>
          <w:highlight w:val="none"/>
        </w:rPr>
        <w:t>1</w:t>
      </w:r>
      <w:r>
        <w:rPr>
          <w:rFonts w:hint="eastAsia"/>
          <w:b w:val="0"/>
          <w:highlight w:val="none"/>
        </w:rPr>
        <w:t xml:space="preserve"> 报价产品关键生产设备统计表</w:t>
      </w:r>
      <w:bookmarkEnd w:id="650"/>
      <w:bookmarkEnd w:id="651"/>
      <w:bookmarkEnd w:id="652"/>
      <w:bookmarkEnd w:id="653"/>
      <w:bookmarkEnd w:id="654"/>
      <w:bookmarkEnd w:id="655"/>
    </w:p>
    <w:tbl>
      <w:tblPr>
        <w:tblStyle w:val="42"/>
        <w:tblW w:w="9231" w:type="dxa"/>
        <w:tblInd w:w="91" w:type="dxa"/>
        <w:tblLayout w:type="fixed"/>
        <w:tblCellMar>
          <w:top w:w="0" w:type="dxa"/>
          <w:left w:w="108" w:type="dxa"/>
          <w:bottom w:w="0" w:type="dxa"/>
          <w:right w:w="108" w:type="dxa"/>
        </w:tblCellMar>
      </w:tblPr>
      <w:tblGrid>
        <w:gridCol w:w="2144"/>
        <w:gridCol w:w="850"/>
        <w:gridCol w:w="1276"/>
        <w:gridCol w:w="1134"/>
        <w:gridCol w:w="2126"/>
        <w:gridCol w:w="851"/>
        <w:gridCol w:w="850"/>
      </w:tblGrid>
      <w:tr w14:paraId="31611965">
        <w:tblPrEx>
          <w:tblCellMar>
            <w:top w:w="0" w:type="dxa"/>
            <w:left w:w="108" w:type="dxa"/>
            <w:bottom w:w="0" w:type="dxa"/>
            <w:right w:w="108" w:type="dxa"/>
          </w:tblCellMar>
        </w:tblPrEx>
        <w:trPr>
          <w:trHeight w:val="697" w:hRule="atLeast"/>
        </w:trPr>
        <w:tc>
          <w:tcPr>
            <w:tcW w:w="9231" w:type="dxa"/>
            <w:gridSpan w:val="7"/>
            <w:tcBorders>
              <w:top w:val="nil"/>
              <w:left w:val="nil"/>
              <w:bottom w:val="nil"/>
              <w:right w:val="nil"/>
            </w:tcBorders>
            <w:vAlign w:val="center"/>
          </w:tcPr>
          <w:p w14:paraId="6ADA0A1F">
            <w:pPr>
              <w:widowControl/>
              <w:jc w:val="center"/>
              <w:rPr>
                <w:rFonts w:ascii="华文中宋" w:hAnsi="华文中宋" w:eastAsia="华文中宋" w:cs="宋体"/>
                <w:bCs/>
                <w:sz w:val="40"/>
                <w:szCs w:val="40"/>
                <w:highlight w:val="none"/>
              </w:rPr>
            </w:pPr>
            <w:r>
              <w:rPr>
                <w:rFonts w:hint="eastAsia" w:ascii="黑体" w:hAnsi="黑体" w:eastAsia="黑体" w:cs="黑体"/>
                <w:bCs/>
                <w:sz w:val="36"/>
                <w:szCs w:val="36"/>
                <w:highlight w:val="none"/>
              </w:rPr>
              <w:t>报价产品关键生产设备统计表</w:t>
            </w:r>
          </w:p>
        </w:tc>
      </w:tr>
      <w:tr w14:paraId="57409D74">
        <w:tblPrEx>
          <w:tblCellMar>
            <w:top w:w="0" w:type="dxa"/>
            <w:left w:w="108" w:type="dxa"/>
            <w:bottom w:w="0" w:type="dxa"/>
            <w:right w:w="108" w:type="dxa"/>
          </w:tblCellMar>
        </w:tblPrEx>
        <w:trPr>
          <w:trHeight w:val="780" w:hRule="atLeast"/>
        </w:trPr>
        <w:tc>
          <w:tcPr>
            <w:tcW w:w="2144" w:type="dxa"/>
            <w:tcBorders>
              <w:top w:val="single" w:color="auto" w:sz="4" w:space="0"/>
              <w:left w:val="single" w:color="auto" w:sz="4" w:space="0"/>
              <w:bottom w:val="single" w:color="auto" w:sz="4" w:space="0"/>
              <w:right w:val="single" w:color="auto" w:sz="4" w:space="0"/>
            </w:tcBorders>
            <w:vAlign w:val="center"/>
          </w:tcPr>
          <w:p w14:paraId="7831D129">
            <w:pPr>
              <w:widowControl/>
              <w:jc w:val="left"/>
              <w:rPr>
                <w:rFonts w:hint="eastAsia" w:ascii="宋体" w:hAnsi="宋体" w:eastAsia="宋体" w:cs="宋体"/>
                <w:bCs/>
                <w:sz w:val="24"/>
                <w:highlight w:val="none"/>
                <w:lang w:eastAsia="zh-CN"/>
              </w:rPr>
            </w:pPr>
            <w:r>
              <w:rPr>
                <w:rFonts w:hint="eastAsia" w:ascii="黑体" w:hAnsi="黑体" w:eastAsia="黑体" w:cs="黑体"/>
                <w:bCs/>
                <w:sz w:val="24"/>
                <w:highlight w:val="none"/>
              </w:rPr>
              <mc:AlternateContent>
                <mc:Choice Requires="wps">
                  <w:drawing>
                    <wp:anchor distT="0" distB="0" distL="114300" distR="114300" simplePos="0" relativeHeight="251661312" behindDoc="0" locked="0" layoutInCell="1" allowOverlap="1">
                      <wp:simplePos x="0" y="0"/>
                      <wp:positionH relativeFrom="column">
                        <wp:posOffset>-52070</wp:posOffset>
                      </wp:positionH>
                      <wp:positionV relativeFrom="paragraph">
                        <wp:posOffset>18415</wp:posOffset>
                      </wp:positionV>
                      <wp:extent cx="1309370" cy="478155"/>
                      <wp:effectExtent l="1905" t="4445" r="14605" b="5080"/>
                      <wp:wrapNone/>
                      <wp:docPr id="5" name="直接箭头连接符 5"/>
                      <wp:cNvGraphicFramePr/>
                      <a:graphic xmlns:a="http://schemas.openxmlformats.org/drawingml/2006/main">
                        <a:graphicData uri="http://schemas.microsoft.com/office/word/2010/wordprocessingShape">
                          <wps:wsp>
                            <wps:cNvCnPr>
                              <a:cxnSpLocks noChangeShapeType="1"/>
                            </wps:cNvCnPr>
                            <wps:spPr bwMode="auto">
                              <a:xfrm>
                                <a:off x="0" y="0"/>
                                <a:ext cx="1309370" cy="478155"/>
                              </a:xfrm>
                              <a:prstGeom prst="straightConnector1">
                                <a:avLst/>
                              </a:prstGeom>
                              <a:noFill/>
                              <a:ln w="9525">
                                <a:solidFill>
                                  <a:srgbClr val="000000"/>
                                </a:solidFill>
                                <a:round/>
                              </a:ln>
                            </wps:spPr>
                            <wps:bodyPr/>
                          </wps:wsp>
                        </a:graphicData>
                      </a:graphic>
                    </wp:anchor>
                  </w:drawing>
                </mc:Choice>
                <mc:Fallback>
                  <w:pict>
                    <v:shape id="_x0000_s1026" o:spid="_x0000_s1026" o:spt="32" type="#_x0000_t32" style="position:absolute;left:0pt;margin-left:-4.1pt;margin-top:1.45pt;height:37.65pt;width:103.1pt;z-index:251661312;mso-width-relative:page;mso-height-relative:page;" filled="f" stroked="t" coordsize="21600,21600" o:gfxdata="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">
                      <v:fill on="f" focussize="0,0"/>
                      <v:stroke color="#000000" joinstyle="round"/>
                      <v:imagedata o:title=""/>
                      <o:lock v:ext="edit" aspectratio="f"/>
                    </v:shape>
                  </w:pict>
                </mc:Fallback>
              </mc:AlternateContent>
            </w:r>
            <w:r>
              <w:rPr>
                <w:rFonts w:ascii="宋体" w:hAnsi="宋体" w:cs="宋体"/>
                <w:bCs/>
                <w:sz w:val="24"/>
                <w:highlight w:val="none"/>
              </w:rPr>
              <w:t xml:space="preserve">           项 目</w:t>
            </w:r>
          </w:p>
          <w:p w14:paraId="64D15B92">
            <w:pPr>
              <w:widowControl/>
              <w:jc w:val="left"/>
              <w:rPr>
                <w:rFonts w:ascii="宋体" w:hAnsi="宋体" w:cs="宋体"/>
                <w:bCs/>
                <w:sz w:val="24"/>
                <w:highlight w:val="none"/>
              </w:rPr>
            </w:pPr>
            <w:r>
              <w:rPr>
                <w:rFonts w:hint="eastAsia" w:ascii="宋体" w:hAnsi="宋体" w:cs="宋体"/>
                <w:bCs/>
                <w:sz w:val="24"/>
                <w:highlight w:val="none"/>
              </w:rPr>
              <w:t>设备名称</w:t>
            </w:r>
          </w:p>
        </w:tc>
        <w:tc>
          <w:tcPr>
            <w:tcW w:w="850" w:type="dxa"/>
            <w:tcBorders>
              <w:top w:val="single" w:color="auto" w:sz="4" w:space="0"/>
              <w:left w:val="nil"/>
              <w:bottom w:val="single" w:color="auto" w:sz="4" w:space="0"/>
              <w:right w:val="single" w:color="auto" w:sz="4" w:space="0"/>
            </w:tcBorders>
            <w:vAlign w:val="center"/>
          </w:tcPr>
          <w:p w14:paraId="26C9247F">
            <w:pPr>
              <w:widowControl/>
              <w:jc w:val="center"/>
              <w:rPr>
                <w:rFonts w:ascii="宋体" w:hAnsi="宋体" w:cs="宋体"/>
                <w:bCs/>
                <w:sz w:val="24"/>
                <w:highlight w:val="none"/>
              </w:rPr>
            </w:pPr>
            <w:r>
              <w:rPr>
                <w:rFonts w:hint="eastAsia" w:ascii="宋体" w:hAnsi="宋体" w:cs="宋体"/>
                <w:bCs/>
                <w:sz w:val="24"/>
                <w:highlight w:val="none"/>
              </w:rPr>
              <w:t>购买年月</w:t>
            </w:r>
          </w:p>
        </w:tc>
        <w:tc>
          <w:tcPr>
            <w:tcW w:w="1276" w:type="dxa"/>
            <w:tcBorders>
              <w:top w:val="single" w:color="auto" w:sz="4" w:space="0"/>
              <w:left w:val="nil"/>
              <w:bottom w:val="single" w:color="auto" w:sz="4" w:space="0"/>
              <w:right w:val="single" w:color="auto" w:sz="4" w:space="0"/>
            </w:tcBorders>
            <w:vAlign w:val="center"/>
          </w:tcPr>
          <w:p w14:paraId="46E5B76F">
            <w:pPr>
              <w:widowControl/>
              <w:jc w:val="center"/>
              <w:rPr>
                <w:rFonts w:hint="eastAsia" w:ascii="宋体" w:hAnsi="宋体" w:eastAsia="宋体" w:cs="宋体"/>
                <w:bCs/>
                <w:sz w:val="24"/>
                <w:highlight w:val="none"/>
                <w:lang w:eastAsia="zh-CN"/>
              </w:rPr>
            </w:pPr>
            <w:r>
              <w:rPr>
                <w:rFonts w:hint="eastAsia" w:ascii="宋体" w:hAnsi="宋体" w:cs="宋体"/>
                <w:bCs/>
                <w:sz w:val="24"/>
                <w:highlight w:val="none"/>
              </w:rPr>
              <w:t>设备原值</w:t>
            </w:r>
          </w:p>
          <w:p w14:paraId="3201894C">
            <w:pPr>
              <w:widowControl/>
              <w:jc w:val="center"/>
              <w:rPr>
                <w:rFonts w:ascii="宋体" w:hAnsi="宋体" w:cs="宋体"/>
                <w:bCs/>
                <w:sz w:val="24"/>
                <w:highlight w:val="none"/>
              </w:rPr>
            </w:pPr>
            <w:r>
              <w:rPr>
                <w:rFonts w:hint="eastAsia" w:ascii="宋体" w:hAnsi="宋体" w:cs="宋体"/>
                <w:bCs/>
                <w:sz w:val="24"/>
                <w:highlight w:val="none"/>
              </w:rPr>
              <w:t>（万元）</w:t>
            </w:r>
          </w:p>
        </w:tc>
        <w:tc>
          <w:tcPr>
            <w:tcW w:w="1134" w:type="dxa"/>
            <w:tcBorders>
              <w:top w:val="single" w:color="auto" w:sz="4" w:space="0"/>
              <w:left w:val="nil"/>
              <w:bottom w:val="single" w:color="auto" w:sz="4" w:space="0"/>
              <w:right w:val="single" w:color="auto" w:sz="4" w:space="0"/>
            </w:tcBorders>
            <w:vAlign w:val="center"/>
          </w:tcPr>
          <w:p w14:paraId="55D7327D">
            <w:pPr>
              <w:widowControl/>
              <w:jc w:val="center"/>
              <w:rPr>
                <w:rFonts w:ascii="宋体" w:hAnsi="宋体" w:cs="宋体"/>
                <w:bCs/>
                <w:sz w:val="24"/>
                <w:highlight w:val="none"/>
              </w:rPr>
            </w:pPr>
            <w:r>
              <w:rPr>
                <w:rFonts w:hint="eastAsia" w:ascii="宋体" w:hAnsi="宋体" w:cs="宋体"/>
                <w:bCs/>
                <w:sz w:val="24"/>
                <w:highlight w:val="none"/>
              </w:rPr>
              <w:t>折旧率</w:t>
            </w:r>
          </w:p>
        </w:tc>
        <w:tc>
          <w:tcPr>
            <w:tcW w:w="2126" w:type="dxa"/>
            <w:tcBorders>
              <w:top w:val="single" w:color="auto" w:sz="4" w:space="0"/>
              <w:left w:val="nil"/>
              <w:bottom w:val="single" w:color="auto" w:sz="4" w:space="0"/>
              <w:right w:val="single" w:color="auto" w:sz="4" w:space="0"/>
            </w:tcBorders>
            <w:vAlign w:val="center"/>
          </w:tcPr>
          <w:p w14:paraId="019C1542">
            <w:pPr>
              <w:widowControl/>
              <w:jc w:val="center"/>
              <w:rPr>
                <w:rFonts w:ascii="宋体" w:hAnsi="宋体" w:cs="宋体"/>
                <w:bCs/>
                <w:sz w:val="24"/>
                <w:highlight w:val="none"/>
              </w:rPr>
            </w:pPr>
            <w:r>
              <w:rPr>
                <w:rFonts w:hint="eastAsia" w:ascii="宋体" w:hAnsi="宋体" w:cs="宋体"/>
                <w:bCs/>
                <w:sz w:val="24"/>
                <w:highlight w:val="none"/>
              </w:rPr>
              <w:t>设备净值（万元）</w:t>
            </w:r>
          </w:p>
        </w:tc>
        <w:tc>
          <w:tcPr>
            <w:tcW w:w="851" w:type="dxa"/>
            <w:tcBorders>
              <w:top w:val="single" w:color="auto" w:sz="4" w:space="0"/>
              <w:left w:val="nil"/>
              <w:bottom w:val="single" w:color="auto" w:sz="4" w:space="0"/>
              <w:right w:val="single" w:color="auto" w:sz="4" w:space="0"/>
            </w:tcBorders>
            <w:vAlign w:val="center"/>
          </w:tcPr>
          <w:p w14:paraId="31FCBF8B">
            <w:pPr>
              <w:widowControl/>
              <w:jc w:val="center"/>
              <w:rPr>
                <w:rFonts w:ascii="宋体" w:hAnsi="宋体" w:cs="宋体"/>
                <w:bCs/>
                <w:sz w:val="24"/>
                <w:highlight w:val="none"/>
              </w:rPr>
            </w:pPr>
            <w:r>
              <w:rPr>
                <w:rFonts w:hint="eastAsia" w:ascii="宋体" w:hAnsi="宋体" w:cs="宋体"/>
                <w:bCs/>
                <w:sz w:val="24"/>
                <w:highlight w:val="none"/>
              </w:rPr>
              <w:t>汇率</w:t>
            </w:r>
          </w:p>
        </w:tc>
        <w:tc>
          <w:tcPr>
            <w:tcW w:w="850" w:type="dxa"/>
            <w:tcBorders>
              <w:top w:val="single" w:color="auto" w:sz="4" w:space="0"/>
              <w:left w:val="nil"/>
              <w:bottom w:val="single" w:color="auto" w:sz="4" w:space="0"/>
              <w:right w:val="single" w:color="auto" w:sz="4" w:space="0"/>
            </w:tcBorders>
            <w:vAlign w:val="center"/>
          </w:tcPr>
          <w:p w14:paraId="3D52B05F">
            <w:pPr>
              <w:widowControl/>
              <w:jc w:val="center"/>
              <w:rPr>
                <w:rFonts w:ascii="宋体" w:hAnsi="宋体" w:cs="宋体"/>
                <w:bCs/>
                <w:sz w:val="24"/>
                <w:highlight w:val="none"/>
              </w:rPr>
            </w:pPr>
            <w:r>
              <w:rPr>
                <w:rFonts w:hint="eastAsia" w:ascii="宋体" w:hAnsi="宋体" w:cs="宋体"/>
                <w:bCs/>
                <w:sz w:val="24"/>
                <w:highlight w:val="none"/>
              </w:rPr>
              <w:t>页码</w:t>
            </w:r>
          </w:p>
        </w:tc>
      </w:tr>
      <w:tr w14:paraId="4B5AF37C">
        <w:tblPrEx>
          <w:tblCellMar>
            <w:top w:w="0" w:type="dxa"/>
            <w:left w:w="108" w:type="dxa"/>
            <w:bottom w:w="0" w:type="dxa"/>
            <w:right w:w="108" w:type="dxa"/>
          </w:tblCellMar>
        </w:tblPrEx>
        <w:trPr>
          <w:trHeight w:val="413" w:hRule="atLeast"/>
        </w:trPr>
        <w:tc>
          <w:tcPr>
            <w:tcW w:w="2144" w:type="dxa"/>
            <w:tcBorders>
              <w:top w:val="nil"/>
              <w:left w:val="single" w:color="auto" w:sz="4" w:space="0"/>
              <w:bottom w:val="single" w:color="auto" w:sz="4" w:space="0"/>
              <w:right w:val="single" w:color="auto" w:sz="4" w:space="0"/>
            </w:tcBorders>
            <w:vAlign w:val="center"/>
          </w:tcPr>
          <w:p w14:paraId="79D98DA2">
            <w:pPr>
              <w:widowControl/>
              <w:jc w:val="left"/>
              <w:rPr>
                <w:rFonts w:ascii="宋体" w:hAnsi="宋体" w:cs="宋体"/>
                <w:bCs/>
                <w:sz w:val="24"/>
                <w:highlight w:val="none"/>
              </w:rPr>
            </w:pPr>
            <w:r>
              <w:rPr>
                <w:rFonts w:hint="eastAsia" w:ascii="宋体" w:hAnsi="宋体" w:cs="宋体"/>
                <w:bCs/>
                <w:sz w:val="24"/>
                <w:highlight w:val="none"/>
              </w:rPr>
              <w:t>关键设备</w:t>
            </w:r>
            <w:r>
              <w:rPr>
                <w:rFonts w:ascii="宋体" w:hAnsi="宋体" w:cs="宋体"/>
                <w:bCs/>
                <w:sz w:val="24"/>
                <w:highlight w:val="none"/>
              </w:rPr>
              <w:t>1合计</w:t>
            </w:r>
          </w:p>
        </w:tc>
        <w:tc>
          <w:tcPr>
            <w:tcW w:w="850" w:type="dxa"/>
            <w:tcBorders>
              <w:top w:val="nil"/>
              <w:left w:val="nil"/>
              <w:bottom w:val="single" w:color="auto" w:sz="4" w:space="0"/>
              <w:right w:val="single" w:color="auto" w:sz="4" w:space="0"/>
            </w:tcBorders>
            <w:vAlign w:val="center"/>
          </w:tcPr>
          <w:p w14:paraId="7916AA53">
            <w:pPr>
              <w:widowControl/>
              <w:jc w:val="left"/>
              <w:rPr>
                <w:rFonts w:ascii="宋体" w:hAnsi="宋体" w:cs="宋体"/>
                <w:bCs/>
                <w:sz w:val="24"/>
                <w:highlight w:val="none"/>
              </w:rPr>
            </w:pPr>
            <w:r>
              <w:rPr>
                <w:rFonts w:hint="eastAsia" w:ascii="宋体" w:hAnsi="宋体" w:cs="宋体"/>
                <w:bCs/>
                <w:sz w:val="24"/>
                <w:highlight w:val="none"/>
              </w:rPr>
              <w:t>　</w:t>
            </w:r>
          </w:p>
        </w:tc>
        <w:tc>
          <w:tcPr>
            <w:tcW w:w="1276" w:type="dxa"/>
            <w:tcBorders>
              <w:top w:val="nil"/>
              <w:left w:val="nil"/>
              <w:bottom w:val="single" w:color="auto" w:sz="4" w:space="0"/>
              <w:right w:val="single" w:color="auto" w:sz="4" w:space="0"/>
            </w:tcBorders>
            <w:vAlign w:val="center"/>
          </w:tcPr>
          <w:p w14:paraId="3D6AC943">
            <w:pPr>
              <w:widowControl/>
              <w:jc w:val="left"/>
              <w:rPr>
                <w:rFonts w:ascii="宋体" w:hAnsi="宋体" w:cs="宋体"/>
                <w:bCs/>
                <w:sz w:val="24"/>
                <w:highlight w:val="none"/>
              </w:rPr>
            </w:pPr>
            <w:r>
              <w:rPr>
                <w:rFonts w:hint="eastAsia" w:ascii="宋体" w:hAnsi="宋体" w:cs="宋体"/>
                <w:bCs/>
                <w:sz w:val="24"/>
                <w:highlight w:val="none"/>
              </w:rPr>
              <w:t>　</w:t>
            </w:r>
          </w:p>
        </w:tc>
        <w:tc>
          <w:tcPr>
            <w:tcW w:w="1134" w:type="dxa"/>
            <w:tcBorders>
              <w:top w:val="nil"/>
              <w:left w:val="nil"/>
              <w:bottom w:val="single" w:color="auto" w:sz="4" w:space="0"/>
              <w:right w:val="single" w:color="auto" w:sz="4" w:space="0"/>
            </w:tcBorders>
            <w:vAlign w:val="center"/>
          </w:tcPr>
          <w:p w14:paraId="3DFC5D06">
            <w:pPr>
              <w:widowControl/>
              <w:jc w:val="left"/>
              <w:rPr>
                <w:rFonts w:ascii="宋体" w:hAnsi="宋体" w:cs="宋体"/>
                <w:bCs/>
                <w:sz w:val="24"/>
                <w:highlight w:val="none"/>
              </w:rPr>
            </w:pPr>
            <w:r>
              <w:rPr>
                <w:rFonts w:hint="eastAsia" w:ascii="宋体" w:hAnsi="宋体" w:cs="宋体"/>
                <w:bCs/>
                <w:sz w:val="24"/>
                <w:highlight w:val="none"/>
              </w:rPr>
              <w:t>　</w:t>
            </w:r>
          </w:p>
        </w:tc>
        <w:tc>
          <w:tcPr>
            <w:tcW w:w="2126" w:type="dxa"/>
            <w:tcBorders>
              <w:top w:val="nil"/>
              <w:left w:val="nil"/>
              <w:bottom w:val="single" w:color="auto" w:sz="4" w:space="0"/>
              <w:right w:val="single" w:color="auto" w:sz="4" w:space="0"/>
            </w:tcBorders>
            <w:vAlign w:val="center"/>
          </w:tcPr>
          <w:p w14:paraId="65D79DB7">
            <w:pPr>
              <w:widowControl/>
              <w:jc w:val="left"/>
              <w:rPr>
                <w:rFonts w:ascii="宋体" w:hAnsi="宋体" w:cs="宋体"/>
                <w:bCs/>
                <w:sz w:val="24"/>
                <w:highlight w:val="none"/>
              </w:rPr>
            </w:pPr>
            <w:r>
              <w:rPr>
                <w:rFonts w:hint="eastAsia" w:ascii="宋体" w:hAnsi="宋体" w:cs="宋体"/>
                <w:bCs/>
                <w:sz w:val="24"/>
                <w:highlight w:val="none"/>
              </w:rPr>
              <w:t>　</w:t>
            </w:r>
          </w:p>
        </w:tc>
        <w:tc>
          <w:tcPr>
            <w:tcW w:w="851" w:type="dxa"/>
            <w:tcBorders>
              <w:top w:val="nil"/>
              <w:left w:val="nil"/>
              <w:bottom w:val="single" w:color="auto" w:sz="4" w:space="0"/>
              <w:right w:val="single" w:color="auto" w:sz="4" w:space="0"/>
            </w:tcBorders>
            <w:vAlign w:val="center"/>
          </w:tcPr>
          <w:p w14:paraId="67502B4A">
            <w:pPr>
              <w:widowControl/>
              <w:jc w:val="left"/>
              <w:rPr>
                <w:rFonts w:ascii="宋体" w:hAnsi="宋体" w:cs="宋体"/>
                <w:bCs/>
                <w:sz w:val="24"/>
                <w:highlight w:val="none"/>
              </w:rPr>
            </w:pPr>
            <w:r>
              <w:rPr>
                <w:rFonts w:hint="eastAsia" w:ascii="宋体" w:hAnsi="宋体" w:cs="宋体"/>
                <w:bCs/>
                <w:sz w:val="24"/>
                <w:highlight w:val="none"/>
              </w:rPr>
              <w:t>　</w:t>
            </w:r>
          </w:p>
        </w:tc>
        <w:tc>
          <w:tcPr>
            <w:tcW w:w="850" w:type="dxa"/>
            <w:tcBorders>
              <w:top w:val="nil"/>
              <w:left w:val="nil"/>
              <w:bottom w:val="single" w:color="auto" w:sz="4" w:space="0"/>
              <w:right w:val="single" w:color="auto" w:sz="4" w:space="0"/>
            </w:tcBorders>
            <w:vAlign w:val="center"/>
          </w:tcPr>
          <w:p w14:paraId="59A81C26">
            <w:pPr>
              <w:widowControl/>
              <w:jc w:val="left"/>
              <w:rPr>
                <w:rFonts w:ascii="宋体" w:hAnsi="宋体" w:cs="宋体"/>
                <w:bCs/>
                <w:sz w:val="24"/>
                <w:highlight w:val="none"/>
              </w:rPr>
            </w:pPr>
            <w:r>
              <w:rPr>
                <w:rFonts w:hint="eastAsia" w:ascii="宋体" w:hAnsi="宋体" w:cs="宋体"/>
                <w:bCs/>
                <w:sz w:val="24"/>
                <w:highlight w:val="none"/>
              </w:rPr>
              <w:t>　</w:t>
            </w:r>
          </w:p>
        </w:tc>
      </w:tr>
      <w:tr w14:paraId="5A55E9A8">
        <w:tblPrEx>
          <w:tblCellMar>
            <w:top w:w="0" w:type="dxa"/>
            <w:left w:w="108" w:type="dxa"/>
            <w:bottom w:w="0" w:type="dxa"/>
            <w:right w:w="108" w:type="dxa"/>
          </w:tblCellMar>
        </w:tblPrEx>
        <w:trPr>
          <w:trHeight w:val="522" w:hRule="atLeast"/>
        </w:trPr>
        <w:tc>
          <w:tcPr>
            <w:tcW w:w="2144" w:type="dxa"/>
            <w:tcBorders>
              <w:top w:val="nil"/>
              <w:left w:val="single" w:color="auto" w:sz="4" w:space="0"/>
              <w:bottom w:val="single" w:color="auto" w:sz="4" w:space="0"/>
              <w:right w:val="single" w:color="auto" w:sz="4" w:space="0"/>
            </w:tcBorders>
            <w:vAlign w:val="center"/>
          </w:tcPr>
          <w:p w14:paraId="7D832B91">
            <w:pPr>
              <w:widowControl/>
              <w:jc w:val="left"/>
              <w:rPr>
                <w:rFonts w:ascii="宋体" w:hAnsi="宋体" w:cs="宋体"/>
                <w:bCs/>
                <w:sz w:val="24"/>
                <w:highlight w:val="none"/>
              </w:rPr>
            </w:pPr>
            <w:r>
              <w:rPr>
                <w:rFonts w:hint="eastAsia" w:ascii="宋体" w:hAnsi="宋体" w:cs="宋体"/>
                <w:bCs/>
                <w:sz w:val="24"/>
                <w:highlight w:val="none"/>
              </w:rPr>
              <w:t>关键设备</w:t>
            </w:r>
            <w:r>
              <w:rPr>
                <w:rFonts w:ascii="宋体" w:hAnsi="宋体" w:cs="宋体"/>
                <w:bCs/>
                <w:sz w:val="24"/>
                <w:highlight w:val="none"/>
              </w:rPr>
              <w:t>1</w:t>
            </w:r>
          </w:p>
        </w:tc>
        <w:tc>
          <w:tcPr>
            <w:tcW w:w="850" w:type="dxa"/>
            <w:tcBorders>
              <w:top w:val="nil"/>
              <w:left w:val="nil"/>
              <w:bottom w:val="single" w:color="auto" w:sz="4" w:space="0"/>
              <w:right w:val="single" w:color="auto" w:sz="4" w:space="0"/>
            </w:tcBorders>
            <w:vAlign w:val="center"/>
          </w:tcPr>
          <w:p w14:paraId="26EB646D">
            <w:pPr>
              <w:widowControl/>
              <w:jc w:val="left"/>
              <w:rPr>
                <w:rFonts w:ascii="宋体" w:hAnsi="宋体" w:cs="宋体"/>
                <w:bCs/>
                <w:sz w:val="24"/>
                <w:highlight w:val="none"/>
              </w:rPr>
            </w:pPr>
            <w:r>
              <w:rPr>
                <w:rFonts w:hint="eastAsia" w:ascii="宋体" w:hAnsi="宋体" w:cs="宋体"/>
                <w:bCs/>
                <w:sz w:val="24"/>
                <w:highlight w:val="none"/>
              </w:rPr>
              <w:t>　</w:t>
            </w:r>
          </w:p>
        </w:tc>
        <w:tc>
          <w:tcPr>
            <w:tcW w:w="1276" w:type="dxa"/>
            <w:tcBorders>
              <w:top w:val="nil"/>
              <w:left w:val="nil"/>
              <w:bottom w:val="single" w:color="auto" w:sz="4" w:space="0"/>
              <w:right w:val="single" w:color="auto" w:sz="4" w:space="0"/>
            </w:tcBorders>
            <w:vAlign w:val="center"/>
          </w:tcPr>
          <w:p w14:paraId="22342626">
            <w:pPr>
              <w:widowControl/>
              <w:jc w:val="left"/>
              <w:rPr>
                <w:rFonts w:ascii="宋体" w:hAnsi="宋体" w:cs="宋体"/>
                <w:bCs/>
                <w:sz w:val="24"/>
                <w:highlight w:val="none"/>
              </w:rPr>
            </w:pPr>
            <w:r>
              <w:rPr>
                <w:rFonts w:hint="eastAsia" w:ascii="宋体" w:hAnsi="宋体" w:cs="宋体"/>
                <w:bCs/>
                <w:sz w:val="24"/>
                <w:highlight w:val="none"/>
              </w:rPr>
              <w:t>　</w:t>
            </w:r>
          </w:p>
        </w:tc>
        <w:tc>
          <w:tcPr>
            <w:tcW w:w="1134" w:type="dxa"/>
            <w:tcBorders>
              <w:top w:val="nil"/>
              <w:left w:val="nil"/>
              <w:bottom w:val="single" w:color="auto" w:sz="4" w:space="0"/>
              <w:right w:val="single" w:color="auto" w:sz="4" w:space="0"/>
            </w:tcBorders>
            <w:vAlign w:val="center"/>
          </w:tcPr>
          <w:p w14:paraId="50A30FBF">
            <w:pPr>
              <w:widowControl/>
              <w:jc w:val="left"/>
              <w:rPr>
                <w:rFonts w:ascii="宋体" w:hAnsi="宋体" w:cs="宋体"/>
                <w:bCs/>
                <w:sz w:val="24"/>
                <w:highlight w:val="none"/>
              </w:rPr>
            </w:pPr>
            <w:r>
              <w:rPr>
                <w:rFonts w:hint="eastAsia" w:ascii="宋体" w:hAnsi="宋体" w:cs="宋体"/>
                <w:bCs/>
                <w:sz w:val="24"/>
                <w:highlight w:val="none"/>
              </w:rPr>
              <w:t>　</w:t>
            </w:r>
          </w:p>
        </w:tc>
        <w:tc>
          <w:tcPr>
            <w:tcW w:w="2126" w:type="dxa"/>
            <w:tcBorders>
              <w:top w:val="nil"/>
              <w:left w:val="nil"/>
              <w:bottom w:val="single" w:color="auto" w:sz="4" w:space="0"/>
              <w:right w:val="single" w:color="auto" w:sz="4" w:space="0"/>
            </w:tcBorders>
            <w:vAlign w:val="center"/>
          </w:tcPr>
          <w:p w14:paraId="6844F505">
            <w:pPr>
              <w:widowControl/>
              <w:jc w:val="left"/>
              <w:rPr>
                <w:rFonts w:ascii="宋体" w:hAnsi="宋体" w:cs="宋体"/>
                <w:bCs/>
                <w:sz w:val="24"/>
                <w:highlight w:val="none"/>
              </w:rPr>
            </w:pPr>
            <w:r>
              <w:rPr>
                <w:rFonts w:hint="eastAsia" w:ascii="宋体" w:hAnsi="宋体" w:cs="宋体"/>
                <w:bCs/>
                <w:sz w:val="24"/>
                <w:highlight w:val="none"/>
              </w:rPr>
              <w:t>　</w:t>
            </w:r>
          </w:p>
        </w:tc>
        <w:tc>
          <w:tcPr>
            <w:tcW w:w="851" w:type="dxa"/>
            <w:tcBorders>
              <w:top w:val="nil"/>
              <w:left w:val="nil"/>
              <w:bottom w:val="single" w:color="auto" w:sz="4" w:space="0"/>
              <w:right w:val="single" w:color="auto" w:sz="4" w:space="0"/>
            </w:tcBorders>
            <w:vAlign w:val="center"/>
          </w:tcPr>
          <w:p w14:paraId="68717600">
            <w:pPr>
              <w:widowControl/>
              <w:jc w:val="left"/>
              <w:rPr>
                <w:rFonts w:ascii="宋体" w:hAnsi="宋体" w:cs="宋体"/>
                <w:bCs/>
                <w:sz w:val="24"/>
                <w:highlight w:val="none"/>
              </w:rPr>
            </w:pPr>
            <w:r>
              <w:rPr>
                <w:rFonts w:hint="eastAsia" w:ascii="宋体" w:hAnsi="宋体" w:cs="宋体"/>
                <w:bCs/>
                <w:sz w:val="24"/>
                <w:highlight w:val="none"/>
              </w:rPr>
              <w:t>　</w:t>
            </w:r>
          </w:p>
        </w:tc>
        <w:tc>
          <w:tcPr>
            <w:tcW w:w="850" w:type="dxa"/>
            <w:tcBorders>
              <w:top w:val="nil"/>
              <w:left w:val="nil"/>
              <w:bottom w:val="single" w:color="auto" w:sz="4" w:space="0"/>
              <w:right w:val="single" w:color="auto" w:sz="4" w:space="0"/>
            </w:tcBorders>
            <w:vAlign w:val="center"/>
          </w:tcPr>
          <w:p w14:paraId="2C761E36">
            <w:pPr>
              <w:widowControl/>
              <w:jc w:val="left"/>
              <w:rPr>
                <w:rFonts w:ascii="宋体" w:hAnsi="宋体" w:cs="宋体"/>
                <w:bCs/>
                <w:sz w:val="24"/>
                <w:highlight w:val="none"/>
              </w:rPr>
            </w:pPr>
            <w:r>
              <w:rPr>
                <w:rFonts w:hint="eastAsia" w:ascii="宋体" w:hAnsi="宋体" w:cs="宋体"/>
                <w:bCs/>
                <w:sz w:val="24"/>
                <w:highlight w:val="none"/>
              </w:rPr>
              <w:t>　</w:t>
            </w:r>
          </w:p>
        </w:tc>
      </w:tr>
      <w:tr w14:paraId="7229A4DB">
        <w:tblPrEx>
          <w:tblCellMar>
            <w:top w:w="0" w:type="dxa"/>
            <w:left w:w="108" w:type="dxa"/>
            <w:bottom w:w="0" w:type="dxa"/>
            <w:right w:w="108" w:type="dxa"/>
          </w:tblCellMar>
        </w:tblPrEx>
        <w:trPr>
          <w:trHeight w:val="522" w:hRule="atLeast"/>
        </w:trPr>
        <w:tc>
          <w:tcPr>
            <w:tcW w:w="2144" w:type="dxa"/>
            <w:tcBorders>
              <w:top w:val="nil"/>
              <w:left w:val="single" w:color="auto" w:sz="4" w:space="0"/>
              <w:bottom w:val="single" w:color="auto" w:sz="4" w:space="0"/>
              <w:right w:val="single" w:color="auto" w:sz="4" w:space="0"/>
            </w:tcBorders>
            <w:vAlign w:val="center"/>
          </w:tcPr>
          <w:p w14:paraId="4D3A4601">
            <w:pPr>
              <w:widowControl/>
              <w:jc w:val="left"/>
              <w:rPr>
                <w:rFonts w:ascii="宋体" w:hAnsi="宋体" w:cs="宋体"/>
                <w:bCs/>
                <w:sz w:val="24"/>
                <w:highlight w:val="none"/>
              </w:rPr>
            </w:pPr>
            <w:r>
              <w:rPr>
                <w:rFonts w:hint="eastAsia" w:ascii="宋体" w:hAnsi="宋体" w:cs="宋体"/>
                <w:bCs/>
                <w:sz w:val="24"/>
                <w:highlight w:val="none"/>
              </w:rPr>
              <w:t>关键设备</w:t>
            </w:r>
            <w:r>
              <w:rPr>
                <w:rFonts w:ascii="宋体" w:hAnsi="宋体" w:cs="宋体"/>
                <w:bCs/>
                <w:sz w:val="24"/>
                <w:highlight w:val="none"/>
              </w:rPr>
              <w:t>1</w:t>
            </w:r>
          </w:p>
        </w:tc>
        <w:tc>
          <w:tcPr>
            <w:tcW w:w="850" w:type="dxa"/>
            <w:tcBorders>
              <w:top w:val="nil"/>
              <w:left w:val="nil"/>
              <w:bottom w:val="single" w:color="auto" w:sz="4" w:space="0"/>
              <w:right w:val="single" w:color="auto" w:sz="4" w:space="0"/>
            </w:tcBorders>
            <w:vAlign w:val="center"/>
          </w:tcPr>
          <w:p w14:paraId="0E5FA232">
            <w:pPr>
              <w:widowControl/>
              <w:jc w:val="left"/>
              <w:rPr>
                <w:rFonts w:ascii="宋体" w:hAnsi="宋体" w:cs="宋体"/>
                <w:bCs/>
                <w:sz w:val="24"/>
                <w:highlight w:val="none"/>
              </w:rPr>
            </w:pPr>
            <w:r>
              <w:rPr>
                <w:rFonts w:hint="eastAsia" w:ascii="宋体" w:hAnsi="宋体" w:cs="宋体"/>
                <w:bCs/>
                <w:sz w:val="24"/>
                <w:highlight w:val="none"/>
              </w:rPr>
              <w:t>　</w:t>
            </w:r>
          </w:p>
        </w:tc>
        <w:tc>
          <w:tcPr>
            <w:tcW w:w="1276" w:type="dxa"/>
            <w:tcBorders>
              <w:top w:val="nil"/>
              <w:left w:val="nil"/>
              <w:bottom w:val="single" w:color="auto" w:sz="4" w:space="0"/>
              <w:right w:val="single" w:color="auto" w:sz="4" w:space="0"/>
            </w:tcBorders>
            <w:vAlign w:val="center"/>
          </w:tcPr>
          <w:p w14:paraId="19BB6A76">
            <w:pPr>
              <w:widowControl/>
              <w:jc w:val="left"/>
              <w:rPr>
                <w:rFonts w:ascii="宋体" w:hAnsi="宋体" w:cs="宋体"/>
                <w:bCs/>
                <w:sz w:val="24"/>
                <w:highlight w:val="none"/>
              </w:rPr>
            </w:pPr>
            <w:r>
              <w:rPr>
                <w:rFonts w:hint="eastAsia" w:ascii="宋体" w:hAnsi="宋体" w:cs="宋体"/>
                <w:bCs/>
                <w:sz w:val="24"/>
                <w:highlight w:val="none"/>
              </w:rPr>
              <w:t>　</w:t>
            </w:r>
          </w:p>
        </w:tc>
        <w:tc>
          <w:tcPr>
            <w:tcW w:w="1134" w:type="dxa"/>
            <w:tcBorders>
              <w:top w:val="nil"/>
              <w:left w:val="nil"/>
              <w:bottom w:val="single" w:color="auto" w:sz="4" w:space="0"/>
              <w:right w:val="single" w:color="auto" w:sz="4" w:space="0"/>
            </w:tcBorders>
            <w:vAlign w:val="center"/>
          </w:tcPr>
          <w:p w14:paraId="3784E72D">
            <w:pPr>
              <w:widowControl/>
              <w:jc w:val="left"/>
              <w:rPr>
                <w:rFonts w:ascii="宋体" w:hAnsi="宋体" w:cs="宋体"/>
                <w:bCs/>
                <w:sz w:val="24"/>
                <w:highlight w:val="none"/>
              </w:rPr>
            </w:pPr>
            <w:r>
              <w:rPr>
                <w:rFonts w:hint="eastAsia" w:ascii="宋体" w:hAnsi="宋体" w:cs="宋体"/>
                <w:bCs/>
                <w:sz w:val="24"/>
                <w:highlight w:val="none"/>
              </w:rPr>
              <w:t>　</w:t>
            </w:r>
          </w:p>
        </w:tc>
        <w:tc>
          <w:tcPr>
            <w:tcW w:w="2126" w:type="dxa"/>
            <w:tcBorders>
              <w:top w:val="nil"/>
              <w:left w:val="nil"/>
              <w:bottom w:val="single" w:color="auto" w:sz="4" w:space="0"/>
              <w:right w:val="single" w:color="auto" w:sz="4" w:space="0"/>
            </w:tcBorders>
            <w:vAlign w:val="center"/>
          </w:tcPr>
          <w:p w14:paraId="240FAF43">
            <w:pPr>
              <w:widowControl/>
              <w:jc w:val="left"/>
              <w:rPr>
                <w:rFonts w:ascii="宋体" w:hAnsi="宋体" w:cs="宋体"/>
                <w:bCs/>
                <w:sz w:val="24"/>
                <w:highlight w:val="none"/>
              </w:rPr>
            </w:pPr>
            <w:r>
              <w:rPr>
                <w:rFonts w:hint="eastAsia" w:ascii="宋体" w:hAnsi="宋体" w:cs="宋体"/>
                <w:bCs/>
                <w:sz w:val="24"/>
                <w:highlight w:val="none"/>
              </w:rPr>
              <w:t>　</w:t>
            </w:r>
          </w:p>
        </w:tc>
        <w:tc>
          <w:tcPr>
            <w:tcW w:w="851" w:type="dxa"/>
            <w:tcBorders>
              <w:top w:val="nil"/>
              <w:left w:val="nil"/>
              <w:bottom w:val="single" w:color="auto" w:sz="4" w:space="0"/>
              <w:right w:val="single" w:color="auto" w:sz="4" w:space="0"/>
            </w:tcBorders>
            <w:vAlign w:val="center"/>
          </w:tcPr>
          <w:p w14:paraId="66F062D6">
            <w:pPr>
              <w:widowControl/>
              <w:jc w:val="left"/>
              <w:rPr>
                <w:rFonts w:ascii="宋体" w:hAnsi="宋体" w:cs="宋体"/>
                <w:bCs/>
                <w:sz w:val="24"/>
                <w:highlight w:val="none"/>
              </w:rPr>
            </w:pPr>
            <w:r>
              <w:rPr>
                <w:rFonts w:hint="eastAsia" w:ascii="宋体" w:hAnsi="宋体" w:cs="宋体"/>
                <w:bCs/>
                <w:sz w:val="24"/>
                <w:highlight w:val="none"/>
              </w:rPr>
              <w:t>　</w:t>
            </w:r>
          </w:p>
        </w:tc>
        <w:tc>
          <w:tcPr>
            <w:tcW w:w="850" w:type="dxa"/>
            <w:tcBorders>
              <w:top w:val="nil"/>
              <w:left w:val="nil"/>
              <w:bottom w:val="single" w:color="auto" w:sz="4" w:space="0"/>
              <w:right w:val="single" w:color="auto" w:sz="4" w:space="0"/>
            </w:tcBorders>
            <w:vAlign w:val="center"/>
          </w:tcPr>
          <w:p w14:paraId="7B883C09">
            <w:pPr>
              <w:widowControl/>
              <w:jc w:val="left"/>
              <w:rPr>
                <w:rFonts w:ascii="宋体" w:hAnsi="宋体" w:cs="宋体"/>
                <w:bCs/>
                <w:sz w:val="24"/>
                <w:highlight w:val="none"/>
              </w:rPr>
            </w:pPr>
            <w:r>
              <w:rPr>
                <w:rFonts w:hint="eastAsia" w:ascii="宋体" w:hAnsi="宋体" w:cs="宋体"/>
                <w:bCs/>
                <w:sz w:val="24"/>
                <w:highlight w:val="none"/>
              </w:rPr>
              <w:t>　</w:t>
            </w:r>
          </w:p>
        </w:tc>
      </w:tr>
      <w:tr w14:paraId="69111561">
        <w:tblPrEx>
          <w:tblCellMar>
            <w:top w:w="0" w:type="dxa"/>
            <w:left w:w="108" w:type="dxa"/>
            <w:bottom w:w="0" w:type="dxa"/>
            <w:right w:w="108" w:type="dxa"/>
          </w:tblCellMar>
        </w:tblPrEx>
        <w:trPr>
          <w:trHeight w:val="522" w:hRule="atLeast"/>
        </w:trPr>
        <w:tc>
          <w:tcPr>
            <w:tcW w:w="2144" w:type="dxa"/>
            <w:tcBorders>
              <w:top w:val="nil"/>
              <w:left w:val="single" w:color="auto" w:sz="4" w:space="0"/>
              <w:bottom w:val="single" w:color="auto" w:sz="4" w:space="0"/>
              <w:right w:val="single" w:color="auto" w:sz="4" w:space="0"/>
            </w:tcBorders>
            <w:vAlign w:val="center"/>
          </w:tcPr>
          <w:p w14:paraId="4B3B92A5">
            <w:pPr>
              <w:widowControl/>
              <w:jc w:val="left"/>
              <w:rPr>
                <w:rFonts w:ascii="宋体" w:hAnsi="宋体" w:cs="宋体"/>
                <w:bCs/>
                <w:sz w:val="24"/>
                <w:highlight w:val="none"/>
              </w:rPr>
            </w:pPr>
            <w:r>
              <w:rPr>
                <w:rFonts w:hint="eastAsia" w:ascii="宋体" w:hAnsi="宋体" w:cs="宋体"/>
                <w:bCs/>
                <w:sz w:val="24"/>
                <w:highlight w:val="none"/>
              </w:rPr>
              <w:t>……</w:t>
            </w:r>
          </w:p>
        </w:tc>
        <w:tc>
          <w:tcPr>
            <w:tcW w:w="850" w:type="dxa"/>
            <w:tcBorders>
              <w:top w:val="nil"/>
              <w:left w:val="nil"/>
              <w:bottom w:val="single" w:color="auto" w:sz="4" w:space="0"/>
              <w:right w:val="single" w:color="auto" w:sz="4" w:space="0"/>
            </w:tcBorders>
            <w:vAlign w:val="center"/>
          </w:tcPr>
          <w:p w14:paraId="3C0062BA">
            <w:pPr>
              <w:widowControl/>
              <w:jc w:val="left"/>
              <w:rPr>
                <w:rFonts w:ascii="宋体" w:hAnsi="宋体" w:cs="宋体"/>
                <w:bCs/>
                <w:sz w:val="24"/>
                <w:highlight w:val="none"/>
              </w:rPr>
            </w:pPr>
            <w:r>
              <w:rPr>
                <w:rFonts w:hint="eastAsia" w:ascii="宋体" w:hAnsi="宋体" w:cs="宋体"/>
                <w:bCs/>
                <w:sz w:val="24"/>
                <w:highlight w:val="none"/>
              </w:rPr>
              <w:t>　</w:t>
            </w:r>
          </w:p>
        </w:tc>
        <w:tc>
          <w:tcPr>
            <w:tcW w:w="1276" w:type="dxa"/>
            <w:tcBorders>
              <w:top w:val="nil"/>
              <w:left w:val="nil"/>
              <w:bottom w:val="single" w:color="auto" w:sz="4" w:space="0"/>
              <w:right w:val="single" w:color="auto" w:sz="4" w:space="0"/>
            </w:tcBorders>
            <w:vAlign w:val="center"/>
          </w:tcPr>
          <w:p w14:paraId="43A8DF66">
            <w:pPr>
              <w:widowControl/>
              <w:jc w:val="left"/>
              <w:rPr>
                <w:rFonts w:ascii="宋体" w:hAnsi="宋体" w:cs="宋体"/>
                <w:bCs/>
                <w:sz w:val="24"/>
                <w:highlight w:val="none"/>
              </w:rPr>
            </w:pPr>
            <w:r>
              <w:rPr>
                <w:rFonts w:hint="eastAsia" w:ascii="宋体" w:hAnsi="宋体" w:cs="宋体"/>
                <w:bCs/>
                <w:sz w:val="24"/>
                <w:highlight w:val="none"/>
              </w:rPr>
              <w:t>　</w:t>
            </w:r>
          </w:p>
        </w:tc>
        <w:tc>
          <w:tcPr>
            <w:tcW w:w="1134" w:type="dxa"/>
            <w:tcBorders>
              <w:top w:val="nil"/>
              <w:left w:val="nil"/>
              <w:bottom w:val="single" w:color="auto" w:sz="4" w:space="0"/>
              <w:right w:val="single" w:color="auto" w:sz="4" w:space="0"/>
            </w:tcBorders>
            <w:vAlign w:val="center"/>
          </w:tcPr>
          <w:p w14:paraId="2021A32E">
            <w:pPr>
              <w:widowControl/>
              <w:jc w:val="left"/>
              <w:rPr>
                <w:rFonts w:ascii="宋体" w:hAnsi="宋体" w:cs="宋体"/>
                <w:bCs/>
                <w:sz w:val="24"/>
                <w:highlight w:val="none"/>
              </w:rPr>
            </w:pPr>
            <w:r>
              <w:rPr>
                <w:rFonts w:hint="eastAsia" w:ascii="宋体" w:hAnsi="宋体" w:cs="宋体"/>
                <w:bCs/>
                <w:sz w:val="24"/>
                <w:highlight w:val="none"/>
              </w:rPr>
              <w:t>　</w:t>
            </w:r>
          </w:p>
        </w:tc>
        <w:tc>
          <w:tcPr>
            <w:tcW w:w="2126" w:type="dxa"/>
            <w:tcBorders>
              <w:top w:val="nil"/>
              <w:left w:val="nil"/>
              <w:bottom w:val="single" w:color="auto" w:sz="4" w:space="0"/>
              <w:right w:val="single" w:color="auto" w:sz="4" w:space="0"/>
            </w:tcBorders>
            <w:vAlign w:val="center"/>
          </w:tcPr>
          <w:p w14:paraId="41CC0EB0">
            <w:pPr>
              <w:widowControl/>
              <w:jc w:val="left"/>
              <w:rPr>
                <w:rFonts w:ascii="宋体" w:hAnsi="宋体" w:cs="宋体"/>
                <w:bCs/>
                <w:sz w:val="24"/>
                <w:highlight w:val="none"/>
              </w:rPr>
            </w:pPr>
            <w:r>
              <w:rPr>
                <w:rFonts w:hint="eastAsia" w:ascii="宋体" w:hAnsi="宋体" w:cs="宋体"/>
                <w:bCs/>
                <w:sz w:val="24"/>
                <w:highlight w:val="none"/>
              </w:rPr>
              <w:t>　</w:t>
            </w:r>
          </w:p>
        </w:tc>
        <w:tc>
          <w:tcPr>
            <w:tcW w:w="851" w:type="dxa"/>
            <w:tcBorders>
              <w:top w:val="nil"/>
              <w:left w:val="nil"/>
              <w:bottom w:val="single" w:color="auto" w:sz="4" w:space="0"/>
              <w:right w:val="single" w:color="auto" w:sz="4" w:space="0"/>
            </w:tcBorders>
            <w:vAlign w:val="center"/>
          </w:tcPr>
          <w:p w14:paraId="50D83595">
            <w:pPr>
              <w:widowControl/>
              <w:jc w:val="left"/>
              <w:rPr>
                <w:rFonts w:ascii="宋体" w:hAnsi="宋体" w:cs="宋体"/>
                <w:bCs/>
                <w:sz w:val="24"/>
                <w:highlight w:val="none"/>
              </w:rPr>
            </w:pPr>
            <w:r>
              <w:rPr>
                <w:rFonts w:hint="eastAsia" w:ascii="宋体" w:hAnsi="宋体" w:cs="宋体"/>
                <w:bCs/>
                <w:sz w:val="24"/>
                <w:highlight w:val="none"/>
              </w:rPr>
              <w:t>　</w:t>
            </w:r>
          </w:p>
        </w:tc>
        <w:tc>
          <w:tcPr>
            <w:tcW w:w="850" w:type="dxa"/>
            <w:tcBorders>
              <w:top w:val="nil"/>
              <w:left w:val="nil"/>
              <w:bottom w:val="single" w:color="auto" w:sz="4" w:space="0"/>
              <w:right w:val="single" w:color="auto" w:sz="4" w:space="0"/>
            </w:tcBorders>
            <w:vAlign w:val="center"/>
          </w:tcPr>
          <w:p w14:paraId="5BA4A494">
            <w:pPr>
              <w:widowControl/>
              <w:jc w:val="left"/>
              <w:rPr>
                <w:rFonts w:ascii="宋体" w:hAnsi="宋体" w:cs="宋体"/>
                <w:bCs/>
                <w:sz w:val="24"/>
                <w:highlight w:val="none"/>
              </w:rPr>
            </w:pPr>
            <w:r>
              <w:rPr>
                <w:rFonts w:hint="eastAsia" w:ascii="宋体" w:hAnsi="宋体" w:cs="宋体"/>
                <w:bCs/>
                <w:sz w:val="24"/>
                <w:highlight w:val="none"/>
              </w:rPr>
              <w:t>　</w:t>
            </w:r>
          </w:p>
        </w:tc>
      </w:tr>
      <w:tr w14:paraId="487830A9">
        <w:tblPrEx>
          <w:tblCellMar>
            <w:top w:w="0" w:type="dxa"/>
            <w:left w:w="108" w:type="dxa"/>
            <w:bottom w:w="0" w:type="dxa"/>
            <w:right w:w="108" w:type="dxa"/>
          </w:tblCellMar>
        </w:tblPrEx>
        <w:trPr>
          <w:trHeight w:val="522" w:hRule="atLeast"/>
        </w:trPr>
        <w:tc>
          <w:tcPr>
            <w:tcW w:w="2144" w:type="dxa"/>
            <w:tcBorders>
              <w:top w:val="nil"/>
              <w:left w:val="single" w:color="auto" w:sz="4" w:space="0"/>
              <w:bottom w:val="single" w:color="auto" w:sz="4" w:space="0"/>
              <w:right w:val="single" w:color="auto" w:sz="4" w:space="0"/>
            </w:tcBorders>
            <w:vAlign w:val="center"/>
          </w:tcPr>
          <w:p w14:paraId="68C0398E">
            <w:pPr>
              <w:widowControl/>
              <w:jc w:val="left"/>
              <w:rPr>
                <w:rFonts w:ascii="宋体" w:hAnsi="宋体" w:cs="宋体"/>
                <w:bCs/>
                <w:sz w:val="24"/>
                <w:highlight w:val="none"/>
              </w:rPr>
            </w:pPr>
            <w:r>
              <w:rPr>
                <w:rFonts w:hint="eastAsia" w:ascii="宋体" w:hAnsi="宋体" w:cs="宋体"/>
                <w:bCs/>
                <w:sz w:val="24"/>
                <w:highlight w:val="none"/>
              </w:rPr>
              <w:t>关键设备</w:t>
            </w:r>
            <w:r>
              <w:rPr>
                <w:rFonts w:ascii="宋体" w:hAnsi="宋体" w:cs="宋体"/>
                <w:bCs/>
                <w:sz w:val="24"/>
                <w:highlight w:val="none"/>
              </w:rPr>
              <w:t>2合计</w:t>
            </w:r>
          </w:p>
        </w:tc>
        <w:tc>
          <w:tcPr>
            <w:tcW w:w="850" w:type="dxa"/>
            <w:tcBorders>
              <w:top w:val="nil"/>
              <w:left w:val="nil"/>
              <w:bottom w:val="single" w:color="auto" w:sz="4" w:space="0"/>
              <w:right w:val="single" w:color="auto" w:sz="4" w:space="0"/>
            </w:tcBorders>
            <w:vAlign w:val="center"/>
          </w:tcPr>
          <w:p w14:paraId="593B6554">
            <w:pPr>
              <w:widowControl/>
              <w:jc w:val="left"/>
              <w:rPr>
                <w:rFonts w:ascii="宋体" w:hAnsi="宋体" w:cs="宋体"/>
                <w:bCs/>
                <w:sz w:val="24"/>
                <w:highlight w:val="none"/>
              </w:rPr>
            </w:pPr>
            <w:r>
              <w:rPr>
                <w:rFonts w:hint="eastAsia" w:ascii="宋体" w:hAnsi="宋体" w:cs="宋体"/>
                <w:bCs/>
                <w:sz w:val="24"/>
                <w:highlight w:val="none"/>
              </w:rPr>
              <w:t>　</w:t>
            </w:r>
          </w:p>
        </w:tc>
        <w:tc>
          <w:tcPr>
            <w:tcW w:w="1276" w:type="dxa"/>
            <w:tcBorders>
              <w:top w:val="nil"/>
              <w:left w:val="nil"/>
              <w:bottom w:val="single" w:color="auto" w:sz="4" w:space="0"/>
              <w:right w:val="single" w:color="auto" w:sz="4" w:space="0"/>
            </w:tcBorders>
            <w:vAlign w:val="center"/>
          </w:tcPr>
          <w:p w14:paraId="17D1EEA5">
            <w:pPr>
              <w:widowControl/>
              <w:jc w:val="left"/>
              <w:rPr>
                <w:rFonts w:ascii="宋体" w:hAnsi="宋体" w:cs="宋体"/>
                <w:bCs/>
                <w:sz w:val="24"/>
                <w:highlight w:val="none"/>
              </w:rPr>
            </w:pPr>
            <w:r>
              <w:rPr>
                <w:rFonts w:hint="eastAsia" w:ascii="宋体" w:hAnsi="宋体" w:cs="宋体"/>
                <w:bCs/>
                <w:sz w:val="24"/>
                <w:highlight w:val="none"/>
              </w:rPr>
              <w:t>　</w:t>
            </w:r>
          </w:p>
        </w:tc>
        <w:tc>
          <w:tcPr>
            <w:tcW w:w="1134" w:type="dxa"/>
            <w:tcBorders>
              <w:top w:val="nil"/>
              <w:left w:val="nil"/>
              <w:bottom w:val="single" w:color="auto" w:sz="4" w:space="0"/>
              <w:right w:val="single" w:color="auto" w:sz="4" w:space="0"/>
            </w:tcBorders>
            <w:vAlign w:val="center"/>
          </w:tcPr>
          <w:p w14:paraId="72E5BCB2">
            <w:pPr>
              <w:widowControl/>
              <w:jc w:val="left"/>
              <w:rPr>
                <w:rFonts w:ascii="宋体" w:hAnsi="宋体" w:cs="宋体"/>
                <w:bCs/>
                <w:sz w:val="24"/>
                <w:highlight w:val="none"/>
              </w:rPr>
            </w:pPr>
            <w:r>
              <w:rPr>
                <w:rFonts w:hint="eastAsia" w:ascii="宋体" w:hAnsi="宋体" w:cs="宋体"/>
                <w:bCs/>
                <w:sz w:val="24"/>
                <w:highlight w:val="none"/>
              </w:rPr>
              <w:t>　</w:t>
            </w:r>
          </w:p>
        </w:tc>
        <w:tc>
          <w:tcPr>
            <w:tcW w:w="2126" w:type="dxa"/>
            <w:tcBorders>
              <w:top w:val="nil"/>
              <w:left w:val="nil"/>
              <w:bottom w:val="single" w:color="auto" w:sz="4" w:space="0"/>
              <w:right w:val="single" w:color="auto" w:sz="4" w:space="0"/>
            </w:tcBorders>
            <w:vAlign w:val="center"/>
          </w:tcPr>
          <w:p w14:paraId="1F68D8CF">
            <w:pPr>
              <w:widowControl/>
              <w:jc w:val="left"/>
              <w:rPr>
                <w:rFonts w:ascii="宋体" w:hAnsi="宋体" w:cs="宋体"/>
                <w:bCs/>
                <w:sz w:val="24"/>
                <w:highlight w:val="none"/>
              </w:rPr>
            </w:pPr>
            <w:r>
              <w:rPr>
                <w:rFonts w:hint="eastAsia" w:ascii="宋体" w:hAnsi="宋体" w:cs="宋体"/>
                <w:bCs/>
                <w:sz w:val="24"/>
                <w:highlight w:val="none"/>
              </w:rPr>
              <w:t>　</w:t>
            </w:r>
          </w:p>
        </w:tc>
        <w:tc>
          <w:tcPr>
            <w:tcW w:w="851" w:type="dxa"/>
            <w:tcBorders>
              <w:top w:val="nil"/>
              <w:left w:val="nil"/>
              <w:bottom w:val="single" w:color="auto" w:sz="4" w:space="0"/>
              <w:right w:val="single" w:color="auto" w:sz="4" w:space="0"/>
            </w:tcBorders>
            <w:vAlign w:val="center"/>
          </w:tcPr>
          <w:p w14:paraId="7ED4BAAA">
            <w:pPr>
              <w:widowControl/>
              <w:jc w:val="left"/>
              <w:rPr>
                <w:rFonts w:ascii="宋体" w:hAnsi="宋体" w:cs="宋体"/>
                <w:bCs/>
                <w:sz w:val="24"/>
                <w:highlight w:val="none"/>
              </w:rPr>
            </w:pPr>
            <w:r>
              <w:rPr>
                <w:rFonts w:hint="eastAsia" w:ascii="宋体" w:hAnsi="宋体" w:cs="宋体"/>
                <w:bCs/>
                <w:sz w:val="24"/>
                <w:highlight w:val="none"/>
              </w:rPr>
              <w:t>　</w:t>
            </w:r>
          </w:p>
        </w:tc>
        <w:tc>
          <w:tcPr>
            <w:tcW w:w="850" w:type="dxa"/>
            <w:tcBorders>
              <w:top w:val="nil"/>
              <w:left w:val="nil"/>
              <w:bottom w:val="single" w:color="auto" w:sz="4" w:space="0"/>
              <w:right w:val="single" w:color="auto" w:sz="4" w:space="0"/>
            </w:tcBorders>
            <w:vAlign w:val="center"/>
          </w:tcPr>
          <w:p w14:paraId="58C3189E">
            <w:pPr>
              <w:widowControl/>
              <w:jc w:val="left"/>
              <w:rPr>
                <w:rFonts w:ascii="宋体" w:hAnsi="宋体" w:cs="宋体"/>
                <w:bCs/>
                <w:sz w:val="24"/>
                <w:highlight w:val="none"/>
              </w:rPr>
            </w:pPr>
            <w:r>
              <w:rPr>
                <w:rFonts w:hint="eastAsia" w:ascii="宋体" w:hAnsi="宋体" w:cs="宋体"/>
                <w:bCs/>
                <w:sz w:val="24"/>
                <w:highlight w:val="none"/>
              </w:rPr>
              <w:t>　</w:t>
            </w:r>
          </w:p>
        </w:tc>
      </w:tr>
      <w:tr w14:paraId="520D044C">
        <w:tblPrEx>
          <w:tblCellMar>
            <w:top w:w="0" w:type="dxa"/>
            <w:left w:w="108" w:type="dxa"/>
            <w:bottom w:w="0" w:type="dxa"/>
            <w:right w:w="108" w:type="dxa"/>
          </w:tblCellMar>
        </w:tblPrEx>
        <w:trPr>
          <w:trHeight w:val="522" w:hRule="atLeast"/>
        </w:trPr>
        <w:tc>
          <w:tcPr>
            <w:tcW w:w="2144" w:type="dxa"/>
            <w:tcBorders>
              <w:top w:val="nil"/>
              <w:left w:val="single" w:color="auto" w:sz="4" w:space="0"/>
              <w:bottom w:val="single" w:color="auto" w:sz="4" w:space="0"/>
              <w:right w:val="single" w:color="auto" w:sz="4" w:space="0"/>
            </w:tcBorders>
            <w:vAlign w:val="center"/>
          </w:tcPr>
          <w:p w14:paraId="3876408C">
            <w:pPr>
              <w:widowControl/>
              <w:jc w:val="left"/>
              <w:rPr>
                <w:rFonts w:ascii="宋体" w:hAnsi="宋体" w:cs="宋体"/>
                <w:bCs/>
                <w:sz w:val="24"/>
                <w:highlight w:val="none"/>
              </w:rPr>
            </w:pPr>
            <w:r>
              <w:rPr>
                <w:rFonts w:hint="eastAsia" w:ascii="宋体" w:hAnsi="宋体" w:cs="宋体"/>
                <w:bCs/>
                <w:sz w:val="24"/>
                <w:highlight w:val="none"/>
              </w:rPr>
              <w:t>关键设备</w:t>
            </w:r>
            <w:r>
              <w:rPr>
                <w:rFonts w:ascii="宋体" w:hAnsi="宋体" w:cs="宋体"/>
                <w:bCs/>
                <w:sz w:val="24"/>
                <w:highlight w:val="none"/>
              </w:rPr>
              <w:t>2</w:t>
            </w:r>
          </w:p>
        </w:tc>
        <w:tc>
          <w:tcPr>
            <w:tcW w:w="850" w:type="dxa"/>
            <w:tcBorders>
              <w:top w:val="nil"/>
              <w:left w:val="nil"/>
              <w:bottom w:val="single" w:color="auto" w:sz="4" w:space="0"/>
              <w:right w:val="single" w:color="auto" w:sz="4" w:space="0"/>
            </w:tcBorders>
            <w:vAlign w:val="center"/>
          </w:tcPr>
          <w:p w14:paraId="2FE49A8E">
            <w:pPr>
              <w:widowControl/>
              <w:jc w:val="left"/>
              <w:rPr>
                <w:rFonts w:ascii="宋体" w:hAnsi="宋体" w:cs="宋体"/>
                <w:bCs/>
                <w:sz w:val="24"/>
                <w:highlight w:val="none"/>
              </w:rPr>
            </w:pPr>
            <w:r>
              <w:rPr>
                <w:rFonts w:hint="eastAsia" w:ascii="宋体" w:hAnsi="宋体" w:cs="宋体"/>
                <w:bCs/>
                <w:sz w:val="24"/>
                <w:highlight w:val="none"/>
              </w:rPr>
              <w:t>　</w:t>
            </w:r>
          </w:p>
        </w:tc>
        <w:tc>
          <w:tcPr>
            <w:tcW w:w="1276" w:type="dxa"/>
            <w:tcBorders>
              <w:top w:val="nil"/>
              <w:left w:val="nil"/>
              <w:bottom w:val="single" w:color="auto" w:sz="4" w:space="0"/>
              <w:right w:val="single" w:color="auto" w:sz="4" w:space="0"/>
            </w:tcBorders>
            <w:vAlign w:val="center"/>
          </w:tcPr>
          <w:p w14:paraId="42F62453">
            <w:pPr>
              <w:widowControl/>
              <w:jc w:val="left"/>
              <w:rPr>
                <w:rFonts w:ascii="宋体" w:hAnsi="宋体" w:cs="宋体"/>
                <w:bCs/>
                <w:sz w:val="24"/>
                <w:highlight w:val="none"/>
              </w:rPr>
            </w:pPr>
            <w:r>
              <w:rPr>
                <w:rFonts w:hint="eastAsia" w:ascii="宋体" w:hAnsi="宋体" w:cs="宋体"/>
                <w:bCs/>
                <w:sz w:val="24"/>
                <w:highlight w:val="none"/>
              </w:rPr>
              <w:t>　</w:t>
            </w:r>
          </w:p>
        </w:tc>
        <w:tc>
          <w:tcPr>
            <w:tcW w:w="1134" w:type="dxa"/>
            <w:tcBorders>
              <w:top w:val="nil"/>
              <w:left w:val="nil"/>
              <w:bottom w:val="single" w:color="auto" w:sz="4" w:space="0"/>
              <w:right w:val="single" w:color="auto" w:sz="4" w:space="0"/>
            </w:tcBorders>
            <w:vAlign w:val="center"/>
          </w:tcPr>
          <w:p w14:paraId="4EAA38FF">
            <w:pPr>
              <w:widowControl/>
              <w:jc w:val="left"/>
              <w:rPr>
                <w:rFonts w:ascii="宋体" w:hAnsi="宋体" w:cs="宋体"/>
                <w:bCs/>
                <w:sz w:val="24"/>
                <w:highlight w:val="none"/>
              </w:rPr>
            </w:pPr>
            <w:r>
              <w:rPr>
                <w:rFonts w:hint="eastAsia" w:ascii="宋体" w:hAnsi="宋体" w:cs="宋体"/>
                <w:bCs/>
                <w:sz w:val="24"/>
                <w:highlight w:val="none"/>
              </w:rPr>
              <w:t>　</w:t>
            </w:r>
          </w:p>
        </w:tc>
        <w:tc>
          <w:tcPr>
            <w:tcW w:w="2126" w:type="dxa"/>
            <w:tcBorders>
              <w:top w:val="nil"/>
              <w:left w:val="nil"/>
              <w:bottom w:val="single" w:color="auto" w:sz="4" w:space="0"/>
              <w:right w:val="single" w:color="auto" w:sz="4" w:space="0"/>
            </w:tcBorders>
            <w:vAlign w:val="center"/>
          </w:tcPr>
          <w:p w14:paraId="30E8A429">
            <w:pPr>
              <w:widowControl/>
              <w:jc w:val="left"/>
              <w:rPr>
                <w:rFonts w:ascii="宋体" w:hAnsi="宋体" w:cs="宋体"/>
                <w:bCs/>
                <w:sz w:val="24"/>
                <w:highlight w:val="none"/>
              </w:rPr>
            </w:pPr>
            <w:r>
              <w:rPr>
                <w:rFonts w:hint="eastAsia" w:ascii="宋体" w:hAnsi="宋体" w:cs="宋体"/>
                <w:bCs/>
                <w:sz w:val="24"/>
                <w:highlight w:val="none"/>
              </w:rPr>
              <w:t>　</w:t>
            </w:r>
          </w:p>
        </w:tc>
        <w:tc>
          <w:tcPr>
            <w:tcW w:w="851" w:type="dxa"/>
            <w:tcBorders>
              <w:top w:val="nil"/>
              <w:left w:val="nil"/>
              <w:bottom w:val="single" w:color="auto" w:sz="4" w:space="0"/>
              <w:right w:val="single" w:color="auto" w:sz="4" w:space="0"/>
            </w:tcBorders>
            <w:vAlign w:val="center"/>
          </w:tcPr>
          <w:p w14:paraId="108B8ED3">
            <w:pPr>
              <w:widowControl/>
              <w:jc w:val="left"/>
              <w:rPr>
                <w:rFonts w:ascii="宋体" w:hAnsi="宋体" w:cs="宋体"/>
                <w:bCs/>
                <w:sz w:val="24"/>
                <w:highlight w:val="none"/>
              </w:rPr>
            </w:pPr>
            <w:r>
              <w:rPr>
                <w:rFonts w:hint="eastAsia" w:ascii="宋体" w:hAnsi="宋体" w:cs="宋体"/>
                <w:bCs/>
                <w:sz w:val="24"/>
                <w:highlight w:val="none"/>
              </w:rPr>
              <w:t>　</w:t>
            </w:r>
          </w:p>
        </w:tc>
        <w:tc>
          <w:tcPr>
            <w:tcW w:w="850" w:type="dxa"/>
            <w:tcBorders>
              <w:top w:val="nil"/>
              <w:left w:val="nil"/>
              <w:bottom w:val="single" w:color="auto" w:sz="4" w:space="0"/>
              <w:right w:val="single" w:color="auto" w:sz="4" w:space="0"/>
            </w:tcBorders>
            <w:vAlign w:val="center"/>
          </w:tcPr>
          <w:p w14:paraId="24C746C0">
            <w:pPr>
              <w:widowControl/>
              <w:jc w:val="left"/>
              <w:rPr>
                <w:rFonts w:ascii="宋体" w:hAnsi="宋体" w:cs="宋体"/>
                <w:bCs/>
                <w:sz w:val="24"/>
                <w:highlight w:val="none"/>
              </w:rPr>
            </w:pPr>
            <w:r>
              <w:rPr>
                <w:rFonts w:hint="eastAsia" w:ascii="宋体" w:hAnsi="宋体" w:cs="宋体"/>
                <w:bCs/>
                <w:sz w:val="24"/>
                <w:highlight w:val="none"/>
              </w:rPr>
              <w:t>　</w:t>
            </w:r>
          </w:p>
        </w:tc>
      </w:tr>
      <w:tr w14:paraId="01843C1E">
        <w:tblPrEx>
          <w:tblCellMar>
            <w:top w:w="0" w:type="dxa"/>
            <w:left w:w="108" w:type="dxa"/>
            <w:bottom w:w="0" w:type="dxa"/>
            <w:right w:w="108" w:type="dxa"/>
          </w:tblCellMar>
        </w:tblPrEx>
        <w:trPr>
          <w:trHeight w:val="522" w:hRule="atLeast"/>
        </w:trPr>
        <w:tc>
          <w:tcPr>
            <w:tcW w:w="2144" w:type="dxa"/>
            <w:tcBorders>
              <w:top w:val="nil"/>
              <w:left w:val="single" w:color="auto" w:sz="4" w:space="0"/>
              <w:bottom w:val="single" w:color="auto" w:sz="4" w:space="0"/>
              <w:right w:val="single" w:color="auto" w:sz="4" w:space="0"/>
            </w:tcBorders>
            <w:vAlign w:val="center"/>
          </w:tcPr>
          <w:p w14:paraId="5C8571A7">
            <w:pPr>
              <w:widowControl/>
              <w:jc w:val="left"/>
              <w:rPr>
                <w:rFonts w:ascii="宋体" w:hAnsi="宋体" w:cs="宋体"/>
                <w:bCs/>
                <w:sz w:val="24"/>
                <w:highlight w:val="none"/>
              </w:rPr>
            </w:pPr>
            <w:r>
              <w:rPr>
                <w:rFonts w:hint="eastAsia" w:ascii="宋体" w:hAnsi="宋体" w:cs="宋体"/>
                <w:bCs/>
                <w:sz w:val="24"/>
                <w:highlight w:val="none"/>
              </w:rPr>
              <w:t>关键设备</w:t>
            </w:r>
            <w:r>
              <w:rPr>
                <w:rFonts w:ascii="宋体" w:hAnsi="宋体" w:cs="宋体"/>
                <w:bCs/>
                <w:sz w:val="24"/>
                <w:highlight w:val="none"/>
              </w:rPr>
              <w:t>2</w:t>
            </w:r>
          </w:p>
        </w:tc>
        <w:tc>
          <w:tcPr>
            <w:tcW w:w="850" w:type="dxa"/>
            <w:tcBorders>
              <w:top w:val="nil"/>
              <w:left w:val="nil"/>
              <w:bottom w:val="single" w:color="auto" w:sz="4" w:space="0"/>
              <w:right w:val="single" w:color="auto" w:sz="4" w:space="0"/>
            </w:tcBorders>
            <w:vAlign w:val="center"/>
          </w:tcPr>
          <w:p w14:paraId="6C821C42">
            <w:pPr>
              <w:widowControl/>
              <w:jc w:val="left"/>
              <w:rPr>
                <w:rFonts w:ascii="宋体" w:hAnsi="宋体" w:cs="宋体"/>
                <w:bCs/>
                <w:sz w:val="24"/>
                <w:highlight w:val="none"/>
              </w:rPr>
            </w:pPr>
            <w:r>
              <w:rPr>
                <w:rFonts w:hint="eastAsia" w:ascii="宋体" w:hAnsi="宋体" w:cs="宋体"/>
                <w:bCs/>
                <w:sz w:val="24"/>
                <w:highlight w:val="none"/>
              </w:rPr>
              <w:t>　</w:t>
            </w:r>
          </w:p>
        </w:tc>
        <w:tc>
          <w:tcPr>
            <w:tcW w:w="1276" w:type="dxa"/>
            <w:tcBorders>
              <w:top w:val="nil"/>
              <w:left w:val="nil"/>
              <w:bottom w:val="single" w:color="auto" w:sz="4" w:space="0"/>
              <w:right w:val="single" w:color="auto" w:sz="4" w:space="0"/>
            </w:tcBorders>
            <w:vAlign w:val="center"/>
          </w:tcPr>
          <w:p w14:paraId="7BD6F7A7">
            <w:pPr>
              <w:widowControl/>
              <w:jc w:val="left"/>
              <w:rPr>
                <w:rFonts w:ascii="宋体" w:hAnsi="宋体" w:cs="宋体"/>
                <w:bCs/>
                <w:sz w:val="24"/>
                <w:highlight w:val="none"/>
              </w:rPr>
            </w:pPr>
            <w:r>
              <w:rPr>
                <w:rFonts w:hint="eastAsia" w:ascii="宋体" w:hAnsi="宋体" w:cs="宋体"/>
                <w:bCs/>
                <w:sz w:val="24"/>
                <w:highlight w:val="none"/>
              </w:rPr>
              <w:t>　</w:t>
            </w:r>
          </w:p>
        </w:tc>
        <w:tc>
          <w:tcPr>
            <w:tcW w:w="1134" w:type="dxa"/>
            <w:tcBorders>
              <w:top w:val="nil"/>
              <w:left w:val="nil"/>
              <w:bottom w:val="single" w:color="auto" w:sz="4" w:space="0"/>
              <w:right w:val="single" w:color="auto" w:sz="4" w:space="0"/>
            </w:tcBorders>
            <w:vAlign w:val="center"/>
          </w:tcPr>
          <w:p w14:paraId="497BDBAA">
            <w:pPr>
              <w:widowControl/>
              <w:jc w:val="left"/>
              <w:rPr>
                <w:rFonts w:ascii="宋体" w:hAnsi="宋体" w:cs="宋体"/>
                <w:bCs/>
                <w:sz w:val="24"/>
                <w:highlight w:val="none"/>
              </w:rPr>
            </w:pPr>
            <w:r>
              <w:rPr>
                <w:rFonts w:hint="eastAsia" w:ascii="宋体" w:hAnsi="宋体" w:cs="宋体"/>
                <w:bCs/>
                <w:sz w:val="24"/>
                <w:highlight w:val="none"/>
              </w:rPr>
              <w:t>　</w:t>
            </w:r>
          </w:p>
        </w:tc>
        <w:tc>
          <w:tcPr>
            <w:tcW w:w="2126" w:type="dxa"/>
            <w:tcBorders>
              <w:top w:val="nil"/>
              <w:left w:val="nil"/>
              <w:bottom w:val="single" w:color="auto" w:sz="4" w:space="0"/>
              <w:right w:val="single" w:color="auto" w:sz="4" w:space="0"/>
            </w:tcBorders>
            <w:vAlign w:val="center"/>
          </w:tcPr>
          <w:p w14:paraId="79DD1C92">
            <w:pPr>
              <w:widowControl/>
              <w:jc w:val="left"/>
              <w:rPr>
                <w:rFonts w:ascii="宋体" w:hAnsi="宋体" w:cs="宋体"/>
                <w:bCs/>
                <w:sz w:val="24"/>
                <w:highlight w:val="none"/>
              </w:rPr>
            </w:pPr>
            <w:r>
              <w:rPr>
                <w:rFonts w:hint="eastAsia" w:ascii="宋体" w:hAnsi="宋体" w:cs="宋体"/>
                <w:bCs/>
                <w:sz w:val="24"/>
                <w:highlight w:val="none"/>
              </w:rPr>
              <w:t>　</w:t>
            </w:r>
          </w:p>
        </w:tc>
        <w:tc>
          <w:tcPr>
            <w:tcW w:w="851" w:type="dxa"/>
            <w:tcBorders>
              <w:top w:val="nil"/>
              <w:left w:val="nil"/>
              <w:bottom w:val="single" w:color="auto" w:sz="4" w:space="0"/>
              <w:right w:val="single" w:color="auto" w:sz="4" w:space="0"/>
            </w:tcBorders>
            <w:vAlign w:val="center"/>
          </w:tcPr>
          <w:p w14:paraId="0EB85D5C">
            <w:pPr>
              <w:widowControl/>
              <w:jc w:val="left"/>
              <w:rPr>
                <w:rFonts w:ascii="宋体" w:hAnsi="宋体" w:cs="宋体"/>
                <w:bCs/>
                <w:sz w:val="24"/>
                <w:highlight w:val="none"/>
              </w:rPr>
            </w:pPr>
            <w:r>
              <w:rPr>
                <w:rFonts w:hint="eastAsia" w:ascii="宋体" w:hAnsi="宋体" w:cs="宋体"/>
                <w:bCs/>
                <w:sz w:val="24"/>
                <w:highlight w:val="none"/>
              </w:rPr>
              <w:t>　</w:t>
            </w:r>
          </w:p>
        </w:tc>
        <w:tc>
          <w:tcPr>
            <w:tcW w:w="850" w:type="dxa"/>
            <w:tcBorders>
              <w:top w:val="nil"/>
              <w:left w:val="nil"/>
              <w:bottom w:val="single" w:color="auto" w:sz="4" w:space="0"/>
              <w:right w:val="single" w:color="auto" w:sz="4" w:space="0"/>
            </w:tcBorders>
            <w:vAlign w:val="center"/>
          </w:tcPr>
          <w:p w14:paraId="362F9C88">
            <w:pPr>
              <w:widowControl/>
              <w:jc w:val="left"/>
              <w:rPr>
                <w:rFonts w:ascii="宋体" w:hAnsi="宋体" w:cs="宋体"/>
                <w:bCs/>
                <w:sz w:val="24"/>
                <w:highlight w:val="none"/>
              </w:rPr>
            </w:pPr>
            <w:r>
              <w:rPr>
                <w:rFonts w:hint="eastAsia" w:ascii="宋体" w:hAnsi="宋体" w:cs="宋体"/>
                <w:bCs/>
                <w:sz w:val="24"/>
                <w:highlight w:val="none"/>
              </w:rPr>
              <w:t>　</w:t>
            </w:r>
          </w:p>
        </w:tc>
      </w:tr>
      <w:tr w14:paraId="42DAB72B">
        <w:tblPrEx>
          <w:tblCellMar>
            <w:top w:w="0" w:type="dxa"/>
            <w:left w:w="108" w:type="dxa"/>
            <w:bottom w:w="0" w:type="dxa"/>
            <w:right w:w="108" w:type="dxa"/>
          </w:tblCellMar>
        </w:tblPrEx>
        <w:trPr>
          <w:trHeight w:val="271" w:hRule="atLeast"/>
        </w:trPr>
        <w:tc>
          <w:tcPr>
            <w:tcW w:w="2144" w:type="dxa"/>
            <w:tcBorders>
              <w:top w:val="nil"/>
              <w:left w:val="single" w:color="auto" w:sz="4" w:space="0"/>
              <w:bottom w:val="single" w:color="auto" w:sz="4" w:space="0"/>
              <w:right w:val="single" w:color="auto" w:sz="4" w:space="0"/>
            </w:tcBorders>
            <w:vAlign w:val="center"/>
          </w:tcPr>
          <w:p w14:paraId="366823D7">
            <w:pPr>
              <w:widowControl/>
              <w:jc w:val="left"/>
              <w:rPr>
                <w:rFonts w:ascii="宋体" w:hAnsi="宋体" w:cs="宋体"/>
                <w:bCs/>
                <w:sz w:val="24"/>
                <w:highlight w:val="none"/>
              </w:rPr>
            </w:pPr>
            <w:r>
              <w:rPr>
                <w:rFonts w:hint="eastAsia" w:ascii="宋体" w:hAnsi="宋体" w:cs="宋体"/>
                <w:bCs/>
                <w:sz w:val="24"/>
                <w:highlight w:val="none"/>
              </w:rPr>
              <w:t>……</w:t>
            </w:r>
          </w:p>
        </w:tc>
        <w:tc>
          <w:tcPr>
            <w:tcW w:w="850" w:type="dxa"/>
            <w:tcBorders>
              <w:top w:val="nil"/>
              <w:left w:val="nil"/>
              <w:bottom w:val="single" w:color="auto" w:sz="4" w:space="0"/>
              <w:right w:val="single" w:color="auto" w:sz="4" w:space="0"/>
            </w:tcBorders>
            <w:vAlign w:val="center"/>
          </w:tcPr>
          <w:p w14:paraId="69EA99A3">
            <w:pPr>
              <w:widowControl/>
              <w:jc w:val="left"/>
              <w:rPr>
                <w:rFonts w:ascii="宋体" w:hAnsi="宋体" w:cs="宋体"/>
                <w:bCs/>
                <w:sz w:val="24"/>
                <w:highlight w:val="none"/>
              </w:rPr>
            </w:pPr>
            <w:r>
              <w:rPr>
                <w:rFonts w:hint="eastAsia" w:ascii="宋体" w:hAnsi="宋体" w:cs="宋体"/>
                <w:bCs/>
                <w:sz w:val="24"/>
                <w:highlight w:val="none"/>
              </w:rPr>
              <w:t>　</w:t>
            </w:r>
          </w:p>
        </w:tc>
        <w:tc>
          <w:tcPr>
            <w:tcW w:w="1276" w:type="dxa"/>
            <w:tcBorders>
              <w:top w:val="nil"/>
              <w:left w:val="nil"/>
              <w:bottom w:val="single" w:color="auto" w:sz="4" w:space="0"/>
              <w:right w:val="single" w:color="auto" w:sz="4" w:space="0"/>
            </w:tcBorders>
            <w:vAlign w:val="center"/>
          </w:tcPr>
          <w:p w14:paraId="672C5061">
            <w:pPr>
              <w:widowControl/>
              <w:jc w:val="left"/>
              <w:rPr>
                <w:rFonts w:ascii="宋体" w:hAnsi="宋体" w:cs="宋体"/>
                <w:bCs/>
                <w:sz w:val="24"/>
                <w:highlight w:val="none"/>
              </w:rPr>
            </w:pPr>
            <w:r>
              <w:rPr>
                <w:rFonts w:hint="eastAsia" w:ascii="宋体" w:hAnsi="宋体" w:cs="宋体"/>
                <w:bCs/>
                <w:sz w:val="24"/>
                <w:highlight w:val="none"/>
              </w:rPr>
              <w:t>　</w:t>
            </w:r>
          </w:p>
        </w:tc>
        <w:tc>
          <w:tcPr>
            <w:tcW w:w="1134" w:type="dxa"/>
            <w:tcBorders>
              <w:top w:val="nil"/>
              <w:left w:val="nil"/>
              <w:bottom w:val="single" w:color="auto" w:sz="4" w:space="0"/>
              <w:right w:val="single" w:color="auto" w:sz="4" w:space="0"/>
            </w:tcBorders>
            <w:vAlign w:val="center"/>
          </w:tcPr>
          <w:p w14:paraId="23B94BC3">
            <w:pPr>
              <w:widowControl/>
              <w:jc w:val="left"/>
              <w:rPr>
                <w:rFonts w:ascii="宋体" w:hAnsi="宋体" w:cs="宋体"/>
                <w:bCs/>
                <w:sz w:val="24"/>
                <w:highlight w:val="none"/>
              </w:rPr>
            </w:pPr>
            <w:r>
              <w:rPr>
                <w:rFonts w:hint="eastAsia" w:ascii="宋体" w:hAnsi="宋体" w:cs="宋体"/>
                <w:bCs/>
                <w:sz w:val="24"/>
                <w:highlight w:val="none"/>
              </w:rPr>
              <w:t>　</w:t>
            </w:r>
          </w:p>
        </w:tc>
        <w:tc>
          <w:tcPr>
            <w:tcW w:w="2126" w:type="dxa"/>
            <w:tcBorders>
              <w:top w:val="nil"/>
              <w:left w:val="nil"/>
              <w:bottom w:val="single" w:color="auto" w:sz="4" w:space="0"/>
              <w:right w:val="single" w:color="auto" w:sz="4" w:space="0"/>
            </w:tcBorders>
            <w:vAlign w:val="center"/>
          </w:tcPr>
          <w:p w14:paraId="7BD8785C">
            <w:pPr>
              <w:widowControl/>
              <w:jc w:val="left"/>
              <w:rPr>
                <w:rFonts w:ascii="宋体" w:hAnsi="宋体" w:cs="宋体"/>
                <w:bCs/>
                <w:sz w:val="24"/>
                <w:highlight w:val="none"/>
              </w:rPr>
            </w:pPr>
            <w:r>
              <w:rPr>
                <w:rFonts w:hint="eastAsia" w:ascii="宋体" w:hAnsi="宋体" w:cs="宋体"/>
                <w:bCs/>
                <w:sz w:val="24"/>
                <w:highlight w:val="none"/>
              </w:rPr>
              <w:t>　</w:t>
            </w:r>
          </w:p>
        </w:tc>
        <w:tc>
          <w:tcPr>
            <w:tcW w:w="851" w:type="dxa"/>
            <w:tcBorders>
              <w:top w:val="nil"/>
              <w:left w:val="nil"/>
              <w:bottom w:val="single" w:color="auto" w:sz="4" w:space="0"/>
              <w:right w:val="single" w:color="auto" w:sz="4" w:space="0"/>
            </w:tcBorders>
            <w:vAlign w:val="center"/>
          </w:tcPr>
          <w:p w14:paraId="1D85C4F3">
            <w:pPr>
              <w:widowControl/>
              <w:jc w:val="left"/>
              <w:rPr>
                <w:rFonts w:ascii="宋体" w:hAnsi="宋体" w:cs="宋体"/>
                <w:bCs/>
                <w:sz w:val="24"/>
                <w:highlight w:val="none"/>
              </w:rPr>
            </w:pPr>
            <w:r>
              <w:rPr>
                <w:rFonts w:hint="eastAsia" w:ascii="宋体" w:hAnsi="宋体" w:cs="宋体"/>
                <w:bCs/>
                <w:sz w:val="24"/>
                <w:highlight w:val="none"/>
              </w:rPr>
              <w:t>　</w:t>
            </w:r>
          </w:p>
        </w:tc>
        <w:tc>
          <w:tcPr>
            <w:tcW w:w="850" w:type="dxa"/>
            <w:tcBorders>
              <w:top w:val="nil"/>
              <w:left w:val="nil"/>
              <w:bottom w:val="single" w:color="auto" w:sz="4" w:space="0"/>
              <w:right w:val="single" w:color="auto" w:sz="4" w:space="0"/>
            </w:tcBorders>
            <w:vAlign w:val="center"/>
          </w:tcPr>
          <w:p w14:paraId="777C00C2">
            <w:pPr>
              <w:widowControl/>
              <w:jc w:val="left"/>
              <w:rPr>
                <w:rFonts w:ascii="宋体" w:hAnsi="宋体" w:cs="宋体"/>
                <w:bCs/>
                <w:sz w:val="24"/>
                <w:highlight w:val="none"/>
              </w:rPr>
            </w:pPr>
            <w:r>
              <w:rPr>
                <w:rFonts w:hint="eastAsia" w:ascii="宋体" w:hAnsi="宋体" w:cs="宋体"/>
                <w:bCs/>
                <w:sz w:val="24"/>
                <w:highlight w:val="none"/>
              </w:rPr>
              <w:t>　</w:t>
            </w:r>
          </w:p>
        </w:tc>
      </w:tr>
      <w:tr w14:paraId="1E0B4A6E">
        <w:tblPrEx>
          <w:tblCellMar>
            <w:top w:w="0" w:type="dxa"/>
            <w:left w:w="108" w:type="dxa"/>
            <w:bottom w:w="0" w:type="dxa"/>
            <w:right w:w="108" w:type="dxa"/>
          </w:tblCellMar>
        </w:tblPrEx>
        <w:trPr>
          <w:trHeight w:val="522" w:hRule="atLeast"/>
        </w:trPr>
        <w:tc>
          <w:tcPr>
            <w:tcW w:w="2144" w:type="dxa"/>
            <w:tcBorders>
              <w:top w:val="nil"/>
              <w:left w:val="single" w:color="auto" w:sz="4" w:space="0"/>
              <w:bottom w:val="single" w:color="auto" w:sz="4" w:space="0"/>
              <w:right w:val="single" w:color="auto" w:sz="4" w:space="0"/>
            </w:tcBorders>
            <w:vAlign w:val="center"/>
          </w:tcPr>
          <w:p w14:paraId="66AB8EA0">
            <w:pPr>
              <w:widowControl/>
              <w:jc w:val="left"/>
              <w:rPr>
                <w:rFonts w:ascii="宋体" w:hAnsi="宋体" w:cs="宋体"/>
                <w:bCs/>
                <w:sz w:val="24"/>
                <w:highlight w:val="none"/>
              </w:rPr>
            </w:pPr>
            <w:r>
              <w:rPr>
                <w:rFonts w:hint="eastAsia" w:ascii="宋体" w:hAnsi="宋体" w:cs="宋体"/>
                <w:bCs/>
                <w:sz w:val="24"/>
                <w:highlight w:val="none"/>
              </w:rPr>
              <w:t>关键设备</w:t>
            </w:r>
            <w:r>
              <w:rPr>
                <w:rFonts w:ascii="宋体" w:hAnsi="宋体" w:cs="宋体"/>
                <w:bCs/>
                <w:sz w:val="24"/>
                <w:highlight w:val="none"/>
              </w:rPr>
              <w:t>3合计</w:t>
            </w:r>
          </w:p>
        </w:tc>
        <w:tc>
          <w:tcPr>
            <w:tcW w:w="850" w:type="dxa"/>
            <w:tcBorders>
              <w:top w:val="nil"/>
              <w:left w:val="nil"/>
              <w:bottom w:val="single" w:color="auto" w:sz="4" w:space="0"/>
              <w:right w:val="single" w:color="auto" w:sz="4" w:space="0"/>
            </w:tcBorders>
            <w:vAlign w:val="center"/>
          </w:tcPr>
          <w:p w14:paraId="343A99D0">
            <w:pPr>
              <w:widowControl/>
              <w:jc w:val="left"/>
              <w:rPr>
                <w:rFonts w:ascii="宋体" w:hAnsi="宋体" w:cs="宋体"/>
                <w:bCs/>
                <w:sz w:val="24"/>
                <w:highlight w:val="none"/>
              </w:rPr>
            </w:pPr>
            <w:r>
              <w:rPr>
                <w:rFonts w:hint="eastAsia" w:ascii="宋体" w:hAnsi="宋体" w:cs="宋体"/>
                <w:bCs/>
                <w:sz w:val="24"/>
                <w:highlight w:val="none"/>
              </w:rPr>
              <w:t>　</w:t>
            </w:r>
          </w:p>
        </w:tc>
        <w:tc>
          <w:tcPr>
            <w:tcW w:w="1276" w:type="dxa"/>
            <w:tcBorders>
              <w:top w:val="nil"/>
              <w:left w:val="nil"/>
              <w:bottom w:val="single" w:color="auto" w:sz="4" w:space="0"/>
              <w:right w:val="single" w:color="auto" w:sz="4" w:space="0"/>
            </w:tcBorders>
            <w:vAlign w:val="center"/>
          </w:tcPr>
          <w:p w14:paraId="04911B97">
            <w:pPr>
              <w:widowControl/>
              <w:jc w:val="left"/>
              <w:rPr>
                <w:rFonts w:ascii="宋体" w:hAnsi="宋体" w:cs="宋体"/>
                <w:bCs/>
                <w:sz w:val="24"/>
                <w:highlight w:val="none"/>
              </w:rPr>
            </w:pPr>
            <w:r>
              <w:rPr>
                <w:rFonts w:hint="eastAsia" w:ascii="宋体" w:hAnsi="宋体" w:cs="宋体"/>
                <w:bCs/>
                <w:sz w:val="24"/>
                <w:highlight w:val="none"/>
              </w:rPr>
              <w:t>　</w:t>
            </w:r>
          </w:p>
        </w:tc>
        <w:tc>
          <w:tcPr>
            <w:tcW w:w="1134" w:type="dxa"/>
            <w:tcBorders>
              <w:top w:val="nil"/>
              <w:left w:val="nil"/>
              <w:bottom w:val="single" w:color="auto" w:sz="4" w:space="0"/>
              <w:right w:val="single" w:color="auto" w:sz="4" w:space="0"/>
            </w:tcBorders>
            <w:vAlign w:val="center"/>
          </w:tcPr>
          <w:p w14:paraId="19487810">
            <w:pPr>
              <w:widowControl/>
              <w:jc w:val="left"/>
              <w:rPr>
                <w:rFonts w:ascii="宋体" w:hAnsi="宋体" w:cs="宋体"/>
                <w:bCs/>
                <w:sz w:val="24"/>
                <w:highlight w:val="none"/>
              </w:rPr>
            </w:pPr>
            <w:r>
              <w:rPr>
                <w:rFonts w:hint="eastAsia" w:ascii="宋体" w:hAnsi="宋体" w:cs="宋体"/>
                <w:bCs/>
                <w:sz w:val="24"/>
                <w:highlight w:val="none"/>
              </w:rPr>
              <w:t>　</w:t>
            </w:r>
          </w:p>
        </w:tc>
        <w:tc>
          <w:tcPr>
            <w:tcW w:w="2126" w:type="dxa"/>
            <w:tcBorders>
              <w:top w:val="nil"/>
              <w:left w:val="nil"/>
              <w:bottom w:val="single" w:color="auto" w:sz="4" w:space="0"/>
              <w:right w:val="single" w:color="auto" w:sz="4" w:space="0"/>
            </w:tcBorders>
            <w:vAlign w:val="center"/>
          </w:tcPr>
          <w:p w14:paraId="78EEE609">
            <w:pPr>
              <w:widowControl/>
              <w:jc w:val="left"/>
              <w:rPr>
                <w:rFonts w:ascii="宋体" w:hAnsi="宋体" w:cs="宋体"/>
                <w:bCs/>
                <w:sz w:val="24"/>
                <w:highlight w:val="none"/>
              </w:rPr>
            </w:pPr>
            <w:r>
              <w:rPr>
                <w:rFonts w:hint="eastAsia" w:ascii="宋体" w:hAnsi="宋体" w:cs="宋体"/>
                <w:bCs/>
                <w:sz w:val="24"/>
                <w:highlight w:val="none"/>
              </w:rPr>
              <w:t>　</w:t>
            </w:r>
          </w:p>
        </w:tc>
        <w:tc>
          <w:tcPr>
            <w:tcW w:w="851" w:type="dxa"/>
            <w:tcBorders>
              <w:top w:val="nil"/>
              <w:left w:val="nil"/>
              <w:bottom w:val="single" w:color="auto" w:sz="4" w:space="0"/>
              <w:right w:val="single" w:color="auto" w:sz="4" w:space="0"/>
            </w:tcBorders>
            <w:vAlign w:val="center"/>
          </w:tcPr>
          <w:p w14:paraId="48A30169">
            <w:pPr>
              <w:widowControl/>
              <w:jc w:val="left"/>
              <w:rPr>
                <w:rFonts w:ascii="宋体" w:hAnsi="宋体" w:cs="宋体"/>
                <w:bCs/>
                <w:sz w:val="24"/>
                <w:highlight w:val="none"/>
              </w:rPr>
            </w:pPr>
            <w:r>
              <w:rPr>
                <w:rFonts w:hint="eastAsia" w:ascii="宋体" w:hAnsi="宋体" w:cs="宋体"/>
                <w:bCs/>
                <w:sz w:val="24"/>
                <w:highlight w:val="none"/>
              </w:rPr>
              <w:t>　</w:t>
            </w:r>
          </w:p>
        </w:tc>
        <w:tc>
          <w:tcPr>
            <w:tcW w:w="850" w:type="dxa"/>
            <w:tcBorders>
              <w:top w:val="nil"/>
              <w:left w:val="nil"/>
              <w:bottom w:val="single" w:color="auto" w:sz="4" w:space="0"/>
              <w:right w:val="single" w:color="auto" w:sz="4" w:space="0"/>
            </w:tcBorders>
            <w:vAlign w:val="center"/>
          </w:tcPr>
          <w:p w14:paraId="2256AB96">
            <w:pPr>
              <w:widowControl/>
              <w:jc w:val="left"/>
              <w:rPr>
                <w:rFonts w:ascii="宋体" w:hAnsi="宋体" w:cs="宋体"/>
                <w:bCs/>
                <w:sz w:val="24"/>
                <w:highlight w:val="none"/>
              </w:rPr>
            </w:pPr>
            <w:r>
              <w:rPr>
                <w:rFonts w:hint="eastAsia" w:ascii="宋体" w:hAnsi="宋体" w:cs="宋体"/>
                <w:bCs/>
                <w:sz w:val="24"/>
                <w:highlight w:val="none"/>
              </w:rPr>
              <w:t>　</w:t>
            </w:r>
          </w:p>
        </w:tc>
      </w:tr>
      <w:tr w14:paraId="6CF72D17">
        <w:tblPrEx>
          <w:tblCellMar>
            <w:top w:w="0" w:type="dxa"/>
            <w:left w:w="108" w:type="dxa"/>
            <w:bottom w:w="0" w:type="dxa"/>
            <w:right w:w="108" w:type="dxa"/>
          </w:tblCellMar>
        </w:tblPrEx>
        <w:trPr>
          <w:trHeight w:val="522" w:hRule="atLeast"/>
        </w:trPr>
        <w:tc>
          <w:tcPr>
            <w:tcW w:w="2144" w:type="dxa"/>
            <w:tcBorders>
              <w:top w:val="nil"/>
              <w:left w:val="single" w:color="auto" w:sz="4" w:space="0"/>
              <w:bottom w:val="single" w:color="auto" w:sz="4" w:space="0"/>
              <w:right w:val="single" w:color="auto" w:sz="4" w:space="0"/>
            </w:tcBorders>
            <w:vAlign w:val="center"/>
          </w:tcPr>
          <w:p w14:paraId="18DD1098">
            <w:pPr>
              <w:widowControl/>
              <w:jc w:val="left"/>
              <w:rPr>
                <w:rFonts w:ascii="宋体" w:hAnsi="宋体" w:cs="宋体"/>
                <w:bCs/>
                <w:sz w:val="24"/>
                <w:highlight w:val="none"/>
              </w:rPr>
            </w:pPr>
            <w:r>
              <w:rPr>
                <w:rFonts w:hint="eastAsia" w:ascii="宋体" w:hAnsi="宋体" w:cs="宋体"/>
                <w:bCs/>
                <w:sz w:val="24"/>
                <w:highlight w:val="none"/>
              </w:rPr>
              <w:t>关键设备</w:t>
            </w:r>
            <w:r>
              <w:rPr>
                <w:rFonts w:ascii="宋体" w:hAnsi="宋体" w:cs="宋体"/>
                <w:bCs/>
                <w:sz w:val="24"/>
                <w:highlight w:val="none"/>
              </w:rPr>
              <w:t>3</w:t>
            </w:r>
          </w:p>
        </w:tc>
        <w:tc>
          <w:tcPr>
            <w:tcW w:w="850" w:type="dxa"/>
            <w:tcBorders>
              <w:top w:val="nil"/>
              <w:left w:val="nil"/>
              <w:bottom w:val="single" w:color="auto" w:sz="4" w:space="0"/>
              <w:right w:val="single" w:color="auto" w:sz="4" w:space="0"/>
            </w:tcBorders>
            <w:vAlign w:val="center"/>
          </w:tcPr>
          <w:p w14:paraId="0C52FFF3">
            <w:pPr>
              <w:widowControl/>
              <w:jc w:val="left"/>
              <w:rPr>
                <w:rFonts w:ascii="宋体" w:hAnsi="宋体" w:cs="宋体"/>
                <w:bCs/>
                <w:sz w:val="24"/>
                <w:highlight w:val="none"/>
              </w:rPr>
            </w:pPr>
            <w:r>
              <w:rPr>
                <w:rFonts w:hint="eastAsia" w:ascii="宋体" w:hAnsi="宋体" w:cs="宋体"/>
                <w:bCs/>
                <w:sz w:val="24"/>
                <w:highlight w:val="none"/>
              </w:rPr>
              <w:t>　</w:t>
            </w:r>
          </w:p>
        </w:tc>
        <w:tc>
          <w:tcPr>
            <w:tcW w:w="1276" w:type="dxa"/>
            <w:tcBorders>
              <w:top w:val="nil"/>
              <w:left w:val="nil"/>
              <w:bottom w:val="single" w:color="auto" w:sz="4" w:space="0"/>
              <w:right w:val="single" w:color="auto" w:sz="4" w:space="0"/>
            </w:tcBorders>
            <w:vAlign w:val="center"/>
          </w:tcPr>
          <w:p w14:paraId="490AA9DA">
            <w:pPr>
              <w:widowControl/>
              <w:jc w:val="left"/>
              <w:rPr>
                <w:rFonts w:ascii="宋体" w:hAnsi="宋体" w:cs="宋体"/>
                <w:bCs/>
                <w:sz w:val="24"/>
                <w:highlight w:val="none"/>
              </w:rPr>
            </w:pPr>
            <w:r>
              <w:rPr>
                <w:rFonts w:hint="eastAsia" w:ascii="宋体" w:hAnsi="宋体" w:cs="宋体"/>
                <w:bCs/>
                <w:sz w:val="24"/>
                <w:highlight w:val="none"/>
              </w:rPr>
              <w:t>　</w:t>
            </w:r>
          </w:p>
        </w:tc>
        <w:tc>
          <w:tcPr>
            <w:tcW w:w="1134" w:type="dxa"/>
            <w:tcBorders>
              <w:top w:val="nil"/>
              <w:left w:val="nil"/>
              <w:bottom w:val="single" w:color="auto" w:sz="4" w:space="0"/>
              <w:right w:val="single" w:color="auto" w:sz="4" w:space="0"/>
            </w:tcBorders>
            <w:vAlign w:val="center"/>
          </w:tcPr>
          <w:p w14:paraId="3B67E312">
            <w:pPr>
              <w:widowControl/>
              <w:jc w:val="left"/>
              <w:rPr>
                <w:rFonts w:ascii="宋体" w:hAnsi="宋体" w:cs="宋体"/>
                <w:bCs/>
                <w:sz w:val="24"/>
                <w:highlight w:val="none"/>
              </w:rPr>
            </w:pPr>
            <w:r>
              <w:rPr>
                <w:rFonts w:hint="eastAsia" w:ascii="宋体" w:hAnsi="宋体" w:cs="宋体"/>
                <w:bCs/>
                <w:sz w:val="24"/>
                <w:highlight w:val="none"/>
              </w:rPr>
              <w:t>　</w:t>
            </w:r>
          </w:p>
        </w:tc>
        <w:tc>
          <w:tcPr>
            <w:tcW w:w="2126" w:type="dxa"/>
            <w:tcBorders>
              <w:top w:val="nil"/>
              <w:left w:val="nil"/>
              <w:bottom w:val="single" w:color="auto" w:sz="4" w:space="0"/>
              <w:right w:val="single" w:color="auto" w:sz="4" w:space="0"/>
            </w:tcBorders>
            <w:vAlign w:val="center"/>
          </w:tcPr>
          <w:p w14:paraId="45E59E66">
            <w:pPr>
              <w:widowControl/>
              <w:jc w:val="left"/>
              <w:rPr>
                <w:rFonts w:ascii="宋体" w:hAnsi="宋体" w:cs="宋体"/>
                <w:bCs/>
                <w:sz w:val="24"/>
                <w:highlight w:val="none"/>
              </w:rPr>
            </w:pPr>
            <w:r>
              <w:rPr>
                <w:rFonts w:hint="eastAsia" w:ascii="宋体" w:hAnsi="宋体" w:cs="宋体"/>
                <w:bCs/>
                <w:sz w:val="24"/>
                <w:highlight w:val="none"/>
              </w:rPr>
              <w:t>　</w:t>
            </w:r>
          </w:p>
        </w:tc>
        <w:tc>
          <w:tcPr>
            <w:tcW w:w="851" w:type="dxa"/>
            <w:tcBorders>
              <w:top w:val="nil"/>
              <w:left w:val="nil"/>
              <w:bottom w:val="single" w:color="auto" w:sz="4" w:space="0"/>
              <w:right w:val="single" w:color="auto" w:sz="4" w:space="0"/>
            </w:tcBorders>
            <w:vAlign w:val="center"/>
          </w:tcPr>
          <w:p w14:paraId="2AC09864">
            <w:pPr>
              <w:widowControl/>
              <w:jc w:val="left"/>
              <w:rPr>
                <w:rFonts w:ascii="宋体" w:hAnsi="宋体" w:cs="宋体"/>
                <w:bCs/>
                <w:sz w:val="24"/>
                <w:highlight w:val="none"/>
              </w:rPr>
            </w:pPr>
            <w:r>
              <w:rPr>
                <w:rFonts w:hint="eastAsia" w:ascii="宋体" w:hAnsi="宋体" w:cs="宋体"/>
                <w:bCs/>
                <w:sz w:val="24"/>
                <w:highlight w:val="none"/>
              </w:rPr>
              <w:t>　</w:t>
            </w:r>
          </w:p>
        </w:tc>
        <w:tc>
          <w:tcPr>
            <w:tcW w:w="850" w:type="dxa"/>
            <w:tcBorders>
              <w:top w:val="nil"/>
              <w:left w:val="nil"/>
              <w:bottom w:val="single" w:color="auto" w:sz="4" w:space="0"/>
              <w:right w:val="single" w:color="auto" w:sz="4" w:space="0"/>
            </w:tcBorders>
            <w:vAlign w:val="center"/>
          </w:tcPr>
          <w:p w14:paraId="1EC88C72">
            <w:pPr>
              <w:widowControl/>
              <w:jc w:val="left"/>
              <w:rPr>
                <w:rFonts w:ascii="宋体" w:hAnsi="宋体" w:cs="宋体"/>
                <w:bCs/>
                <w:sz w:val="24"/>
                <w:highlight w:val="none"/>
              </w:rPr>
            </w:pPr>
            <w:r>
              <w:rPr>
                <w:rFonts w:hint="eastAsia" w:ascii="宋体" w:hAnsi="宋体" w:cs="宋体"/>
                <w:bCs/>
                <w:sz w:val="24"/>
                <w:highlight w:val="none"/>
              </w:rPr>
              <w:t>　</w:t>
            </w:r>
          </w:p>
        </w:tc>
      </w:tr>
      <w:tr w14:paraId="540DAF87">
        <w:tblPrEx>
          <w:tblCellMar>
            <w:top w:w="0" w:type="dxa"/>
            <w:left w:w="108" w:type="dxa"/>
            <w:bottom w:w="0" w:type="dxa"/>
            <w:right w:w="108" w:type="dxa"/>
          </w:tblCellMar>
        </w:tblPrEx>
        <w:trPr>
          <w:trHeight w:val="522" w:hRule="atLeast"/>
        </w:trPr>
        <w:tc>
          <w:tcPr>
            <w:tcW w:w="2144" w:type="dxa"/>
            <w:tcBorders>
              <w:top w:val="nil"/>
              <w:left w:val="single" w:color="auto" w:sz="4" w:space="0"/>
              <w:bottom w:val="single" w:color="auto" w:sz="4" w:space="0"/>
              <w:right w:val="single" w:color="auto" w:sz="4" w:space="0"/>
            </w:tcBorders>
            <w:vAlign w:val="center"/>
          </w:tcPr>
          <w:p w14:paraId="743B3A2D">
            <w:pPr>
              <w:widowControl/>
              <w:jc w:val="left"/>
              <w:rPr>
                <w:rFonts w:ascii="宋体" w:hAnsi="宋体" w:cs="宋体"/>
                <w:bCs/>
                <w:sz w:val="24"/>
                <w:highlight w:val="none"/>
              </w:rPr>
            </w:pPr>
            <w:r>
              <w:rPr>
                <w:rFonts w:hint="eastAsia" w:ascii="宋体" w:hAnsi="宋体" w:cs="宋体"/>
                <w:bCs/>
                <w:sz w:val="24"/>
                <w:highlight w:val="none"/>
              </w:rPr>
              <w:t>关键设备</w:t>
            </w:r>
            <w:r>
              <w:rPr>
                <w:rFonts w:ascii="宋体" w:hAnsi="宋体" w:cs="宋体"/>
                <w:bCs/>
                <w:sz w:val="24"/>
                <w:highlight w:val="none"/>
              </w:rPr>
              <w:t>3</w:t>
            </w:r>
          </w:p>
        </w:tc>
        <w:tc>
          <w:tcPr>
            <w:tcW w:w="850" w:type="dxa"/>
            <w:tcBorders>
              <w:top w:val="nil"/>
              <w:left w:val="nil"/>
              <w:bottom w:val="single" w:color="auto" w:sz="4" w:space="0"/>
              <w:right w:val="single" w:color="auto" w:sz="4" w:space="0"/>
            </w:tcBorders>
            <w:vAlign w:val="center"/>
          </w:tcPr>
          <w:p w14:paraId="6F5843BA">
            <w:pPr>
              <w:widowControl/>
              <w:jc w:val="left"/>
              <w:rPr>
                <w:rFonts w:ascii="宋体" w:hAnsi="宋体" w:cs="宋体"/>
                <w:bCs/>
                <w:sz w:val="24"/>
                <w:highlight w:val="none"/>
              </w:rPr>
            </w:pPr>
            <w:r>
              <w:rPr>
                <w:rFonts w:hint="eastAsia" w:ascii="宋体" w:hAnsi="宋体" w:cs="宋体"/>
                <w:bCs/>
                <w:sz w:val="24"/>
                <w:highlight w:val="none"/>
              </w:rPr>
              <w:t>　</w:t>
            </w:r>
          </w:p>
        </w:tc>
        <w:tc>
          <w:tcPr>
            <w:tcW w:w="1276" w:type="dxa"/>
            <w:tcBorders>
              <w:top w:val="nil"/>
              <w:left w:val="nil"/>
              <w:bottom w:val="single" w:color="auto" w:sz="4" w:space="0"/>
              <w:right w:val="single" w:color="auto" w:sz="4" w:space="0"/>
            </w:tcBorders>
            <w:vAlign w:val="center"/>
          </w:tcPr>
          <w:p w14:paraId="6D69D263">
            <w:pPr>
              <w:widowControl/>
              <w:jc w:val="left"/>
              <w:rPr>
                <w:rFonts w:ascii="宋体" w:hAnsi="宋体" w:cs="宋体"/>
                <w:bCs/>
                <w:sz w:val="24"/>
                <w:highlight w:val="none"/>
              </w:rPr>
            </w:pPr>
            <w:r>
              <w:rPr>
                <w:rFonts w:hint="eastAsia" w:ascii="宋体" w:hAnsi="宋体" w:cs="宋体"/>
                <w:bCs/>
                <w:sz w:val="24"/>
                <w:highlight w:val="none"/>
              </w:rPr>
              <w:t>　</w:t>
            </w:r>
          </w:p>
        </w:tc>
        <w:tc>
          <w:tcPr>
            <w:tcW w:w="1134" w:type="dxa"/>
            <w:tcBorders>
              <w:top w:val="nil"/>
              <w:left w:val="nil"/>
              <w:bottom w:val="single" w:color="auto" w:sz="4" w:space="0"/>
              <w:right w:val="single" w:color="auto" w:sz="4" w:space="0"/>
            </w:tcBorders>
            <w:vAlign w:val="center"/>
          </w:tcPr>
          <w:p w14:paraId="33F33F03">
            <w:pPr>
              <w:widowControl/>
              <w:jc w:val="left"/>
              <w:rPr>
                <w:rFonts w:ascii="宋体" w:hAnsi="宋体" w:cs="宋体"/>
                <w:bCs/>
                <w:sz w:val="24"/>
                <w:highlight w:val="none"/>
              </w:rPr>
            </w:pPr>
            <w:r>
              <w:rPr>
                <w:rFonts w:hint="eastAsia" w:ascii="宋体" w:hAnsi="宋体" w:cs="宋体"/>
                <w:bCs/>
                <w:sz w:val="24"/>
                <w:highlight w:val="none"/>
              </w:rPr>
              <w:t>　</w:t>
            </w:r>
          </w:p>
        </w:tc>
        <w:tc>
          <w:tcPr>
            <w:tcW w:w="2126" w:type="dxa"/>
            <w:tcBorders>
              <w:top w:val="nil"/>
              <w:left w:val="nil"/>
              <w:bottom w:val="single" w:color="auto" w:sz="4" w:space="0"/>
              <w:right w:val="single" w:color="auto" w:sz="4" w:space="0"/>
            </w:tcBorders>
            <w:vAlign w:val="center"/>
          </w:tcPr>
          <w:p w14:paraId="623DE841">
            <w:pPr>
              <w:widowControl/>
              <w:jc w:val="left"/>
              <w:rPr>
                <w:rFonts w:ascii="宋体" w:hAnsi="宋体" w:cs="宋体"/>
                <w:bCs/>
                <w:sz w:val="24"/>
                <w:highlight w:val="none"/>
              </w:rPr>
            </w:pPr>
            <w:r>
              <w:rPr>
                <w:rFonts w:hint="eastAsia" w:ascii="宋体" w:hAnsi="宋体" w:cs="宋体"/>
                <w:bCs/>
                <w:sz w:val="24"/>
                <w:highlight w:val="none"/>
              </w:rPr>
              <w:t>　</w:t>
            </w:r>
          </w:p>
        </w:tc>
        <w:tc>
          <w:tcPr>
            <w:tcW w:w="851" w:type="dxa"/>
            <w:tcBorders>
              <w:top w:val="nil"/>
              <w:left w:val="nil"/>
              <w:bottom w:val="single" w:color="auto" w:sz="4" w:space="0"/>
              <w:right w:val="single" w:color="auto" w:sz="4" w:space="0"/>
            </w:tcBorders>
            <w:vAlign w:val="center"/>
          </w:tcPr>
          <w:p w14:paraId="5DE2F86A">
            <w:pPr>
              <w:widowControl/>
              <w:jc w:val="left"/>
              <w:rPr>
                <w:rFonts w:ascii="宋体" w:hAnsi="宋体" w:cs="宋体"/>
                <w:bCs/>
                <w:sz w:val="24"/>
                <w:highlight w:val="none"/>
              </w:rPr>
            </w:pPr>
            <w:r>
              <w:rPr>
                <w:rFonts w:hint="eastAsia" w:ascii="宋体" w:hAnsi="宋体" w:cs="宋体"/>
                <w:bCs/>
                <w:sz w:val="24"/>
                <w:highlight w:val="none"/>
              </w:rPr>
              <w:t>　</w:t>
            </w:r>
          </w:p>
        </w:tc>
        <w:tc>
          <w:tcPr>
            <w:tcW w:w="850" w:type="dxa"/>
            <w:tcBorders>
              <w:top w:val="nil"/>
              <w:left w:val="nil"/>
              <w:bottom w:val="single" w:color="auto" w:sz="4" w:space="0"/>
              <w:right w:val="single" w:color="auto" w:sz="4" w:space="0"/>
            </w:tcBorders>
            <w:vAlign w:val="center"/>
          </w:tcPr>
          <w:p w14:paraId="6FB38E12">
            <w:pPr>
              <w:widowControl/>
              <w:jc w:val="left"/>
              <w:rPr>
                <w:rFonts w:ascii="宋体" w:hAnsi="宋体" w:cs="宋体"/>
                <w:bCs/>
                <w:sz w:val="24"/>
                <w:highlight w:val="none"/>
              </w:rPr>
            </w:pPr>
            <w:r>
              <w:rPr>
                <w:rFonts w:hint="eastAsia" w:ascii="宋体" w:hAnsi="宋体" w:cs="宋体"/>
                <w:bCs/>
                <w:sz w:val="24"/>
                <w:highlight w:val="none"/>
              </w:rPr>
              <w:t>　</w:t>
            </w:r>
          </w:p>
        </w:tc>
      </w:tr>
      <w:tr w14:paraId="0CC35A7E">
        <w:tblPrEx>
          <w:tblCellMar>
            <w:top w:w="0" w:type="dxa"/>
            <w:left w:w="108" w:type="dxa"/>
            <w:bottom w:w="0" w:type="dxa"/>
            <w:right w:w="108" w:type="dxa"/>
          </w:tblCellMar>
        </w:tblPrEx>
        <w:trPr>
          <w:trHeight w:val="4338" w:hRule="atLeast"/>
        </w:trPr>
        <w:tc>
          <w:tcPr>
            <w:tcW w:w="9231" w:type="dxa"/>
            <w:gridSpan w:val="7"/>
            <w:tcBorders>
              <w:top w:val="nil"/>
              <w:left w:val="single" w:color="auto" w:sz="4" w:space="0"/>
              <w:bottom w:val="single" w:color="auto" w:sz="4" w:space="0"/>
              <w:right w:val="single" w:color="auto" w:sz="4" w:space="0"/>
            </w:tcBorders>
            <w:vAlign w:val="center"/>
          </w:tcPr>
          <w:p w14:paraId="3E70E592">
            <w:pPr>
              <w:widowControl/>
              <w:spacing w:line="276" w:lineRule="auto"/>
              <w:jc w:val="left"/>
              <w:rPr>
                <w:rFonts w:ascii="宋体" w:hAnsi="宋体" w:cs="宋体"/>
                <w:bCs/>
                <w:sz w:val="24"/>
                <w:highlight w:val="none"/>
              </w:rPr>
            </w:pPr>
            <w:r>
              <w:rPr>
                <w:rFonts w:hint="eastAsia" w:ascii="宋体" w:hAnsi="宋体" w:cs="宋体"/>
                <w:bCs/>
                <w:sz w:val="24"/>
                <w:highlight w:val="none"/>
              </w:rPr>
              <w:t>说明：</w:t>
            </w:r>
          </w:p>
          <w:p w14:paraId="5F21B55C">
            <w:pPr>
              <w:widowControl/>
              <w:spacing w:line="276" w:lineRule="auto"/>
              <w:ind w:firstLine="480" w:firstLineChars="200"/>
              <w:jc w:val="left"/>
              <w:rPr>
                <w:rFonts w:hint="eastAsia" w:ascii="宋体" w:hAnsi="宋体" w:eastAsia="宋体" w:cs="宋体"/>
                <w:bCs/>
                <w:sz w:val="24"/>
                <w:highlight w:val="none"/>
                <w:lang w:eastAsia="zh-CN"/>
              </w:rPr>
            </w:pPr>
            <w:r>
              <w:rPr>
                <w:rFonts w:ascii="宋体" w:hAnsi="宋体" w:cs="宋体"/>
                <w:bCs/>
                <w:sz w:val="24"/>
                <w:highlight w:val="none"/>
              </w:rPr>
              <w:t>1.只需提供</w:t>
            </w:r>
            <w:r>
              <w:rPr>
                <w:rFonts w:ascii="宋体" w:hAnsi="宋体" w:cs="宋体"/>
                <w:bCs/>
                <w:sz w:val="24"/>
                <w:highlight w:val="none"/>
                <w:u w:val="single"/>
              </w:rPr>
              <w:t xml:space="preserve">     </w:t>
            </w:r>
            <w:r>
              <w:rPr>
                <w:rFonts w:hint="eastAsia" w:ascii="宋体" w:hAnsi="宋体" w:cs="宋体"/>
                <w:bCs/>
                <w:sz w:val="24"/>
                <w:highlight w:val="none"/>
              </w:rPr>
              <w:t>年内的相关设备相关材料，谈判截止时间当年度购买的设备净值按</w:t>
            </w:r>
            <w:r>
              <w:rPr>
                <w:rFonts w:ascii="宋体" w:hAnsi="宋体" w:cs="宋体"/>
                <w:bCs/>
                <w:sz w:val="24"/>
                <w:highlight w:val="none"/>
              </w:rPr>
              <w:t>100%计算（谈判截止时间前3个月后购买的设备无效），每向前一个年度折旧率递增</w:t>
            </w:r>
            <w:r>
              <w:rPr>
                <w:rFonts w:ascii="宋体" w:hAnsi="宋体" w:cs="宋体"/>
                <w:bCs/>
                <w:sz w:val="24"/>
                <w:highlight w:val="none"/>
                <w:u w:val="single"/>
              </w:rPr>
              <w:t xml:space="preserve">   </w:t>
            </w:r>
            <w:r>
              <w:rPr>
                <w:rFonts w:ascii="宋体" w:hAnsi="宋体" w:cs="宋体"/>
                <w:bCs/>
                <w:sz w:val="24"/>
                <w:highlight w:val="none"/>
              </w:rPr>
              <w:t>%，即</w:t>
            </w:r>
            <w:r>
              <w:rPr>
                <w:rFonts w:ascii="宋体" w:hAnsi="宋体" w:cs="宋体"/>
                <w:bCs/>
                <w:sz w:val="24"/>
                <w:highlight w:val="none"/>
                <w:u w:val="single"/>
              </w:rPr>
              <w:t xml:space="preserve">   </w:t>
            </w:r>
            <w:r>
              <w:rPr>
                <w:rFonts w:hint="eastAsia" w:ascii="宋体" w:hAnsi="宋体" w:cs="宋体"/>
                <w:bCs/>
                <w:sz w:val="24"/>
                <w:highlight w:val="none"/>
              </w:rPr>
              <w:t>年</w:t>
            </w:r>
            <w:r>
              <w:rPr>
                <w:rFonts w:ascii="宋体" w:hAnsi="宋体" w:cs="宋体"/>
                <w:bCs/>
                <w:sz w:val="24"/>
                <w:highlight w:val="none"/>
              </w:rPr>
              <w:t>1月前购买的设备净值为0。</w:t>
            </w:r>
          </w:p>
          <w:p w14:paraId="6AF93A33">
            <w:pPr>
              <w:widowControl/>
              <w:spacing w:line="276" w:lineRule="auto"/>
              <w:ind w:firstLine="480" w:firstLineChars="200"/>
              <w:jc w:val="left"/>
              <w:rPr>
                <w:rFonts w:hint="eastAsia" w:ascii="宋体" w:hAnsi="宋体" w:eastAsia="宋体" w:cs="宋体"/>
                <w:bCs/>
                <w:sz w:val="24"/>
                <w:highlight w:val="none"/>
                <w:lang w:eastAsia="zh-CN"/>
              </w:rPr>
            </w:pPr>
            <w:r>
              <w:rPr>
                <w:rFonts w:ascii="宋体" w:hAnsi="宋体" w:cs="宋体"/>
                <w:bCs/>
                <w:sz w:val="24"/>
                <w:highlight w:val="none"/>
              </w:rPr>
              <w:t xml:space="preserve">    2.进口设备需填写设备购买当年12月31日汇率，并按照该汇率计算设备购买金额。</w:t>
            </w:r>
          </w:p>
          <w:p w14:paraId="793F39F8">
            <w:pPr>
              <w:widowControl/>
              <w:spacing w:line="276" w:lineRule="auto"/>
              <w:ind w:firstLine="480" w:firstLineChars="200"/>
              <w:jc w:val="left"/>
              <w:rPr>
                <w:rFonts w:hint="eastAsia" w:ascii="宋体" w:hAnsi="宋体" w:eastAsia="宋体" w:cs="宋体"/>
                <w:bCs/>
                <w:sz w:val="24"/>
                <w:highlight w:val="none"/>
                <w:lang w:eastAsia="zh-CN"/>
              </w:rPr>
            </w:pPr>
            <w:r>
              <w:rPr>
                <w:rFonts w:ascii="宋体" w:hAnsi="宋体" w:cs="宋体"/>
                <w:bCs/>
                <w:sz w:val="24"/>
                <w:highlight w:val="none"/>
              </w:rPr>
              <w:t xml:space="preserve">    3.设备净值＝设备原值－设备原值*折旧率。</w:t>
            </w:r>
          </w:p>
          <w:p w14:paraId="3D84DCAC">
            <w:pPr>
              <w:widowControl/>
              <w:spacing w:line="276" w:lineRule="auto"/>
              <w:ind w:firstLine="480" w:firstLineChars="200"/>
              <w:jc w:val="left"/>
              <w:rPr>
                <w:rFonts w:hint="eastAsia" w:ascii="宋体" w:hAnsi="宋体" w:eastAsia="宋体" w:cs="宋体"/>
                <w:bCs/>
                <w:sz w:val="24"/>
                <w:highlight w:val="none"/>
                <w:lang w:eastAsia="zh-CN"/>
              </w:rPr>
            </w:pPr>
            <w:r>
              <w:rPr>
                <w:rFonts w:ascii="宋体" w:hAnsi="宋体" w:cs="宋体"/>
                <w:bCs/>
                <w:sz w:val="24"/>
                <w:highlight w:val="none"/>
              </w:rPr>
              <w:t xml:space="preserve">    4.每种设备均需附购置票据复印件，进口设备需附进口报关单复印件，复印件不清晰的视为无效设备。</w:t>
            </w:r>
          </w:p>
          <w:p w14:paraId="1AEA2AED">
            <w:pPr>
              <w:widowControl/>
              <w:spacing w:line="276" w:lineRule="auto"/>
              <w:ind w:firstLine="480" w:firstLineChars="200"/>
              <w:jc w:val="left"/>
              <w:rPr>
                <w:rFonts w:hint="eastAsia" w:ascii="宋体" w:hAnsi="宋体" w:eastAsia="宋体" w:cs="宋体"/>
                <w:bCs/>
                <w:sz w:val="24"/>
                <w:highlight w:val="none"/>
                <w:lang w:eastAsia="zh-CN"/>
              </w:rPr>
            </w:pPr>
            <w:r>
              <w:rPr>
                <w:rFonts w:ascii="宋体" w:hAnsi="宋体" w:cs="宋体"/>
                <w:bCs/>
                <w:sz w:val="24"/>
                <w:highlight w:val="none"/>
              </w:rPr>
              <w:t xml:space="preserve">    5.“页码”栏中填写该设备证明材料所在“商务技术文件”中的页码位置。</w:t>
            </w:r>
          </w:p>
          <w:p w14:paraId="0F1661A6">
            <w:pPr>
              <w:widowControl/>
              <w:spacing w:line="276" w:lineRule="auto"/>
              <w:ind w:firstLine="480" w:firstLineChars="200"/>
              <w:jc w:val="left"/>
              <w:rPr>
                <w:rFonts w:ascii="宋体" w:hAnsi="宋体" w:cs="宋体"/>
                <w:bCs/>
                <w:sz w:val="24"/>
                <w:highlight w:val="none"/>
              </w:rPr>
            </w:pPr>
            <w:r>
              <w:rPr>
                <w:rFonts w:ascii="宋体" w:hAnsi="宋体" w:cs="宋体"/>
                <w:bCs/>
                <w:sz w:val="24"/>
                <w:highlight w:val="none"/>
              </w:rPr>
              <w:t xml:space="preserve">    6.计算关键重要生产设备时，评委可以先按企业所报设备价值进行计分，然后按企业商务技术总得分由高至低排序，再从第1名开始，对企业单项得分最高的设备价值进行复核。专家复核认可的设备价值低于企业填报数值的，所有品种设备价值均按同比例核减。</w:t>
            </w:r>
            <w:r>
              <w:rPr>
                <w:rFonts w:hint="eastAsia" w:ascii="宋体" w:hAnsi="宋体" w:cs="宋体"/>
                <w:bCs/>
                <w:sz w:val="24"/>
                <w:highlight w:val="none"/>
              </w:rPr>
              <w:t>　</w:t>
            </w:r>
          </w:p>
        </w:tc>
      </w:tr>
    </w:tbl>
    <w:p w14:paraId="354DC987">
      <w:pPr>
        <w:pStyle w:val="6"/>
        <w:spacing w:after="280" w:line="560" w:lineRule="exact"/>
        <w:rPr>
          <w:rFonts w:ascii="宋体" w:hAnsi="宋体"/>
          <w:b w:val="0"/>
          <w:highlight w:val="none"/>
        </w:rPr>
      </w:pPr>
      <w:r>
        <w:rPr>
          <w:b w:val="0"/>
          <w:highlight w:val="none"/>
          <w:lang w:val="zh-CN"/>
        </w:rPr>
        <w:br w:type="page"/>
      </w:r>
      <w:bookmarkStart w:id="656" w:name="_Toc2756"/>
      <w:bookmarkStart w:id="657" w:name="_Toc12108"/>
      <w:bookmarkStart w:id="658" w:name="_Toc112768474"/>
      <w:bookmarkStart w:id="659" w:name="_Toc28888"/>
      <w:bookmarkStart w:id="660" w:name="_Toc23429"/>
      <w:bookmarkStart w:id="661" w:name="_Toc23524"/>
      <w:r>
        <w:rPr>
          <w:rFonts w:hint="eastAsia"/>
          <w:b w:val="0"/>
          <w:highlight w:val="none"/>
        </w:rPr>
        <w:t>附件</w:t>
      </w:r>
      <w:r>
        <w:rPr>
          <w:b w:val="0"/>
          <w:highlight w:val="none"/>
        </w:rPr>
        <w:t>2-12</w:t>
      </w:r>
      <w:r>
        <w:rPr>
          <w:rFonts w:hint="eastAsia"/>
          <w:b w:val="0"/>
          <w:highlight w:val="none"/>
        </w:rPr>
        <w:t xml:space="preserve"> 技术力量清单及证明材料</w:t>
      </w:r>
      <w:bookmarkEnd w:id="656"/>
      <w:bookmarkEnd w:id="657"/>
      <w:bookmarkEnd w:id="658"/>
      <w:bookmarkEnd w:id="659"/>
      <w:bookmarkEnd w:id="660"/>
      <w:bookmarkEnd w:id="661"/>
    </w:p>
    <w:p w14:paraId="051ECBD2">
      <w:pPr>
        <w:spacing w:before="120" w:beforeLines="50" w:after="120" w:afterLines="50" w:line="560" w:lineRule="exact"/>
        <w:jc w:val="center"/>
        <w:rPr>
          <w:rFonts w:ascii="黑体" w:hAnsi="黑体" w:eastAsia="黑体" w:cs="黑体"/>
          <w:bCs/>
          <w:sz w:val="36"/>
          <w:szCs w:val="36"/>
          <w:highlight w:val="none"/>
          <w:lang w:val="zh-CN"/>
        </w:rPr>
      </w:pPr>
      <w:r>
        <w:rPr>
          <w:rFonts w:hint="eastAsia" w:ascii="黑体" w:hAnsi="黑体" w:eastAsia="黑体" w:cs="黑体"/>
          <w:bCs/>
          <w:sz w:val="36"/>
          <w:szCs w:val="36"/>
          <w:highlight w:val="none"/>
          <w:lang w:val="zh-CN"/>
        </w:rPr>
        <w:t>技术力量清单及证明材料</w:t>
      </w:r>
    </w:p>
    <w:p w14:paraId="616C18B4">
      <w:pPr>
        <w:spacing w:line="560" w:lineRule="exact"/>
        <w:ind w:firstLine="560" w:firstLineChars="200"/>
        <w:jc w:val="left"/>
        <w:rPr>
          <w:rFonts w:ascii="宋体" w:hAnsi="宋体" w:cs="宋体"/>
          <w:bCs/>
          <w:sz w:val="28"/>
          <w:szCs w:val="28"/>
          <w:highlight w:val="none"/>
          <w:lang w:val="zh-CN"/>
        </w:rPr>
      </w:pPr>
      <w:r>
        <w:rPr>
          <w:rFonts w:hint="eastAsia" w:ascii="宋体" w:hAnsi="宋体" w:cs="宋体"/>
          <w:bCs/>
          <w:sz w:val="28"/>
          <w:szCs w:val="28"/>
          <w:highlight w:val="none"/>
          <w:lang w:val="zh-CN"/>
        </w:rPr>
        <w:t>（由报价供应商根据项目需求及技术评审标准表中“技术力量”评审标准自行拟定，并后附</w:t>
      </w:r>
      <w:r>
        <w:rPr>
          <w:rFonts w:hint="eastAsia"/>
          <w:bCs/>
          <w:sz w:val="28"/>
          <w:szCs w:val="28"/>
          <w:highlight w:val="none"/>
          <w:lang w:val="zh-CN"/>
        </w:rPr>
        <w:t>评审标准要求的</w:t>
      </w:r>
      <w:r>
        <w:rPr>
          <w:rFonts w:hint="eastAsia" w:ascii="宋体" w:hAnsi="宋体" w:cs="宋体"/>
          <w:bCs/>
          <w:sz w:val="28"/>
          <w:szCs w:val="28"/>
          <w:highlight w:val="none"/>
          <w:lang w:val="zh-CN"/>
        </w:rPr>
        <w:t>证明</w:t>
      </w:r>
      <w:r>
        <w:rPr>
          <w:rFonts w:hint="eastAsia" w:ascii="宋体" w:hAnsi="宋体"/>
          <w:bCs/>
          <w:sz w:val="28"/>
          <w:szCs w:val="28"/>
          <w:highlight w:val="none"/>
        </w:rPr>
        <w:t>材料。</w:t>
      </w:r>
      <w:r>
        <w:rPr>
          <w:rFonts w:hint="eastAsia" w:ascii="宋体" w:hAnsi="宋体" w:cs="宋体"/>
          <w:bCs/>
          <w:sz w:val="28"/>
          <w:szCs w:val="28"/>
          <w:highlight w:val="none"/>
          <w:lang w:val="zh-CN"/>
        </w:rPr>
        <w:t>）</w:t>
      </w:r>
    </w:p>
    <w:p w14:paraId="74FA0D71">
      <w:pPr>
        <w:autoSpaceDE w:val="0"/>
        <w:autoSpaceDN w:val="0"/>
        <w:adjustRightInd w:val="0"/>
        <w:rPr>
          <w:bCs/>
          <w:sz w:val="28"/>
          <w:szCs w:val="28"/>
          <w:highlight w:val="none"/>
          <w:lang w:val="zh-CN"/>
        </w:rPr>
      </w:pPr>
    </w:p>
    <w:p w14:paraId="2BB56563">
      <w:pPr>
        <w:autoSpaceDE w:val="0"/>
        <w:autoSpaceDN w:val="0"/>
        <w:adjustRightInd w:val="0"/>
        <w:rPr>
          <w:bCs/>
          <w:sz w:val="28"/>
          <w:szCs w:val="28"/>
          <w:highlight w:val="none"/>
          <w:lang w:val="zh-CN"/>
        </w:rPr>
      </w:pPr>
    </w:p>
    <w:p w14:paraId="65FF6BD0">
      <w:pPr>
        <w:autoSpaceDE w:val="0"/>
        <w:autoSpaceDN w:val="0"/>
        <w:adjustRightInd w:val="0"/>
        <w:rPr>
          <w:bCs/>
          <w:sz w:val="28"/>
          <w:szCs w:val="28"/>
          <w:highlight w:val="none"/>
          <w:lang w:val="zh-CN"/>
        </w:rPr>
      </w:pPr>
    </w:p>
    <w:p w14:paraId="3BBDB547">
      <w:pPr>
        <w:autoSpaceDE w:val="0"/>
        <w:autoSpaceDN w:val="0"/>
        <w:adjustRightInd w:val="0"/>
        <w:rPr>
          <w:bCs/>
          <w:sz w:val="28"/>
          <w:szCs w:val="28"/>
          <w:highlight w:val="none"/>
          <w:lang w:val="zh-CN"/>
        </w:rPr>
      </w:pPr>
    </w:p>
    <w:p w14:paraId="448B11A1">
      <w:pPr>
        <w:autoSpaceDE w:val="0"/>
        <w:autoSpaceDN w:val="0"/>
        <w:adjustRightInd w:val="0"/>
        <w:rPr>
          <w:bCs/>
          <w:sz w:val="28"/>
          <w:szCs w:val="28"/>
          <w:highlight w:val="none"/>
          <w:lang w:val="zh-CN"/>
        </w:rPr>
      </w:pPr>
    </w:p>
    <w:p w14:paraId="30883C7C">
      <w:pPr>
        <w:autoSpaceDE w:val="0"/>
        <w:autoSpaceDN w:val="0"/>
        <w:adjustRightInd w:val="0"/>
        <w:rPr>
          <w:bCs/>
          <w:sz w:val="28"/>
          <w:szCs w:val="28"/>
          <w:highlight w:val="none"/>
          <w:lang w:val="zh-CN"/>
        </w:rPr>
      </w:pPr>
    </w:p>
    <w:p w14:paraId="2F8ABFF4">
      <w:pPr>
        <w:autoSpaceDE w:val="0"/>
        <w:autoSpaceDN w:val="0"/>
        <w:adjustRightInd w:val="0"/>
        <w:rPr>
          <w:bCs/>
          <w:sz w:val="28"/>
          <w:szCs w:val="28"/>
          <w:highlight w:val="none"/>
          <w:lang w:val="zh-CN"/>
        </w:rPr>
      </w:pPr>
    </w:p>
    <w:p w14:paraId="766E7F6A">
      <w:pPr>
        <w:autoSpaceDE w:val="0"/>
        <w:autoSpaceDN w:val="0"/>
        <w:adjustRightInd w:val="0"/>
        <w:rPr>
          <w:bCs/>
          <w:sz w:val="28"/>
          <w:szCs w:val="28"/>
          <w:highlight w:val="none"/>
          <w:lang w:val="zh-CN"/>
        </w:rPr>
      </w:pPr>
    </w:p>
    <w:p w14:paraId="66D9928F">
      <w:pPr>
        <w:autoSpaceDE w:val="0"/>
        <w:autoSpaceDN w:val="0"/>
        <w:adjustRightInd w:val="0"/>
        <w:rPr>
          <w:bCs/>
          <w:sz w:val="28"/>
          <w:szCs w:val="28"/>
          <w:highlight w:val="none"/>
          <w:lang w:val="zh-CN"/>
        </w:rPr>
      </w:pPr>
    </w:p>
    <w:p w14:paraId="68869322">
      <w:pPr>
        <w:autoSpaceDE w:val="0"/>
        <w:autoSpaceDN w:val="0"/>
        <w:adjustRightInd w:val="0"/>
        <w:rPr>
          <w:bCs/>
          <w:sz w:val="28"/>
          <w:szCs w:val="28"/>
          <w:highlight w:val="none"/>
          <w:lang w:val="zh-CN"/>
        </w:rPr>
      </w:pPr>
    </w:p>
    <w:p w14:paraId="0B832F2B">
      <w:pPr>
        <w:autoSpaceDE w:val="0"/>
        <w:autoSpaceDN w:val="0"/>
        <w:adjustRightInd w:val="0"/>
        <w:rPr>
          <w:bCs/>
          <w:sz w:val="28"/>
          <w:szCs w:val="28"/>
          <w:highlight w:val="none"/>
          <w:lang w:val="zh-CN"/>
        </w:rPr>
      </w:pPr>
    </w:p>
    <w:p w14:paraId="29EDD238">
      <w:pPr>
        <w:autoSpaceDE w:val="0"/>
        <w:autoSpaceDN w:val="0"/>
        <w:adjustRightInd w:val="0"/>
        <w:rPr>
          <w:bCs/>
          <w:sz w:val="28"/>
          <w:szCs w:val="28"/>
          <w:highlight w:val="none"/>
          <w:lang w:val="zh-CN"/>
        </w:rPr>
      </w:pPr>
    </w:p>
    <w:p w14:paraId="62E5713B">
      <w:pPr>
        <w:autoSpaceDE w:val="0"/>
        <w:autoSpaceDN w:val="0"/>
        <w:adjustRightInd w:val="0"/>
        <w:rPr>
          <w:bCs/>
          <w:sz w:val="28"/>
          <w:szCs w:val="28"/>
          <w:highlight w:val="none"/>
          <w:lang w:val="zh-CN"/>
        </w:rPr>
      </w:pPr>
    </w:p>
    <w:p w14:paraId="09D97918">
      <w:pPr>
        <w:autoSpaceDE w:val="0"/>
        <w:autoSpaceDN w:val="0"/>
        <w:adjustRightInd w:val="0"/>
        <w:rPr>
          <w:bCs/>
          <w:sz w:val="28"/>
          <w:szCs w:val="28"/>
          <w:highlight w:val="none"/>
          <w:lang w:val="zh-CN"/>
        </w:rPr>
      </w:pPr>
    </w:p>
    <w:p w14:paraId="768BE672">
      <w:pPr>
        <w:autoSpaceDE w:val="0"/>
        <w:autoSpaceDN w:val="0"/>
        <w:adjustRightInd w:val="0"/>
        <w:rPr>
          <w:bCs/>
          <w:sz w:val="28"/>
          <w:szCs w:val="28"/>
          <w:highlight w:val="none"/>
          <w:lang w:val="zh-CN"/>
        </w:rPr>
      </w:pPr>
    </w:p>
    <w:p w14:paraId="11D342B4">
      <w:pPr>
        <w:autoSpaceDE w:val="0"/>
        <w:autoSpaceDN w:val="0"/>
        <w:adjustRightInd w:val="0"/>
        <w:rPr>
          <w:bCs/>
          <w:sz w:val="28"/>
          <w:szCs w:val="28"/>
          <w:highlight w:val="none"/>
          <w:lang w:val="zh-CN"/>
        </w:rPr>
      </w:pPr>
    </w:p>
    <w:p w14:paraId="6CDF3B3C">
      <w:pPr>
        <w:spacing w:line="360" w:lineRule="auto"/>
        <w:ind w:firstLine="560" w:firstLineChars="200"/>
        <w:jc w:val="center"/>
        <w:rPr>
          <w:bCs/>
          <w:sz w:val="28"/>
          <w:szCs w:val="28"/>
          <w:highlight w:val="none"/>
          <w:lang w:val="zh-CN"/>
        </w:rPr>
      </w:pPr>
      <w:r>
        <w:rPr>
          <w:bCs/>
          <w:sz w:val="28"/>
          <w:szCs w:val="28"/>
          <w:highlight w:val="none"/>
          <w:lang w:val="zh-CN"/>
        </w:rPr>
        <w:t xml:space="preserve">  </w:t>
      </w:r>
      <w:r>
        <w:rPr>
          <w:rFonts w:hint="eastAsia"/>
          <w:bCs/>
          <w:sz w:val="28"/>
          <w:szCs w:val="28"/>
          <w:highlight w:val="none"/>
          <w:lang w:val="zh-CN"/>
        </w:rPr>
        <w:t xml:space="preserve">  </w:t>
      </w:r>
    </w:p>
    <w:p w14:paraId="19B44128">
      <w:pPr>
        <w:ind w:firstLine="560" w:firstLineChars="200"/>
        <w:jc w:val="center"/>
        <w:rPr>
          <w:bCs/>
          <w:sz w:val="36"/>
          <w:szCs w:val="36"/>
          <w:highlight w:val="none"/>
        </w:rPr>
      </w:pPr>
      <w:r>
        <w:rPr>
          <w:bCs/>
          <w:snapToGrid w:val="0"/>
          <w:sz w:val="28"/>
          <w:szCs w:val="28"/>
          <w:highlight w:val="none"/>
          <w:lang w:val="zh-CN"/>
        </w:rPr>
        <w:br w:type="page"/>
      </w:r>
    </w:p>
    <w:p w14:paraId="618C7FFD">
      <w:pPr>
        <w:pStyle w:val="6"/>
        <w:spacing w:after="280" w:line="560" w:lineRule="exact"/>
        <w:rPr>
          <w:rFonts w:ascii="宋体" w:hAnsi="宋体"/>
          <w:b w:val="0"/>
          <w:highlight w:val="none"/>
        </w:rPr>
      </w:pPr>
      <w:bookmarkStart w:id="662" w:name="_Toc3611"/>
      <w:bookmarkStart w:id="663" w:name="_Toc30176"/>
      <w:bookmarkStart w:id="664" w:name="_Toc5020"/>
      <w:bookmarkStart w:id="665" w:name="_Toc3375"/>
      <w:bookmarkStart w:id="666" w:name="_Toc9771"/>
      <w:bookmarkStart w:id="667" w:name="_Toc112768473"/>
      <w:r>
        <w:rPr>
          <w:rFonts w:hint="eastAsia"/>
          <w:b w:val="0"/>
          <w:highlight w:val="none"/>
        </w:rPr>
        <w:t>附件</w:t>
      </w:r>
      <w:r>
        <w:rPr>
          <w:b w:val="0"/>
          <w:highlight w:val="none"/>
        </w:rPr>
        <w:t>2-13</w:t>
      </w:r>
      <w:r>
        <w:rPr>
          <w:rFonts w:hint="eastAsia"/>
          <w:b w:val="0"/>
          <w:highlight w:val="none"/>
        </w:rPr>
        <w:t>同类项目</w:t>
      </w:r>
      <w:bookmarkEnd w:id="662"/>
      <w:bookmarkEnd w:id="663"/>
      <w:bookmarkEnd w:id="664"/>
      <w:bookmarkEnd w:id="665"/>
      <w:bookmarkEnd w:id="666"/>
      <w:bookmarkEnd w:id="667"/>
      <w:r>
        <w:rPr>
          <w:rFonts w:hint="eastAsia"/>
          <w:b w:val="0"/>
          <w:highlight w:val="none"/>
        </w:rPr>
        <w:t>业绩</w:t>
      </w:r>
    </w:p>
    <w:p w14:paraId="7953AD54">
      <w:pPr>
        <w:spacing w:before="120" w:beforeLines="50" w:after="120" w:afterLines="50" w:line="560" w:lineRule="exact"/>
        <w:jc w:val="center"/>
        <w:rPr>
          <w:rFonts w:ascii="黑体" w:hAnsi="黑体" w:eastAsia="黑体" w:cs="黑体"/>
          <w:bCs/>
          <w:sz w:val="36"/>
          <w:szCs w:val="36"/>
          <w:highlight w:val="none"/>
          <w:lang w:val="zh-CN"/>
        </w:rPr>
      </w:pPr>
      <w:r>
        <w:rPr>
          <w:rFonts w:hint="eastAsia" w:ascii="黑体" w:hAnsi="黑体" w:eastAsia="黑体" w:cs="黑体"/>
          <w:bCs/>
          <w:sz w:val="36"/>
          <w:szCs w:val="36"/>
          <w:highlight w:val="none"/>
          <w:lang w:val="zh-CN"/>
        </w:rPr>
        <w:t>同类项目业绩</w:t>
      </w:r>
    </w:p>
    <w:p w14:paraId="4A03511F">
      <w:pPr>
        <w:rPr>
          <w:bCs/>
          <w:sz w:val="28"/>
          <w:szCs w:val="28"/>
          <w:highlight w:val="none"/>
        </w:rPr>
      </w:pPr>
      <w:r>
        <w:rPr>
          <w:rFonts w:hint="eastAsia"/>
          <w:bCs/>
          <w:sz w:val="28"/>
          <w:szCs w:val="28"/>
          <w:highlight w:val="none"/>
        </w:rPr>
        <w:t>项目名称：</w:t>
      </w:r>
      <w:r>
        <w:rPr>
          <w:bCs/>
          <w:sz w:val="28"/>
          <w:szCs w:val="28"/>
          <w:highlight w:val="none"/>
          <w:u w:val="single"/>
        </w:rPr>
        <w:t xml:space="preserve">          </w:t>
      </w:r>
      <w:r>
        <w:rPr>
          <w:rFonts w:hint="eastAsia"/>
          <w:bCs/>
          <w:sz w:val="28"/>
          <w:szCs w:val="28"/>
          <w:highlight w:val="none"/>
        </w:rPr>
        <w:t xml:space="preserve">    项目编号：</w:t>
      </w:r>
      <w:r>
        <w:rPr>
          <w:bCs/>
          <w:sz w:val="28"/>
          <w:szCs w:val="28"/>
          <w:highlight w:val="none"/>
          <w:u w:val="single"/>
        </w:rPr>
        <w:t xml:space="preserve">            </w:t>
      </w:r>
      <w:r>
        <w:rPr>
          <w:rFonts w:hint="eastAsia"/>
          <w:bCs/>
          <w:sz w:val="28"/>
          <w:szCs w:val="28"/>
          <w:highlight w:val="none"/>
        </w:rPr>
        <w:t xml:space="preserve">   包号：</w:t>
      </w:r>
      <w:r>
        <w:rPr>
          <w:bCs/>
          <w:sz w:val="28"/>
          <w:szCs w:val="28"/>
          <w:highlight w:val="none"/>
          <w:u w:val="single"/>
        </w:rPr>
        <w:t xml:space="preserve">         </w:t>
      </w:r>
    </w:p>
    <w:tbl>
      <w:tblPr>
        <w:tblStyle w:val="4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12"/>
        <w:gridCol w:w="762"/>
        <w:gridCol w:w="802"/>
        <w:gridCol w:w="2138"/>
        <w:gridCol w:w="1548"/>
        <w:gridCol w:w="756"/>
        <w:gridCol w:w="1795"/>
        <w:gridCol w:w="957"/>
      </w:tblGrid>
      <w:tr w14:paraId="1D3B2C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93" w:hRule="exact"/>
        </w:trPr>
        <w:tc>
          <w:tcPr>
            <w:tcW w:w="424" w:type="pct"/>
            <w:tcBorders>
              <w:top w:val="single" w:color="auto" w:sz="4" w:space="0"/>
              <w:left w:val="single" w:color="auto" w:sz="4" w:space="0"/>
              <w:bottom w:val="single" w:color="auto" w:sz="4" w:space="0"/>
              <w:right w:val="single" w:color="auto" w:sz="4" w:space="0"/>
            </w:tcBorders>
            <w:vAlign w:val="center"/>
          </w:tcPr>
          <w:p w14:paraId="475F7C84">
            <w:pPr>
              <w:jc w:val="center"/>
              <w:rPr>
                <w:rFonts w:ascii="宋体" w:hAnsi="宋体" w:cs="宋体"/>
                <w:bCs/>
                <w:sz w:val="24"/>
                <w:highlight w:val="none"/>
              </w:rPr>
            </w:pPr>
            <w:r>
              <w:rPr>
                <w:rFonts w:hint="eastAsia" w:ascii="宋体" w:hAnsi="宋体" w:cs="宋体"/>
                <w:bCs/>
                <w:sz w:val="24"/>
                <w:highlight w:val="none"/>
              </w:rPr>
              <w:t>序号</w:t>
            </w:r>
          </w:p>
        </w:tc>
        <w:tc>
          <w:tcPr>
            <w:tcW w:w="398" w:type="pct"/>
            <w:tcBorders>
              <w:top w:val="single" w:color="auto" w:sz="4" w:space="0"/>
              <w:left w:val="single" w:color="auto" w:sz="4" w:space="0"/>
              <w:bottom w:val="single" w:color="auto" w:sz="4" w:space="0"/>
              <w:right w:val="single" w:color="auto" w:sz="4" w:space="0"/>
            </w:tcBorders>
            <w:vAlign w:val="center"/>
          </w:tcPr>
          <w:p w14:paraId="7E69619D">
            <w:pPr>
              <w:jc w:val="center"/>
              <w:rPr>
                <w:rFonts w:ascii="宋体" w:hAnsi="宋体" w:cs="宋体"/>
                <w:bCs/>
                <w:sz w:val="24"/>
                <w:highlight w:val="none"/>
              </w:rPr>
            </w:pPr>
            <w:r>
              <w:rPr>
                <w:rFonts w:hint="eastAsia" w:ascii="宋体" w:hAnsi="宋体" w:cs="宋体"/>
                <w:bCs/>
                <w:sz w:val="24"/>
                <w:highlight w:val="none"/>
              </w:rPr>
              <w:t>用户名称</w:t>
            </w:r>
          </w:p>
        </w:tc>
        <w:tc>
          <w:tcPr>
            <w:tcW w:w="419" w:type="pct"/>
            <w:tcBorders>
              <w:top w:val="single" w:color="auto" w:sz="4" w:space="0"/>
              <w:left w:val="single" w:color="auto" w:sz="4" w:space="0"/>
              <w:bottom w:val="single" w:color="auto" w:sz="4" w:space="0"/>
              <w:right w:val="single" w:color="auto" w:sz="4" w:space="0"/>
            </w:tcBorders>
            <w:vAlign w:val="center"/>
          </w:tcPr>
          <w:p w14:paraId="3919B342">
            <w:pPr>
              <w:jc w:val="center"/>
              <w:rPr>
                <w:rFonts w:ascii="宋体" w:hAnsi="宋体" w:cs="宋体"/>
                <w:bCs/>
                <w:sz w:val="24"/>
                <w:highlight w:val="none"/>
              </w:rPr>
            </w:pPr>
            <w:r>
              <w:rPr>
                <w:rFonts w:hint="eastAsia" w:ascii="宋体" w:hAnsi="宋体" w:cs="宋体"/>
                <w:bCs/>
                <w:sz w:val="24"/>
                <w:highlight w:val="none"/>
              </w:rPr>
              <w:t>项目名称</w:t>
            </w:r>
          </w:p>
        </w:tc>
        <w:tc>
          <w:tcPr>
            <w:tcW w:w="1117" w:type="pct"/>
            <w:tcBorders>
              <w:top w:val="single" w:color="auto" w:sz="4" w:space="0"/>
              <w:left w:val="single" w:color="auto" w:sz="4" w:space="0"/>
              <w:bottom w:val="single" w:color="auto" w:sz="4" w:space="0"/>
              <w:right w:val="single" w:color="auto" w:sz="4" w:space="0"/>
            </w:tcBorders>
            <w:vAlign w:val="center"/>
          </w:tcPr>
          <w:p w14:paraId="3530B4B1">
            <w:pPr>
              <w:jc w:val="center"/>
              <w:rPr>
                <w:rFonts w:ascii="宋体" w:hAnsi="宋体" w:cs="宋体"/>
                <w:bCs/>
                <w:sz w:val="24"/>
                <w:highlight w:val="none"/>
              </w:rPr>
            </w:pPr>
            <w:r>
              <w:rPr>
                <w:rFonts w:hint="eastAsia" w:ascii="宋体" w:hAnsi="宋体" w:cs="宋体"/>
                <w:bCs/>
                <w:sz w:val="24"/>
                <w:highlight w:val="none"/>
              </w:rPr>
              <w:t>项目内容</w:t>
            </w:r>
          </w:p>
        </w:tc>
        <w:tc>
          <w:tcPr>
            <w:tcW w:w="809" w:type="pct"/>
            <w:tcBorders>
              <w:top w:val="single" w:color="auto" w:sz="4" w:space="0"/>
              <w:left w:val="single" w:color="auto" w:sz="4" w:space="0"/>
              <w:bottom w:val="single" w:color="auto" w:sz="4" w:space="0"/>
              <w:right w:val="single" w:color="auto" w:sz="4" w:space="0"/>
            </w:tcBorders>
            <w:vAlign w:val="center"/>
          </w:tcPr>
          <w:p w14:paraId="7E421E89">
            <w:pPr>
              <w:jc w:val="center"/>
              <w:rPr>
                <w:rFonts w:ascii="宋体" w:hAnsi="宋体" w:cs="宋体"/>
                <w:bCs/>
                <w:sz w:val="24"/>
                <w:highlight w:val="none"/>
              </w:rPr>
            </w:pPr>
            <w:r>
              <w:rPr>
                <w:rFonts w:hint="eastAsia" w:ascii="宋体" w:hAnsi="宋体" w:cs="宋体"/>
                <w:bCs/>
                <w:sz w:val="24"/>
                <w:highlight w:val="none"/>
              </w:rPr>
              <w:t>合同有效金额（万元）</w:t>
            </w:r>
          </w:p>
        </w:tc>
        <w:tc>
          <w:tcPr>
            <w:tcW w:w="395" w:type="pct"/>
            <w:tcBorders>
              <w:top w:val="single" w:color="auto" w:sz="4" w:space="0"/>
              <w:left w:val="single" w:color="auto" w:sz="4" w:space="0"/>
              <w:bottom w:val="single" w:color="auto" w:sz="4" w:space="0"/>
              <w:right w:val="single" w:color="auto" w:sz="4" w:space="0"/>
            </w:tcBorders>
            <w:vAlign w:val="center"/>
          </w:tcPr>
          <w:p w14:paraId="1F9600F0">
            <w:pPr>
              <w:jc w:val="center"/>
              <w:rPr>
                <w:rFonts w:ascii="宋体" w:hAnsi="宋体" w:cs="宋体"/>
                <w:bCs/>
                <w:sz w:val="24"/>
                <w:highlight w:val="none"/>
              </w:rPr>
            </w:pPr>
            <w:r>
              <w:rPr>
                <w:rFonts w:hint="eastAsia" w:ascii="宋体" w:hAnsi="宋体" w:cs="宋体"/>
                <w:bCs/>
                <w:sz w:val="24"/>
                <w:highlight w:val="none"/>
              </w:rPr>
              <w:t>签订日期</w:t>
            </w:r>
          </w:p>
        </w:tc>
        <w:tc>
          <w:tcPr>
            <w:tcW w:w="938" w:type="pct"/>
            <w:tcBorders>
              <w:top w:val="single" w:color="auto" w:sz="4" w:space="0"/>
              <w:left w:val="single" w:color="auto" w:sz="4" w:space="0"/>
              <w:bottom w:val="single" w:color="auto" w:sz="4" w:space="0"/>
              <w:right w:val="single" w:color="auto" w:sz="4" w:space="0"/>
            </w:tcBorders>
            <w:vAlign w:val="center"/>
          </w:tcPr>
          <w:p w14:paraId="587D24B8">
            <w:pPr>
              <w:jc w:val="center"/>
              <w:rPr>
                <w:rFonts w:ascii="宋体" w:hAnsi="宋体" w:cs="宋体"/>
                <w:bCs/>
                <w:sz w:val="24"/>
                <w:highlight w:val="none"/>
              </w:rPr>
            </w:pPr>
            <w:r>
              <w:rPr>
                <w:rFonts w:hint="eastAsia" w:ascii="宋体" w:hAnsi="宋体" w:cs="宋体"/>
                <w:bCs/>
                <w:sz w:val="24"/>
                <w:highlight w:val="none"/>
              </w:rPr>
              <w:t>用户联系人及电话</w:t>
            </w:r>
          </w:p>
        </w:tc>
        <w:tc>
          <w:tcPr>
            <w:tcW w:w="500" w:type="pct"/>
            <w:tcBorders>
              <w:top w:val="single" w:color="auto" w:sz="4" w:space="0"/>
              <w:left w:val="single" w:color="auto" w:sz="4" w:space="0"/>
              <w:bottom w:val="single" w:color="auto" w:sz="4" w:space="0"/>
              <w:right w:val="single" w:color="auto" w:sz="4" w:space="0"/>
            </w:tcBorders>
            <w:vAlign w:val="center"/>
          </w:tcPr>
          <w:p w14:paraId="65C81913">
            <w:pPr>
              <w:jc w:val="center"/>
              <w:rPr>
                <w:rFonts w:ascii="宋体" w:hAnsi="宋体" w:cs="宋体"/>
                <w:bCs/>
                <w:sz w:val="24"/>
                <w:highlight w:val="none"/>
              </w:rPr>
            </w:pPr>
            <w:r>
              <w:rPr>
                <w:rFonts w:hint="eastAsia" w:ascii="宋体" w:hAnsi="宋体" w:cs="宋体"/>
                <w:bCs/>
                <w:sz w:val="24"/>
                <w:highlight w:val="none"/>
              </w:rPr>
              <w:t>页码</w:t>
            </w:r>
          </w:p>
        </w:tc>
      </w:tr>
      <w:tr w14:paraId="44ED97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1" w:hRule="exact"/>
        </w:trPr>
        <w:tc>
          <w:tcPr>
            <w:tcW w:w="424" w:type="pct"/>
            <w:tcBorders>
              <w:top w:val="single" w:color="auto" w:sz="4" w:space="0"/>
              <w:left w:val="single" w:color="auto" w:sz="4" w:space="0"/>
              <w:bottom w:val="single" w:color="auto" w:sz="4" w:space="0"/>
              <w:right w:val="single" w:color="auto" w:sz="4" w:space="0"/>
            </w:tcBorders>
          </w:tcPr>
          <w:p w14:paraId="613045B0">
            <w:pPr>
              <w:rPr>
                <w:bCs/>
                <w:sz w:val="24"/>
                <w:highlight w:val="none"/>
              </w:rPr>
            </w:pPr>
          </w:p>
        </w:tc>
        <w:tc>
          <w:tcPr>
            <w:tcW w:w="398" w:type="pct"/>
            <w:tcBorders>
              <w:top w:val="single" w:color="auto" w:sz="4" w:space="0"/>
              <w:left w:val="single" w:color="auto" w:sz="4" w:space="0"/>
              <w:bottom w:val="single" w:color="auto" w:sz="4" w:space="0"/>
              <w:right w:val="single" w:color="auto" w:sz="4" w:space="0"/>
            </w:tcBorders>
          </w:tcPr>
          <w:p w14:paraId="0C9E259E">
            <w:pPr>
              <w:rPr>
                <w:bCs/>
                <w:sz w:val="24"/>
                <w:highlight w:val="none"/>
              </w:rPr>
            </w:pPr>
          </w:p>
        </w:tc>
        <w:tc>
          <w:tcPr>
            <w:tcW w:w="419" w:type="pct"/>
            <w:tcBorders>
              <w:top w:val="single" w:color="auto" w:sz="4" w:space="0"/>
              <w:left w:val="single" w:color="auto" w:sz="4" w:space="0"/>
              <w:bottom w:val="single" w:color="auto" w:sz="4" w:space="0"/>
              <w:right w:val="single" w:color="auto" w:sz="4" w:space="0"/>
            </w:tcBorders>
          </w:tcPr>
          <w:p w14:paraId="3531FC6A">
            <w:pPr>
              <w:rPr>
                <w:bCs/>
                <w:sz w:val="24"/>
                <w:highlight w:val="none"/>
              </w:rPr>
            </w:pPr>
          </w:p>
        </w:tc>
        <w:tc>
          <w:tcPr>
            <w:tcW w:w="1117" w:type="pct"/>
            <w:tcBorders>
              <w:top w:val="single" w:color="auto" w:sz="4" w:space="0"/>
              <w:left w:val="single" w:color="auto" w:sz="4" w:space="0"/>
              <w:bottom w:val="single" w:color="auto" w:sz="4" w:space="0"/>
              <w:right w:val="single" w:color="auto" w:sz="4" w:space="0"/>
            </w:tcBorders>
          </w:tcPr>
          <w:p w14:paraId="7A60DA53">
            <w:pPr>
              <w:rPr>
                <w:bCs/>
                <w:sz w:val="24"/>
                <w:highlight w:val="none"/>
              </w:rPr>
            </w:pPr>
          </w:p>
        </w:tc>
        <w:tc>
          <w:tcPr>
            <w:tcW w:w="809" w:type="pct"/>
            <w:tcBorders>
              <w:top w:val="single" w:color="auto" w:sz="4" w:space="0"/>
              <w:left w:val="single" w:color="auto" w:sz="4" w:space="0"/>
              <w:bottom w:val="single" w:color="auto" w:sz="4" w:space="0"/>
              <w:right w:val="single" w:color="auto" w:sz="4" w:space="0"/>
            </w:tcBorders>
          </w:tcPr>
          <w:p w14:paraId="7288EBCE">
            <w:pPr>
              <w:rPr>
                <w:bCs/>
                <w:sz w:val="24"/>
                <w:highlight w:val="none"/>
              </w:rPr>
            </w:pPr>
          </w:p>
        </w:tc>
        <w:tc>
          <w:tcPr>
            <w:tcW w:w="395" w:type="pct"/>
            <w:tcBorders>
              <w:top w:val="single" w:color="auto" w:sz="4" w:space="0"/>
              <w:left w:val="single" w:color="auto" w:sz="4" w:space="0"/>
              <w:bottom w:val="single" w:color="auto" w:sz="4" w:space="0"/>
              <w:right w:val="single" w:color="auto" w:sz="4" w:space="0"/>
            </w:tcBorders>
          </w:tcPr>
          <w:p w14:paraId="17919FC0">
            <w:pPr>
              <w:rPr>
                <w:bCs/>
                <w:sz w:val="24"/>
                <w:highlight w:val="none"/>
              </w:rPr>
            </w:pPr>
          </w:p>
        </w:tc>
        <w:tc>
          <w:tcPr>
            <w:tcW w:w="938" w:type="pct"/>
            <w:tcBorders>
              <w:top w:val="single" w:color="auto" w:sz="4" w:space="0"/>
              <w:left w:val="single" w:color="auto" w:sz="4" w:space="0"/>
              <w:bottom w:val="single" w:color="auto" w:sz="4" w:space="0"/>
              <w:right w:val="single" w:color="auto" w:sz="4" w:space="0"/>
            </w:tcBorders>
          </w:tcPr>
          <w:p w14:paraId="4069ABA2">
            <w:pPr>
              <w:rPr>
                <w:bCs/>
                <w:sz w:val="24"/>
                <w:highlight w:val="none"/>
              </w:rPr>
            </w:pPr>
          </w:p>
        </w:tc>
        <w:tc>
          <w:tcPr>
            <w:tcW w:w="500" w:type="pct"/>
            <w:tcBorders>
              <w:top w:val="single" w:color="auto" w:sz="4" w:space="0"/>
              <w:left w:val="single" w:color="auto" w:sz="4" w:space="0"/>
              <w:bottom w:val="single" w:color="auto" w:sz="4" w:space="0"/>
              <w:right w:val="single" w:color="auto" w:sz="4" w:space="0"/>
            </w:tcBorders>
          </w:tcPr>
          <w:p w14:paraId="6A82B2E1">
            <w:pPr>
              <w:rPr>
                <w:bCs/>
                <w:sz w:val="24"/>
                <w:highlight w:val="none"/>
              </w:rPr>
            </w:pPr>
          </w:p>
        </w:tc>
      </w:tr>
      <w:tr w14:paraId="7FC9BD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1" w:hRule="exact"/>
        </w:trPr>
        <w:tc>
          <w:tcPr>
            <w:tcW w:w="424" w:type="pct"/>
            <w:tcBorders>
              <w:top w:val="single" w:color="auto" w:sz="4" w:space="0"/>
              <w:left w:val="single" w:color="auto" w:sz="4" w:space="0"/>
              <w:bottom w:val="single" w:color="auto" w:sz="4" w:space="0"/>
              <w:right w:val="single" w:color="auto" w:sz="4" w:space="0"/>
            </w:tcBorders>
          </w:tcPr>
          <w:p w14:paraId="78BDB698">
            <w:pPr>
              <w:rPr>
                <w:bCs/>
                <w:sz w:val="24"/>
                <w:highlight w:val="none"/>
              </w:rPr>
            </w:pPr>
          </w:p>
        </w:tc>
        <w:tc>
          <w:tcPr>
            <w:tcW w:w="398" w:type="pct"/>
            <w:tcBorders>
              <w:top w:val="single" w:color="auto" w:sz="4" w:space="0"/>
              <w:left w:val="single" w:color="auto" w:sz="4" w:space="0"/>
              <w:bottom w:val="single" w:color="auto" w:sz="4" w:space="0"/>
              <w:right w:val="single" w:color="auto" w:sz="4" w:space="0"/>
            </w:tcBorders>
          </w:tcPr>
          <w:p w14:paraId="3376BC12">
            <w:pPr>
              <w:rPr>
                <w:bCs/>
                <w:sz w:val="24"/>
                <w:highlight w:val="none"/>
              </w:rPr>
            </w:pPr>
          </w:p>
        </w:tc>
        <w:tc>
          <w:tcPr>
            <w:tcW w:w="419" w:type="pct"/>
            <w:tcBorders>
              <w:top w:val="single" w:color="auto" w:sz="4" w:space="0"/>
              <w:left w:val="single" w:color="auto" w:sz="4" w:space="0"/>
              <w:bottom w:val="single" w:color="auto" w:sz="4" w:space="0"/>
              <w:right w:val="single" w:color="auto" w:sz="4" w:space="0"/>
            </w:tcBorders>
          </w:tcPr>
          <w:p w14:paraId="611549C5">
            <w:pPr>
              <w:rPr>
                <w:bCs/>
                <w:sz w:val="24"/>
                <w:highlight w:val="none"/>
              </w:rPr>
            </w:pPr>
          </w:p>
        </w:tc>
        <w:tc>
          <w:tcPr>
            <w:tcW w:w="1117" w:type="pct"/>
            <w:tcBorders>
              <w:top w:val="single" w:color="auto" w:sz="4" w:space="0"/>
              <w:left w:val="single" w:color="auto" w:sz="4" w:space="0"/>
              <w:bottom w:val="single" w:color="auto" w:sz="4" w:space="0"/>
              <w:right w:val="single" w:color="auto" w:sz="4" w:space="0"/>
            </w:tcBorders>
          </w:tcPr>
          <w:p w14:paraId="01BB58CA">
            <w:pPr>
              <w:rPr>
                <w:bCs/>
                <w:sz w:val="24"/>
                <w:highlight w:val="none"/>
              </w:rPr>
            </w:pPr>
          </w:p>
        </w:tc>
        <w:tc>
          <w:tcPr>
            <w:tcW w:w="809" w:type="pct"/>
            <w:tcBorders>
              <w:top w:val="single" w:color="auto" w:sz="4" w:space="0"/>
              <w:left w:val="single" w:color="auto" w:sz="4" w:space="0"/>
              <w:bottom w:val="single" w:color="auto" w:sz="4" w:space="0"/>
              <w:right w:val="single" w:color="auto" w:sz="4" w:space="0"/>
            </w:tcBorders>
          </w:tcPr>
          <w:p w14:paraId="5FDB7116">
            <w:pPr>
              <w:rPr>
                <w:bCs/>
                <w:sz w:val="24"/>
                <w:highlight w:val="none"/>
              </w:rPr>
            </w:pPr>
          </w:p>
        </w:tc>
        <w:tc>
          <w:tcPr>
            <w:tcW w:w="395" w:type="pct"/>
            <w:tcBorders>
              <w:top w:val="single" w:color="auto" w:sz="4" w:space="0"/>
              <w:left w:val="single" w:color="auto" w:sz="4" w:space="0"/>
              <w:bottom w:val="single" w:color="auto" w:sz="4" w:space="0"/>
              <w:right w:val="single" w:color="auto" w:sz="4" w:space="0"/>
            </w:tcBorders>
          </w:tcPr>
          <w:p w14:paraId="33A048AB">
            <w:pPr>
              <w:rPr>
                <w:bCs/>
                <w:sz w:val="24"/>
                <w:highlight w:val="none"/>
              </w:rPr>
            </w:pPr>
          </w:p>
        </w:tc>
        <w:tc>
          <w:tcPr>
            <w:tcW w:w="938" w:type="pct"/>
            <w:tcBorders>
              <w:top w:val="single" w:color="auto" w:sz="4" w:space="0"/>
              <w:left w:val="single" w:color="auto" w:sz="4" w:space="0"/>
              <w:bottom w:val="single" w:color="auto" w:sz="4" w:space="0"/>
              <w:right w:val="single" w:color="auto" w:sz="4" w:space="0"/>
            </w:tcBorders>
          </w:tcPr>
          <w:p w14:paraId="1EEAD8CF">
            <w:pPr>
              <w:rPr>
                <w:bCs/>
                <w:sz w:val="24"/>
                <w:highlight w:val="none"/>
              </w:rPr>
            </w:pPr>
          </w:p>
        </w:tc>
        <w:tc>
          <w:tcPr>
            <w:tcW w:w="500" w:type="pct"/>
            <w:tcBorders>
              <w:top w:val="single" w:color="auto" w:sz="4" w:space="0"/>
              <w:left w:val="single" w:color="auto" w:sz="4" w:space="0"/>
              <w:bottom w:val="single" w:color="auto" w:sz="4" w:space="0"/>
              <w:right w:val="single" w:color="auto" w:sz="4" w:space="0"/>
            </w:tcBorders>
          </w:tcPr>
          <w:p w14:paraId="35F6F3EE">
            <w:pPr>
              <w:rPr>
                <w:bCs/>
                <w:sz w:val="24"/>
                <w:highlight w:val="none"/>
              </w:rPr>
            </w:pPr>
          </w:p>
        </w:tc>
      </w:tr>
      <w:tr w14:paraId="412048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1" w:hRule="exact"/>
        </w:trPr>
        <w:tc>
          <w:tcPr>
            <w:tcW w:w="424" w:type="pct"/>
            <w:tcBorders>
              <w:top w:val="single" w:color="auto" w:sz="4" w:space="0"/>
              <w:left w:val="single" w:color="auto" w:sz="4" w:space="0"/>
              <w:bottom w:val="single" w:color="auto" w:sz="4" w:space="0"/>
              <w:right w:val="single" w:color="auto" w:sz="4" w:space="0"/>
            </w:tcBorders>
          </w:tcPr>
          <w:p w14:paraId="428481F7">
            <w:pPr>
              <w:rPr>
                <w:bCs/>
                <w:sz w:val="24"/>
                <w:highlight w:val="none"/>
              </w:rPr>
            </w:pPr>
          </w:p>
        </w:tc>
        <w:tc>
          <w:tcPr>
            <w:tcW w:w="398" w:type="pct"/>
            <w:tcBorders>
              <w:top w:val="single" w:color="auto" w:sz="4" w:space="0"/>
              <w:left w:val="single" w:color="auto" w:sz="4" w:space="0"/>
              <w:bottom w:val="single" w:color="auto" w:sz="4" w:space="0"/>
              <w:right w:val="single" w:color="auto" w:sz="4" w:space="0"/>
            </w:tcBorders>
          </w:tcPr>
          <w:p w14:paraId="566C7D0F">
            <w:pPr>
              <w:rPr>
                <w:bCs/>
                <w:sz w:val="24"/>
                <w:highlight w:val="none"/>
              </w:rPr>
            </w:pPr>
          </w:p>
        </w:tc>
        <w:tc>
          <w:tcPr>
            <w:tcW w:w="419" w:type="pct"/>
            <w:tcBorders>
              <w:top w:val="single" w:color="auto" w:sz="4" w:space="0"/>
              <w:left w:val="single" w:color="auto" w:sz="4" w:space="0"/>
              <w:bottom w:val="single" w:color="auto" w:sz="4" w:space="0"/>
              <w:right w:val="single" w:color="auto" w:sz="4" w:space="0"/>
            </w:tcBorders>
          </w:tcPr>
          <w:p w14:paraId="7848C69C">
            <w:pPr>
              <w:rPr>
                <w:bCs/>
                <w:sz w:val="24"/>
                <w:highlight w:val="none"/>
              </w:rPr>
            </w:pPr>
          </w:p>
        </w:tc>
        <w:tc>
          <w:tcPr>
            <w:tcW w:w="1117" w:type="pct"/>
            <w:tcBorders>
              <w:top w:val="single" w:color="auto" w:sz="4" w:space="0"/>
              <w:left w:val="single" w:color="auto" w:sz="4" w:space="0"/>
              <w:bottom w:val="single" w:color="auto" w:sz="4" w:space="0"/>
              <w:right w:val="single" w:color="auto" w:sz="4" w:space="0"/>
            </w:tcBorders>
          </w:tcPr>
          <w:p w14:paraId="7025C5B6">
            <w:pPr>
              <w:rPr>
                <w:bCs/>
                <w:sz w:val="24"/>
                <w:highlight w:val="none"/>
              </w:rPr>
            </w:pPr>
          </w:p>
        </w:tc>
        <w:tc>
          <w:tcPr>
            <w:tcW w:w="809" w:type="pct"/>
            <w:tcBorders>
              <w:top w:val="single" w:color="auto" w:sz="4" w:space="0"/>
              <w:left w:val="single" w:color="auto" w:sz="4" w:space="0"/>
              <w:bottom w:val="single" w:color="auto" w:sz="4" w:space="0"/>
              <w:right w:val="single" w:color="auto" w:sz="4" w:space="0"/>
            </w:tcBorders>
          </w:tcPr>
          <w:p w14:paraId="74C1441F">
            <w:pPr>
              <w:rPr>
                <w:bCs/>
                <w:sz w:val="24"/>
                <w:highlight w:val="none"/>
              </w:rPr>
            </w:pPr>
          </w:p>
        </w:tc>
        <w:tc>
          <w:tcPr>
            <w:tcW w:w="395" w:type="pct"/>
            <w:tcBorders>
              <w:top w:val="single" w:color="auto" w:sz="4" w:space="0"/>
              <w:left w:val="single" w:color="auto" w:sz="4" w:space="0"/>
              <w:bottom w:val="single" w:color="auto" w:sz="4" w:space="0"/>
              <w:right w:val="single" w:color="auto" w:sz="4" w:space="0"/>
            </w:tcBorders>
          </w:tcPr>
          <w:p w14:paraId="1C192B72">
            <w:pPr>
              <w:rPr>
                <w:bCs/>
                <w:sz w:val="24"/>
                <w:highlight w:val="none"/>
              </w:rPr>
            </w:pPr>
          </w:p>
        </w:tc>
        <w:tc>
          <w:tcPr>
            <w:tcW w:w="938" w:type="pct"/>
            <w:tcBorders>
              <w:top w:val="single" w:color="auto" w:sz="4" w:space="0"/>
              <w:left w:val="single" w:color="auto" w:sz="4" w:space="0"/>
              <w:bottom w:val="single" w:color="auto" w:sz="4" w:space="0"/>
              <w:right w:val="single" w:color="auto" w:sz="4" w:space="0"/>
            </w:tcBorders>
          </w:tcPr>
          <w:p w14:paraId="13245B18">
            <w:pPr>
              <w:rPr>
                <w:bCs/>
                <w:sz w:val="24"/>
                <w:highlight w:val="none"/>
              </w:rPr>
            </w:pPr>
          </w:p>
        </w:tc>
        <w:tc>
          <w:tcPr>
            <w:tcW w:w="500" w:type="pct"/>
            <w:tcBorders>
              <w:top w:val="single" w:color="auto" w:sz="4" w:space="0"/>
              <w:left w:val="single" w:color="auto" w:sz="4" w:space="0"/>
              <w:bottom w:val="single" w:color="auto" w:sz="4" w:space="0"/>
              <w:right w:val="single" w:color="auto" w:sz="4" w:space="0"/>
            </w:tcBorders>
          </w:tcPr>
          <w:p w14:paraId="5C9118DC">
            <w:pPr>
              <w:rPr>
                <w:bCs/>
                <w:sz w:val="24"/>
                <w:highlight w:val="none"/>
              </w:rPr>
            </w:pPr>
          </w:p>
        </w:tc>
      </w:tr>
      <w:tr w14:paraId="288808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1" w:hRule="exact"/>
        </w:trPr>
        <w:tc>
          <w:tcPr>
            <w:tcW w:w="424" w:type="pct"/>
            <w:tcBorders>
              <w:top w:val="single" w:color="auto" w:sz="4" w:space="0"/>
              <w:left w:val="single" w:color="auto" w:sz="4" w:space="0"/>
              <w:bottom w:val="single" w:color="auto" w:sz="4" w:space="0"/>
              <w:right w:val="single" w:color="auto" w:sz="4" w:space="0"/>
            </w:tcBorders>
            <w:vAlign w:val="center"/>
          </w:tcPr>
          <w:p w14:paraId="2A4246B3">
            <w:pPr>
              <w:jc w:val="center"/>
              <w:rPr>
                <w:bCs/>
                <w:sz w:val="24"/>
                <w:highlight w:val="none"/>
              </w:rPr>
            </w:pPr>
            <w:r>
              <w:rPr>
                <w:rFonts w:hint="eastAsia"/>
                <w:bCs/>
                <w:sz w:val="24"/>
                <w:highlight w:val="none"/>
              </w:rPr>
              <w:t>合计</w:t>
            </w:r>
          </w:p>
        </w:tc>
        <w:tc>
          <w:tcPr>
            <w:tcW w:w="398" w:type="pct"/>
            <w:tcBorders>
              <w:top w:val="single" w:color="auto" w:sz="4" w:space="0"/>
              <w:left w:val="single" w:color="auto" w:sz="4" w:space="0"/>
              <w:bottom w:val="single" w:color="auto" w:sz="4" w:space="0"/>
              <w:right w:val="single" w:color="auto" w:sz="4" w:space="0"/>
            </w:tcBorders>
            <w:vAlign w:val="center"/>
          </w:tcPr>
          <w:p w14:paraId="55155A9C">
            <w:pPr>
              <w:jc w:val="center"/>
              <w:rPr>
                <w:bCs/>
                <w:sz w:val="24"/>
                <w:highlight w:val="none"/>
              </w:rPr>
            </w:pPr>
          </w:p>
        </w:tc>
        <w:tc>
          <w:tcPr>
            <w:tcW w:w="419" w:type="pct"/>
            <w:tcBorders>
              <w:top w:val="single" w:color="auto" w:sz="4" w:space="0"/>
              <w:left w:val="single" w:color="auto" w:sz="4" w:space="0"/>
              <w:bottom w:val="single" w:color="auto" w:sz="4" w:space="0"/>
              <w:right w:val="single" w:color="auto" w:sz="4" w:space="0"/>
            </w:tcBorders>
            <w:vAlign w:val="center"/>
          </w:tcPr>
          <w:p w14:paraId="4DEE5D14">
            <w:pPr>
              <w:jc w:val="center"/>
              <w:rPr>
                <w:bCs/>
                <w:sz w:val="24"/>
                <w:highlight w:val="none"/>
              </w:rPr>
            </w:pPr>
          </w:p>
        </w:tc>
        <w:tc>
          <w:tcPr>
            <w:tcW w:w="1117" w:type="pct"/>
            <w:tcBorders>
              <w:top w:val="single" w:color="auto" w:sz="4" w:space="0"/>
              <w:left w:val="single" w:color="auto" w:sz="4" w:space="0"/>
              <w:bottom w:val="single" w:color="auto" w:sz="4" w:space="0"/>
              <w:right w:val="single" w:color="auto" w:sz="4" w:space="0"/>
            </w:tcBorders>
            <w:vAlign w:val="center"/>
          </w:tcPr>
          <w:p w14:paraId="698E9CEB">
            <w:pPr>
              <w:jc w:val="center"/>
              <w:rPr>
                <w:bCs/>
                <w:sz w:val="24"/>
                <w:highlight w:val="none"/>
              </w:rPr>
            </w:pPr>
          </w:p>
        </w:tc>
        <w:tc>
          <w:tcPr>
            <w:tcW w:w="809" w:type="pct"/>
            <w:tcBorders>
              <w:top w:val="single" w:color="auto" w:sz="4" w:space="0"/>
              <w:left w:val="single" w:color="auto" w:sz="4" w:space="0"/>
              <w:bottom w:val="single" w:color="auto" w:sz="4" w:space="0"/>
              <w:right w:val="single" w:color="auto" w:sz="4" w:space="0"/>
            </w:tcBorders>
            <w:vAlign w:val="center"/>
          </w:tcPr>
          <w:p w14:paraId="22842F31">
            <w:pPr>
              <w:jc w:val="center"/>
              <w:rPr>
                <w:bCs/>
                <w:sz w:val="24"/>
                <w:highlight w:val="none"/>
              </w:rPr>
            </w:pPr>
          </w:p>
        </w:tc>
        <w:tc>
          <w:tcPr>
            <w:tcW w:w="395" w:type="pct"/>
            <w:tcBorders>
              <w:top w:val="single" w:color="auto" w:sz="4" w:space="0"/>
              <w:left w:val="single" w:color="auto" w:sz="4" w:space="0"/>
              <w:bottom w:val="single" w:color="auto" w:sz="4" w:space="0"/>
              <w:right w:val="single" w:color="auto" w:sz="4" w:space="0"/>
            </w:tcBorders>
            <w:vAlign w:val="center"/>
          </w:tcPr>
          <w:p w14:paraId="494D70B0">
            <w:pPr>
              <w:jc w:val="center"/>
              <w:rPr>
                <w:bCs/>
                <w:sz w:val="24"/>
                <w:highlight w:val="none"/>
              </w:rPr>
            </w:pPr>
          </w:p>
        </w:tc>
        <w:tc>
          <w:tcPr>
            <w:tcW w:w="938" w:type="pct"/>
            <w:tcBorders>
              <w:top w:val="single" w:color="auto" w:sz="4" w:space="0"/>
              <w:left w:val="single" w:color="auto" w:sz="4" w:space="0"/>
              <w:bottom w:val="single" w:color="auto" w:sz="4" w:space="0"/>
              <w:right w:val="single" w:color="auto" w:sz="4" w:space="0"/>
            </w:tcBorders>
            <w:vAlign w:val="center"/>
          </w:tcPr>
          <w:p w14:paraId="69202FB4">
            <w:pPr>
              <w:jc w:val="center"/>
              <w:rPr>
                <w:bCs/>
                <w:sz w:val="24"/>
                <w:highlight w:val="none"/>
              </w:rPr>
            </w:pPr>
          </w:p>
        </w:tc>
        <w:tc>
          <w:tcPr>
            <w:tcW w:w="500" w:type="pct"/>
            <w:tcBorders>
              <w:top w:val="single" w:color="auto" w:sz="4" w:space="0"/>
              <w:left w:val="single" w:color="auto" w:sz="4" w:space="0"/>
              <w:bottom w:val="single" w:color="auto" w:sz="4" w:space="0"/>
              <w:right w:val="single" w:color="auto" w:sz="4" w:space="0"/>
            </w:tcBorders>
            <w:vAlign w:val="center"/>
          </w:tcPr>
          <w:p w14:paraId="355619DD">
            <w:pPr>
              <w:jc w:val="center"/>
              <w:rPr>
                <w:bCs/>
                <w:sz w:val="24"/>
                <w:highlight w:val="none"/>
              </w:rPr>
            </w:pPr>
          </w:p>
        </w:tc>
      </w:tr>
      <w:tr w14:paraId="4C98F5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79" w:hRule="exact"/>
        </w:trPr>
        <w:tc>
          <w:tcPr>
            <w:tcW w:w="5000" w:type="pct"/>
            <w:gridSpan w:val="8"/>
            <w:tcBorders>
              <w:top w:val="single" w:color="auto" w:sz="4" w:space="0"/>
              <w:left w:val="single" w:color="auto" w:sz="4" w:space="0"/>
              <w:bottom w:val="single" w:color="auto" w:sz="4" w:space="0"/>
              <w:right w:val="single" w:color="auto" w:sz="4" w:space="0"/>
            </w:tcBorders>
            <w:vAlign w:val="center"/>
          </w:tcPr>
          <w:p w14:paraId="14BB66D1">
            <w:pPr>
              <w:widowControl/>
              <w:spacing w:line="276" w:lineRule="auto"/>
              <w:jc w:val="left"/>
              <w:rPr>
                <w:rFonts w:ascii="宋体" w:hAnsi="宋体"/>
                <w:bCs/>
                <w:sz w:val="24"/>
                <w:highlight w:val="none"/>
              </w:rPr>
            </w:pPr>
            <w:r>
              <w:rPr>
                <w:rFonts w:ascii="宋体" w:hAnsi="宋体"/>
                <w:bCs/>
                <w:sz w:val="24"/>
                <w:highlight w:val="none"/>
              </w:rPr>
              <w:t>备注：</w:t>
            </w:r>
          </w:p>
          <w:p w14:paraId="0A8C1298">
            <w:pPr>
              <w:widowControl/>
              <w:spacing w:line="276" w:lineRule="auto"/>
              <w:ind w:firstLine="480" w:firstLineChars="200"/>
              <w:jc w:val="left"/>
              <w:rPr>
                <w:rFonts w:ascii="宋体" w:hAnsi="宋体" w:cs="宋体"/>
                <w:bCs/>
                <w:sz w:val="24"/>
                <w:highlight w:val="none"/>
              </w:rPr>
            </w:pPr>
            <w:r>
              <w:rPr>
                <w:rFonts w:ascii="宋体" w:hAnsi="宋体" w:cs="宋体"/>
                <w:bCs/>
                <w:sz w:val="24"/>
                <w:highlight w:val="none"/>
              </w:rPr>
              <w:t>1.同类项目指本次</w:t>
            </w:r>
            <w:r>
              <w:rPr>
                <w:rFonts w:hint="eastAsia" w:ascii="宋体" w:hAnsi="宋体" w:cs="宋体"/>
                <w:bCs/>
                <w:sz w:val="24"/>
                <w:highlight w:val="none"/>
              </w:rPr>
              <w:t>谈判</w:t>
            </w:r>
            <w:r>
              <w:rPr>
                <w:rFonts w:ascii="宋体" w:hAnsi="宋体" w:cs="宋体"/>
                <w:bCs/>
                <w:sz w:val="24"/>
                <w:highlight w:val="none"/>
              </w:rPr>
              <w:t>的产品或同类产品</w:t>
            </w:r>
            <w:r>
              <w:rPr>
                <w:rFonts w:hint="eastAsia" w:ascii="宋体" w:hAnsi="宋体"/>
                <w:bCs/>
                <w:sz w:val="28"/>
                <w:szCs w:val="28"/>
                <w:highlight w:val="none"/>
              </w:rPr>
              <w:t>，</w:t>
            </w:r>
            <w:r>
              <w:rPr>
                <w:rFonts w:ascii="宋体" w:hAnsi="宋体" w:cs="宋体"/>
                <w:bCs/>
                <w:sz w:val="24"/>
                <w:highlight w:val="none"/>
              </w:rPr>
              <w:t>具体在评审标准中明确范围。合同有效金额是指合同中本次</w:t>
            </w:r>
            <w:r>
              <w:rPr>
                <w:rFonts w:hint="eastAsia" w:ascii="宋体" w:hAnsi="宋体" w:cs="宋体"/>
                <w:bCs/>
                <w:sz w:val="24"/>
                <w:highlight w:val="none"/>
              </w:rPr>
              <w:t>谈判</w:t>
            </w:r>
            <w:r>
              <w:rPr>
                <w:rFonts w:ascii="宋体" w:hAnsi="宋体" w:cs="宋体"/>
                <w:bCs/>
                <w:sz w:val="24"/>
                <w:highlight w:val="none"/>
              </w:rPr>
              <w:t>的</w:t>
            </w:r>
            <w:r>
              <w:rPr>
                <w:rFonts w:hint="eastAsia" w:ascii="宋体" w:hAnsi="宋体" w:cs="宋体"/>
                <w:bCs/>
                <w:sz w:val="24"/>
                <w:highlight w:val="none"/>
              </w:rPr>
              <w:t>相同</w:t>
            </w:r>
            <w:r>
              <w:rPr>
                <w:rFonts w:ascii="宋体" w:hAnsi="宋体" w:cs="宋体"/>
                <w:bCs/>
                <w:sz w:val="24"/>
                <w:highlight w:val="none"/>
              </w:rPr>
              <w:t>产品或同类产品金额。</w:t>
            </w:r>
            <w:r>
              <w:rPr>
                <w:rFonts w:hint="eastAsia" w:ascii="黑体" w:hAnsi="黑体" w:eastAsia="黑体" w:cs="宋体"/>
                <w:sz w:val="24"/>
                <w:highlight w:val="none"/>
              </w:rPr>
              <w:t>该表严格按照《商务评审标准表》明确的相关要求填报。</w:t>
            </w:r>
          </w:p>
          <w:p w14:paraId="316B9DA4">
            <w:pPr>
              <w:widowControl/>
              <w:spacing w:line="276" w:lineRule="auto"/>
              <w:ind w:firstLine="480" w:firstLineChars="200"/>
              <w:jc w:val="left"/>
              <w:rPr>
                <w:rFonts w:ascii="宋体" w:hAnsi="宋体" w:cs="宋体"/>
                <w:bCs/>
                <w:sz w:val="24"/>
                <w:highlight w:val="none"/>
              </w:rPr>
            </w:pPr>
            <w:r>
              <w:rPr>
                <w:rFonts w:ascii="宋体" w:hAnsi="宋体" w:cs="宋体"/>
                <w:bCs/>
                <w:sz w:val="24"/>
                <w:highlight w:val="none"/>
              </w:rPr>
              <w:t>2.</w:t>
            </w:r>
            <w:r>
              <w:rPr>
                <w:rFonts w:hint="eastAsia"/>
                <w:bCs/>
                <w:sz w:val="24"/>
                <w:highlight w:val="none"/>
              </w:rPr>
              <w:t>项目内容包括同类项目，产品名称、型号等。</w:t>
            </w:r>
          </w:p>
          <w:p w14:paraId="456B133F">
            <w:pPr>
              <w:widowControl/>
              <w:spacing w:line="276" w:lineRule="auto"/>
              <w:ind w:firstLine="480" w:firstLineChars="200"/>
              <w:jc w:val="left"/>
              <w:rPr>
                <w:rFonts w:ascii="宋体" w:hAnsi="宋体" w:cs="宋体"/>
                <w:bCs/>
                <w:sz w:val="24"/>
                <w:highlight w:val="none"/>
              </w:rPr>
            </w:pPr>
            <w:r>
              <w:rPr>
                <w:rFonts w:ascii="宋体" w:hAnsi="宋体" w:cs="宋体"/>
                <w:bCs/>
                <w:sz w:val="24"/>
                <w:highlight w:val="none"/>
              </w:rPr>
              <w:t>3.“页码”栏中填写</w:t>
            </w:r>
            <w:r>
              <w:rPr>
                <w:rFonts w:hint="eastAsia" w:ascii="宋体" w:hAnsi="宋体" w:cs="宋体"/>
                <w:bCs/>
                <w:sz w:val="24"/>
                <w:highlight w:val="none"/>
              </w:rPr>
              <w:t>业绩材料</w:t>
            </w:r>
            <w:r>
              <w:rPr>
                <w:rFonts w:ascii="宋体" w:hAnsi="宋体" w:cs="宋体"/>
                <w:bCs/>
                <w:sz w:val="24"/>
                <w:highlight w:val="none"/>
              </w:rPr>
              <w:t>所在“商务技术文件”中的页码位置。</w:t>
            </w:r>
          </w:p>
          <w:p w14:paraId="0EF3BEA2">
            <w:pPr>
              <w:widowControl/>
              <w:spacing w:line="276" w:lineRule="auto"/>
              <w:ind w:firstLine="480" w:firstLineChars="200"/>
              <w:jc w:val="left"/>
              <w:rPr>
                <w:rFonts w:ascii="宋体" w:hAnsi="宋体" w:cs="宋体"/>
                <w:bCs/>
                <w:sz w:val="24"/>
                <w:highlight w:val="none"/>
              </w:rPr>
            </w:pPr>
            <w:r>
              <w:rPr>
                <w:rFonts w:ascii="宋体" w:hAnsi="宋体" w:cs="宋体"/>
                <w:bCs/>
                <w:sz w:val="24"/>
                <w:highlight w:val="none"/>
              </w:rPr>
              <w:t>4.</w:t>
            </w:r>
            <w:r>
              <w:rPr>
                <w:rFonts w:hint="eastAsia" w:ascii="宋体" w:hAnsi="宋体" w:cs="宋体"/>
                <w:bCs/>
                <w:sz w:val="24"/>
                <w:highlight w:val="none"/>
              </w:rPr>
              <w:t>合同缔约方存在控股或管理关系的，该合同无效。</w:t>
            </w:r>
          </w:p>
          <w:p w14:paraId="69C07315">
            <w:pPr>
              <w:widowControl/>
              <w:spacing w:line="276" w:lineRule="auto"/>
              <w:ind w:firstLine="480" w:firstLineChars="200"/>
              <w:jc w:val="left"/>
              <w:rPr>
                <w:rFonts w:ascii="宋体" w:hAnsi="宋体" w:cs="宋体"/>
                <w:bCs/>
                <w:sz w:val="24"/>
                <w:highlight w:val="none"/>
              </w:rPr>
            </w:pPr>
            <w:r>
              <w:rPr>
                <w:rFonts w:ascii="宋体" w:hAnsi="宋体" w:cs="宋体"/>
                <w:bCs/>
                <w:sz w:val="24"/>
                <w:highlight w:val="none"/>
              </w:rPr>
              <w:t>5.</w:t>
            </w:r>
            <w:r>
              <w:rPr>
                <w:rFonts w:hint="eastAsia" w:ascii="宋体" w:hAnsi="宋体" w:cs="宋体"/>
                <w:bCs/>
                <w:sz w:val="24"/>
                <w:highlight w:val="none"/>
              </w:rPr>
              <w:t>报价</w:t>
            </w:r>
            <w:r>
              <w:rPr>
                <w:rFonts w:ascii="宋体" w:hAnsi="宋体" w:cs="宋体"/>
                <w:bCs/>
                <w:sz w:val="24"/>
                <w:highlight w:val="none"/>
              </w:rPr>
              <w:t>供应商提供虚假合同的，按虚假</w:t>
            </w:r>
            <w:r>
              <w:rPr>
                <w:rFonts w:hint="eastAsia" w:ascii="宋体" w:hAnsi="宋体" w:cs="宋体"/>
                <w:bCs/>
                <w:sz w:val="24"/>
                <w:highlight w:val="none"/>
              </w:rPr>
              <w:t>报价</w:t>
            </w:r>
            <w:r>
              <w:rPr>
                <w:rFonts w:ascii="宋体" w:hAnsi="宋体" w:cs="宋体"/>
                <w:bCs/>
                <w:sz w:val="24"/>
                <w:highlight w:val="none"/>
              </w:rPr>
              <w:t>处理。</w:t>
            </w:r>
          </w:p>
          <w:p w14:paraId="371B75F4">
            <w:pPr>
              <w:widowControl/>
              <w:spacing w:line="276" w:lineRule="auto"/>
              <w:ind w:firstLine="480" w:firstLineChars="200"/>
              <w:jc w:val="left"/>
              <w:rPr>
                <w:rFonts w:ascii="宋体" w:hAnsi="宋体"/>
                <w:bCs/>
                <w:sz w:val="24"/>
                <w:highlight w:val="none"/>
              </w:rPr>
            </w:pPr>
            <w:r>
              <w:rPr>
                <w:rFonts w:ascii="宋体" w:hAnsi="宋体" w:cs="宋体"/>
                <w:bCs/>
                <w:sz w:val="24"/>
                <w:highlight w:val="none"/>
              </w:rPr>
              <w:t>6</w:t>
            </w:r>
            <w:r>
              <w:rPr>
                <w:rFonts w:hint="eastAsia" w:ascii="宋体" w:hAnsi="宋体" w:cs="宋体"/>
                <w:bCs/>
                <w:sz w:val="24"/>
                <w:highlight w:val="none"/>
              </w:rPr>
              <w:t>.合同中涉及</w:t>
            </w:r>
            <w:r>
              <w:rPr>
                <w:rFonts w:ascii="宋体" w:hAnsi="宋体" w:cs="宋体"/>
                <w:bCs/>
                <w:sz w:val="24"/>
                <w:highlight w:val="none"/>
              </w:rPr>
              <w:t>总价、单价</w:t>
            </w:r>
            <w:r>
              <w:rPr>
                <w:rFonts w:hint="eastAsia" w:ascii="宋体" w:hAnsi="宋体" w:cs="宋体"/>
                <w:bCs/>
                <w:sz w:val="24"/>
                <w:highlight w:val="none"/>
              </w:rPr>
              <w:t>、</w:t>
            </w:r>
            <w:r>
              <w:rPr>
                <w:rFonts w:ascii="宋体" w:hAnsi="宋体" w:cs="宋体"/>
                <w:bCs/>
                <w:sz w:val="24"/>
                <w:highlight w:val="none"/>
              </w:rPr>
              <w:t>规格、</w:t>
            </w:r>
            <w:r>
              <w:rPr>
                <w:rFonts w:hint="eastAsia" w:ascii="宋体" w:hAnsi="宋体" w:cs="宋体"/>
                <w:bCs/>
                <w:sz w:val="24"/>
                <w:highlight w:val="none"/>
              </w:rPr>
              <w:t>缔约方</w:t>
            </w:r>
            <w:r>
              <w:rPr>
                <w:rFonts w:ascii="宋体" w:hAnsi="宋体" w:cs="宋体"/>
                <w:bCs/>
                <w:sz w:val="24"/>
                <w:highlight w:val="none"/>
              </w:rPr>
              <w:t>签字盖章</w:t>
            </w:r>
            <w:r>
              <w:rPr>
                <w:rFonts w:hint="eastAsia" w:ascii="宋体" w:hAnsi="宋体" w:cs="宋体"/>
                <w:bCs/>
                <w:sz w:val="24"/>
                <w:highlight w:val="none"/>
              </w:rPr>
              <w:t>等</w:t>
            </w:r>
            <w:r>
              <w:rPr>
                <w:rFonts w:ascii="宋体" w:hAnsi="宋体" w:cs="宋体"/>
                <w:bCs/>
                <w:sz w:val="24"/>
                <w:highlight w:val="none"/>
              </w:rPr>
              <w:t>关键</w:t>
            </w:r>
            <w:r>
              <w:rPr>
                <w:rFonts w:hint="eastAsia" w:ascii="宋体" w:hAnsi="宋体" w:cs="宋体"/>
                <w:bCs/>
                <w:sz w:val="24"/>
                <w:highlight w:val="none"/>
              </w:rPr>
              <w:t>信息</w:t>
            </w:r>
            <w:r>
              <w:rPr>
                <w:rFonts w:hint="eastAsia"/>
                <w:sz w:val="24"/>
                <w:highlight w:val="none"/>
              </w:rPr>
              <w:t>应当</w:t>
            </w:r>
            <w:r>
              <w:rPr>
                <w:rFonts w:ascii="宋体" w:hAnsi="宋体" w:cs="宋体"/>
                <w:bCs/>
                <w:sz w:val="24"/>
                <w:highlight w:val="none"/>
              </w:rPr>
              <w:t>清晰可</w:t>
            </w:r>
            <w:r>
              <w:rPr>
                <w:rFonts w:hint="eastAsia" w:ascii="宋体" w:hAnsi="宋体" w:cs="宋体"/>
                <w:bCs/>
                <w:sz w:val="24"/>
                <w:highlight w:val="none"/>
              </w:rPr>
              <w:t>辨</w:t>
            </w:r>
            <w:r>
              <w:rPr>
                <w:rFonts w:ascii="宋体" w:hAnsi="宋体" w:cs="宋体"/>
                <w:bCs/>
                <w:sz w:val="24"/>
                <w:highlight w:val="none"/>
              </w:rPr>
              <w:t>，否则视为无效合同</w:t>
            </w:r>
            <w:r>
              <w:rPr>
                <w:rFonts w:hint="eastAsia" w:ascii="宋体" w:hAnsi="宋体" w:cs="宋体"/>
                <w:bCs/>
                <w:sz w:val="24"/>
                <w:highlight w:val="none"/>
              </w:rPr>
              <w:t>。</w:t>
            </w:r>
          </w:p>
          <w:p w14:paraId="39DE0055">
            <w:pPr>
              <w:jc w:val="center"/>
              <w:rPr>
                <w:bCs/>
                <w:sz w:val="24"/>
                <w:highlight w:val="none"/>
              </w:rPr>
            </w:pPr>
          </w:p>
        </w:tc>
      </w:tr>
    </w:tbl>
    <w:p w14:paraId="7514D928">
      <w:pPr>
        <w:jc w:val="center"/>
        <w:rPr>
          <w:bCs/>
          <w:sz w:val="28"/>
          <w:szCs w:val="28"/>
          <w:highlight w:val="none"/>
          <w:lang w:val="zh-CN"/>
        </w:rPr>
      </w:pPr>
    </w:p>
    <w:p w14:paraId="37EB5842">
      <w:pPr>
        <w:spacing w:line="560" w:lineRule="exact"/>
        <w:jc w:val="center"/>
        <w:rPr>
          <w:bCs/>
          <w:sz w:val="28"/>
          <w:szCs w:val="28"/>
          <w:highlight w:val="none"/>
          <w:lang w:val="zh-CN"/>
        </w:rPr>
      </w:pPr>
    </w:p>
    <w:p w14:paraId="2F588B5A">
      <w:pPr>
        <w:spacing w:line="560" w:lineRule="exact"/>
        <w:ind w:firstLine="560" w:firstLineChars="200"/>
        <w:jc w:val="center"/>
        <w:rPr>
          <w:rFonts w:eastAsia="黑体"/>
          <w:bCs/>
          <w:sz w:val="28"/>
          <w:szCs w:val="28"/>
          <w:highlight w:val="none"/>
        </w:rPr>
      </w:pPr>
      <w:r>
        <w:rPr>
          <w:bCs/>
          <w:sz w:val="28"/>
          <w:szCs w:val="28"/>
          <w:highlight w:val="none"/>
          <w:lang w:val="zh-CN"/>
        </w:rPr>
        <w:t xml:space="preserve">    </w:t>
      </w:r>
    </w:p>
    <w:p w14:paraId="78BE7D70">
      <w:pPr>
        <w:widowControl/>
        <w:jc w:val="left"/>
        <w:rPr>
          <w:rFonts w:ascii="Arial" w:hAnsi="Arial" w:eastAsia="黑体"/>
          <w:bCs/>
          <w:sz w:val="28"/>
          <w:szCs w:val="28"/>
          <w:highlight w:val="none"/>
        </w:rPr>
      </w:pPr>
      <w:r>
        <w:rPr>
          <w:b/>
          <w:highlight w:val="none"/>
        </w:rPr>
        <w:br w:type="page"/>
      </w:r>
    </w:p>
    <w:p w14:paraId="73701D1D">
      <w:pPr>
        <w:pStyle w:val="6"/>
        <w:spacing w:before="120" w:beforeLines="50" w:after="120" w:afterLines="50" w:line="560" w:lineRule="exact"/>
        <w:rPr>
          <w:b w:val="0"/>
          <w:snapToGrid w:val="0"/>
          <w:highlight w:val="none"/>
          <w:lang w:val="zh-CN"/>
        </w:rPr>
      </w:pPr>
      <w:r>
        <w:rPr>
          <w:rFonts w:hint="eastAsia"/>
          <w:b w:val="0"/>
          <w:highlight w:val="none"/>
        </w:rPr>
        <w:t>附件</w:t>
      </w:r>
      <w:r>
        <w:rPr>
          <w:b w:val="0"/>
          <w:highlight w:val="none"/>
        </w:rPr>
        <w:t xml:space="preserve">2-14 </w:t>
      </w:r>
      <w:r>
        <w:rPr>
          <w:rFonts w:hint="eastAsia"/>
          <w:b w:val="0"/>
          <w:highlight w:val="none"/>
        </w:rPr>
        <w:t>财务社保数据统计表</w:t>
      </w:r>
      <w:bookmarkEnd w:id="631"/>
      <w:bookmarkEnd w:id="632"/>
      <w:bookmarkEnd w:id="633"/>
      <w:bookmarkEnd w:id="634"/>
      <w:bookmarkEnd w:id="635"/>
      <w:bookmarkEnd w:id="636"/>
    </w:p>
    <w:tbl>
      <w:tblPr>
        <w:tblStyle w:val="42"/>
        <w:tblW w:w="9373" w:type="dxa"/>
        <w:tblInd w:w="0" w:type="dxa"/>
        <w:tblLayout w:type="fixed"/>
        <w:tblCellMar>
          <w:top w:w="0" w:type="dxa"/>
          <w:left w:w="0" w:type="dxa"/>
          <w:bottom w:w="0" w:type="dxa"/>
          <w:right w:w="0" w:type="dxa"/>
        </w:tblCellMar>
      </w:tblPr>
      <w:tblGrid>
        <w:gridCol w:w="2797"/>
        <w:gridCol w:w="1048"/>
        <w:gridCol w:w="1275"/>
        <w:gridCol w:w="1276"/>
        <w:gridCol w:w="1276"/>
        <w:gridCol w:w="1701"/>
      </w:tblGrid>
      <w:tr w14:paraId="10BEE911">
        <w:tblPrEx>
          <w:tblCellMar>
            <w:top w:w="0" w:type="dxa"/>
            <w:left w:w="0" w:type="dxa"/>
            <w:bottom w:w="0" w:type="dxa"/>
            <w:right w:w="0" w:type="dxa"/>
          </w:tblCellMar>
        </w:tblPrEx>
        <w:trPr>
          <w:trHeight w:val="889" w:hRule="atLeast"/>
        </w:trPr>
        <w:tc>
          <w:tcPr>
            <w:tcW w:w="9373" w:type="dxa"/>
            <w:gridSpan w:val="6"/>
            <w:tcBorders>
              <w:top w:val="nil"/>
              <w:left w:val="nil"/>
              <w:bottom w:val="nil"/>
              <w:right w:val="nil"/>
            </w:tcBorders>
            <w:tcMar>
              <w:top w:w="17" w:type="dxa"/>
              <w:left w:w="17" w:type="dxa"/>
              <w:bottom w:w="0" w:type="dxa"/>
              <w:right w:w="17" w:type="dxa"/>
            </w:tcMar>
            <w:vAlign w:val="center"/>
          </w:tcPr>
          <w:p w14:paraId="240B5421">
            <w:pPr>
              <w:spacing w:line="360" w:lineRule="auto"/>
              <w:jc w:val="center"/>
              <w:rPr>
                <w:rFonts w:ascii="华文中宋" w:hAnsi="华文中宋" w:eastAsia="华文中宋" w:cs="宋体"/>
                <w:bCs/>
                <w:sz w:val="40"/>
                <w:szCs w:val="40"/>
                <w:highlight w:val="none"/>
              </w:rPr>
            </w:pPr>
            <w:r>
              <w:rPr>
                <w:rFonts w:hint="eastAsia" w:ascii="黑体" w:hAnsi="黑体" w:eastAsia="黑体" w:cs="黑体"/>
                <w:bCs/>
                <w:sz w:val="36"/>
                <w:szCs w:val="36"/>
                <w:highlight w:val="none"/>
              </w:rPr>
              <w:t>财务社保数据统计表</w:t>
            </w:r>
          </w:p>
        </w:tc>
      </w:tr>
      <w:tr w14:paraId="476B95F0">
        <w:tblPrEx>
          <w:tblCellMar>
            <w:top w:w="0" w:type="dxa"/>
            <w:left w:w="0" w:type="dxa"/>
            <w:bottom w:w="0" w:type="dxa"/>
            <w:right w:w="0" w:type="dxa"/>
          </w:tblCellMar>
        </w:tblPrEx>
        <w:trPr>
          <w:trHeight w:val="855" w:hRule="atLeast"/>
        </w:trPr>
        <w:tc>
          <w:tcPr>
            <w:tcW w:w="2797" w:type="dxa"/>
            <w:tcBorders>
              <w:top w:val="single" w:color="auto" w:sz="4" w:space="0"/>
              <w:left w:val="single" w:color="auto" w:sz="4" w:space="0"/>
              <w:bottom w:val="single" w:color="auto" w:sz="4" w:space="0"/>
              <w:right w:val="single" w:color="auto" w:sz="4" w:space="0"/>
            </w:tcBorders>
            <w:tcMar>
              <w:top w:w="17" w:type="dxa"/>
              <w:left w:w="17" w:type="dxa"/>
              <w:bottom w:w="0" w:type="dxa"/>
              <w:right w:w="17" w:type="dxa"/>
            </w:tcMar>
            <w:vAlign w:val="center"/>
          </w:tcPr>
          <w:p w14:paraId="62FD05CC">
            <w:pPr>
              <w:rPr>
                <w:rFonts w:hint="eastAsia" w:ascii="宋体" w:hAnsi="宋体" w:eastAsia="宋体" w:cs="宋体"/>
                <w:bCs/>
                <w:sz w:val="24"/>
                <w:highlight w:val="none"/>
                <w:lang w:eastAsia="zh-CN"/>
              </w:rPr>
            </w:pPr>
            <w:r>
              <w:rPr>
                <w:rFonts w:hint="eastAsia" w:ascii="宋体" w:hAnsi="宋体" w:cs="宋体"/>
                <w:bCs/>
                <w:sz w:val="24"/>
                <w:highlight w:val="none"/>
              </w:rPr>
              <mc:AlternateContent>
                <mc:Choice Requires="wps">
                  <w:drawing>
                    <wp:anchor distT="0" distB="0" distL="114300" distR="114300" simplePos="0" relativeHeight="251660288" behindDoc="0" locked="0" layoutInCell="1" allowOverlap="1">
                      <wp:simplePos x="0" y="0"/>
                      <wp:positionH relativeFrom="column">
                        <wp:posOffset>6350</wp:posOffset>
                      </wp:positionH>
                      <wp:positionV relativeFrom="paragraph">
                        <wp:posOffset>-12065</wp:posOffset>
                      </wp:positionV>
                      <wp:extent cx="1737995" cy="554355"/>
                      <wp:effectExtent l="1270" t="4445" r="13335" b="5080"/>
                      <wp:wrapNone/>
                      <wp:docPr id="6" name="直接箭头连接符 6"/>
                      <wp:cNvGraphicFramePr/>
                      <a:graphic xmlns:a="http://schemas.openxmlformats.org/drawingml/2006/main">
                        <a:graphicData uri="http://schemas.microsoft.com/office/word/2010/wordprocessingShape">
                          <wps:wsp>
                            <wps:cNvCnPr>
                              <a:cxnSpLocks noChangeShapeType="1"/>
                            </wps:cNvCnPr>
                            <wps:spPr bwMode="auto">
                              <a:xfrm>
                                <a:off x="0" y="0"/>
                                <a:ext cx="1737995" cy="554355"/>
                              </a:xfrm>
                              <a:prstGeom prst="straightConnector1">
                                <a:avLst/>
                              </a:prstGeom>
                              <a:noFill/>
                              <a:ln w="9525">
                                <a:solidFill>
                                  <a:srgbClr val="000000"/>
                                </a:solidFill>
                                <a:round/>
                              </a:ln>
                            </wps:spPr>
                            <wps:bodyPr/>
                          </wps:wsp>
                        </a:graphicData>
                      </a:graphic>
                    </wp:anchor>
                  </w:drawing>
                </mc:Choice>
                <mc:Fallback>
                  <w:pict>
                    <v:shape id="_x0000_s1026" o:spid="_x0000_s1026" o:spt="32" type="#_x0000_t32" style="position:absolute;left:0pt;margin-left:0.5pt;margin-top:-0.95pt;height:43.65pt;width:136.85pt;z-index:251660288;mso-width-relative:page;mso-height-relative:page;" filled="f" stroked="t" coordsize="21600,21600" o:gfxdata="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">
                      <v:fill on="f" focussize="0,0"/>
                      <v:stroke color="#000000" joinstyle="round"/>
                      <v:imagedata o:title=""/>
                      <o:lock v:ext="edit" aspectratio="f"/>
                    </v:shape>
                  </w:pict>
                </mc:Fallback>
              </mc:AlternateContent>
            </w:r>
            <w:r>
              <w:rPr>
                <w:rFonts w:hint="eastAsia" w:ascii="宋体" w:hAnsi="宋体" w:cs="宋体"/>
                <w:bCs/>
                <w:sz w:val="24"/>
                <w:highlight w:val="none"/>
              </w:rPr>
              <w:t xml:space="preserve">                </w:t>
            </w:r>
            <w:r>
              <w:rPr>
                <w:rFonts w:ascii="宋体" w:hAnsi="宋体" w:cs="宋体"/>
                <w:bCs/>
                <w:sz w:val="24"/>
                <w:highlight w:val="none"/>
              </w:rPr>
              <w:t xml:space="preserve"> </w:t>
            </w:r>
            <w:r>
              <w:rPr>
                <w:rFonts w:hint="eastAsia" w:ascii="宋体" w:hAnsi="宋体" w:cs="宋体"/>
                <w:bCs/>
                <w:sz w:val="24"/>
                <w:highlight w:val="none"/>
              </w:rPr>
              <w:t>年 度</w:t>
            </w:r>
          </w:p>
          <w:p w14:paraId="723A58E9">
            <w:pPr>
              <w:rPr>
                <w:rFonts w:ascii="宋体" w:hAnsi="宋体" w:cs="宋体"/>
                <w:bCs/>
                <w:sz w:val="24"/>
                <w:highlight w:val="none"/>
              </w:rPr>
            </w:pPr>
            <w:r>
              <w:rPr>
                <w:rFonts w:hint="eastAsia" w:ascii="宋体" w:hAnsi="宋体" w:cs="宋体"/>
                <w:bCs/>
                <w:sz w:val="24"/>
                <w:highlight w:val="none"/>
              </w:rPr>
              <w:t>数据项目</w:t>
            </w:r>
          </w:p>
        </w:tc>
        <w:tc>
          <w:tcPr>
            <w:tcW w:w="1048" w:type="dxa"/>
            <w:tcBorders>
              <w:top w:val="single" w:color="auto" w:sz="4" w:space="0"/>
              <w:left w:val="nil"/>
              <w:bottom w:val="single" w:color="auto" w:sz="4" w:space="0"/>
              <w:right w:val="single" w:color="auto" w:sz="4" w:space="0"/>
            </w:tcBorders>
            <w:tcMar>
              <w:top w:w="17" w:type="dxa"/>
              <w:left w:w="17" w:type="dxa"/>
              <w:bottom w:w="0" w:type="dxa"/>
              <w:right w:w="17" w:type="dxa"/>
            </w:tcMar>
            <w:vAlign w:val="center"/>
          </w:tcPr>
          <w:p w14:paraId="45CB903E">
            <w:pPr>
              <w:jc w:val="center"/>
              <w:rPr>
                <w:rFonts w:ascii="宋体" w:hAnsi="宋体" w:cs="宋体"/>
                <w:bCs/>
                <w:sz w:val="24"/>
                <w:highlight w:val="none"/>
              </w:rPr>
            </w:pPr>
            <w:r>
              <w:rPr>
                <w:rFonts w:hint="eastAsia" w:ascii="宋体" w:hAnsi="宋体" w:cs="宋体"/>
                <w:bCs/>
                <w:sz w:val="24"/>
                <w:highlight w:val="none"/>
                <w:u w:val="single"/>
              </w:rPr>
              <w:t xml:space="preserve">    </w:t>
            </w:r>
            <w:r>
              <w:rPr>
                <w:rFonts w:hint="eastAsia" w:ascii="宋体" w:hAnsi="宋体" w:cs="宋体"/>
                <w:bCs/>
                <w:sz w:val="24"/>
                <w:highlight w:val="none"/>
              </w:rPr>
              <w:t>年度</w:t>
            </w:r>
          </w:p>
        </w:tc>
        <w:tc>
          <w:tcPr>
            <w:tcW w:w="1275" w:type="dxa"/>
            <w:tcBorders>
              <w:top w:val="single" w:color="auto" w:sz="4" w:space="0"/>
              <w:left w:val="nil"/>
              <w:bottom w:val="single" w:color="auto" w:sz="4" w:space="0"/>
              <w:right w:val="single" w:color="auto" w:sz="4" w:space="0"/>
            </w:tcBorders>
            <w:tcMar>
              <w:top w:w="17" w:type="dxa"/>
              <w:left w:w="17" w:type="dxa"/>
              <w:bottom w:w="0" w:type="dxa"/>
              <w:right w:w="17" w:type="dxa"/>
            </w:tcMar>
            <w:vAlign w:val="center"/>
          </w:tcPr>
          <w:p w14:paraId="038AE77E">
            <w:pPr>
              <w:jc w:val="center"/>
              <w:rPr>
                <w:rFonts w:ascii="宋体" w:hAnsi="宋体" w:cs="宋体"/>
                <w:bCs/>
                <w:sz w:val="24"/>
                <w:highlight w:val="none"/>
              </w:rPr>
            </w:pPr>
            <w:r>
              <w:rPr>
                <w:rFonts w:hint="eastAsia" w:ascii="宋体" w:hAnsi="宋体" w:cs="宋体"/>
                <w:bCs/>
                <w:sz w:val="24"/>
                <w:highlight w:val="none"/>
                <w:u w:val="single"/>
              </w:rPr>
              <w:t xml:space="preserve">    </w:t>
            </w:r>
            <w:r>
              <w:rPr>
                <w:rFonts w:hint="eastAsia" w:ascii="宋体" w:hAnsi="宋体" w:cs="宋体"/>
                <w:bCs/>
                <w:sz w:val="24"/>
                <w:highlight w:val="none"/>
              </w:rPr>
              <w:t>年度</w:t>
            </w:r>
          </w:p>
        </w:tc>
        <w:tc>
          <w:tcPr>
            <w:tcW w:w="1276" w:type="dxa"/>
            <w:tcBorders>
              <w:top w:val="single" w:color="auto" w:sz="4" w:space="0"/>
              <w:left w:val="nil"/>
              <w:bottom w:val="single" w:color="auto" w:sz="4" w:space="0"/>
              <w:right w:val="single" w:color="auto" w:sz="4" w:space="0"/>
            </w:tcBorders>
            <w:tcMar>
              <w:top w:w="17" w:type="dxa"/>
              <w:left w:w="17" w:type="dxa"/>
              <w:bottom w:w="0" w:type="dxa"/>
              <w:right w:w="17" w:type="dxa"/>
            </w:tcMar>
            <w:vAlign w:val="center"/>
          </w:tcPr>
          <w:p w14:paraId="20D9EAE3">
            <w:pPr>
              <w:jc w:val="center"/>
              <w:rPr>
                <w:rFonts w:ascii="宋体" w:hAnsi="宋体" w:cs="宋体"/>
                <w:bCs/>
                <w:sz w:val="24"/>
                <w:highlight w:val="none"/>
              </w:rPr>
            </w:pPr>
            <w:r>
              <w:rPr>
                <w:rFonts w:hint="eastAsia" w:ascii="宋体" w:hAnsi="宋体" w:cs="宋体"/>
                <w:bCs/>
                <w:sz w:val="24"/>
                <w:highlight w:val="none"/>
                <w:u w:val="single"/>
              </w:rPr>
              <w:t xml:space="preserve">    </w:t>
            </w:r>
            <w:r>
              <w:rPr>
                <w:rFonts w:hint="eastAsia" w:ascii="宋体" w:hAnsi="宋体" w:cs="宋体"/>
                <w:bCs/>
                <w:sz w:val="24"/>
                <w:highlight w:val="none"/>
              </w:rPr>
              <w:t>年度</w:t>
            </w:r>
          </w:p>
        </w:tc>
        <w:tc>
          <w:tcPr>
            <w:tcW w:w="1276" w:type="dxa"/>
            <w:tcBorders>
              <w:top w:val="single" w:color="auto" w:sz="4" w:space="0"/>
              <w:left w:val="nil"/>
              <w:bottom w:val="single" w:color="auto" w:sz="4" w:space="0"/>
              <w:right w:val="single" w:color="auto" w:sz="4" w:space="0"/>
            </w:tcBorders>
            <w:tcMar>
              <w:top w:w="17" w:type="dxa"/>
              <w:left w:w="17" w:type="dxa"/>
              <w:bottom w:w="0" w:type="dxa"/>
              <w:right w:w="17" w:type="dxa"/>
            </w:tcMar>
            <w:vAlign w:val="center"/>
          </w:tcPr>
          <w:p w14:paraId="3ABDB0A7">
            <w:pPr>
              <w:jc w:val="center"/>
              <w:rPr>
                <w:rFonts w:ascii="宋体" w:hAnsi="宋体" w:cs="宋体"/>
                <w:bCs/>
                <w:sz w:val="24"/>
                <w:highlight w:val="none"/>
              </w:rPr>
            </w:pPr>
            <w:r>
              <w:rPr>
                <w:rFonts w:hint="eastAsia" w:ascii="宋体" w:hAnsi="宋体" w:cs="宋体"/>
                <w:bCs/>
                <w:sz w:val="24"/>
                <w:highlight w:val="none"/>
              </w:rPr>
              <w:t>3年平均数</w:t>
            </w:r>
          </w:p>
        </w:tc>
        <w:tc>
          <w:tcPr>
            <w:tcW w:w="1701" w:type="dxa"/>
            <w:tcBorders>
              <w:top w:val="single" w:color="auto" w:sz="4" w:space="0"/>
              <w:left w:val="nil"/>
              <w:bottom w:val="single" w:color="auto" w:sz="4" w:space="0"/>
              <w:right w:val="single" w:color="auto" w:sz="4" w:space="0"/>
            </w:tcBorders>
            <w:tcMar>
              <w:top w:w="17" w:type="dxa"/>
              <w:left w:w="17" w:type="dxa"/>
              <w:bottom w:w="0" w:type="dxa"/>
              <w:right w:w="17" w:type="dxa"/>
            </w:tcMar>
            <w:vAlign w:val="center"/>
          </w:tcPr>
          <w:p w14:paraId="7B928CCF">
            <w:pPr>
              <w:jc w:val="center"/>
              <w:rPr>
                <w:rFonts w:ascii="宋体" w:hAnsi="宋体" w:cs="宋体"/>
                <w:bCs/>
                <w:sz w:val="24"/>
                <w:highlight w:val="none"/>
              </w:rPr>
            </w:pPr>
            <w:r>
              <w:rPr>
                <w:rFonts w:hint="eastAsia" w:ascii="宋体" w:hAnsi="宋体" w:cs="宋体"/>
                <w:bCs/>
                <w:sz w:val="24"/>
                <w:highlight w:val="none"/>
              </w:rPr>
              <w:t>文件名称</w:t>
            </w:r>
          </w:p>
          <w:p w14:paraId="40E61F7F">
            <w:pPr>
              <w:jc w:val="center"/>
              <w:rPr>
                <w:rFonts w:ascii="宋体" w:hAnsi="宋体" w:cs="宋体"/>
                <w:bCs/>
                <w:sz w:val="24"/>
                <w:highlight w:val="none"/>
              </w:rPr>
            </w:pPr>
            <w:r>
              <w:rPr>
                <w:rFonts w:hint="eastAsia" w:ascii="宋体" w:hAnsi="宋体" w:cs="宋体"/>
                <w:bCs/>
                <w:sz w:val="24"/>
                <w:highlight w:val="none"/>
              </w:rPr>
              <w:t>∕页码</w:t>
            </w:r>
          </w:p>
        </w:tc>
      </w:tr>
      <w:tr w14:paraId="1F3A7707">
        <w:tblPrEx>
          <w:tblCellMar>
            <w:top w:w="0" w:type="dxa"/>
            <w:left w:w="0" w:type="dxa"/>
            <w:bottom w:w="0" w:type="dxa"/>
            <w:right w:w="0" w:type="dxa"/>
          </w:tblCellMar>
        </w:tblPrEx>
        <w:trPr>
          <w:trHeight w:val="549" w:hRule="atLeast"/>
        </w:trPr>
        <w:tc>
          <w:tcPr>
            <w:tcW w:w="2797" w:type="dxa"/>
            <w:tcBorders>
              <w:top w:val="single" w:color="auto" w:sz="4" w:space="0"/>
              <w:left w:val="single" w:color="auto" w:sz="4" w:space="0"/>
              <w:bottom w:val="single" w:color="auto" w:sz="4" w:space="0"/>
              <w:right w:val="single" w:color="auto" w:sz="4" w:space="0"/>
            </w:tcBorders>
            <w:tcMar>
              <w:top w:w="17" w:type="dxa"/>
              <w:left w:w="17" w:type="dxa"/>
              <w:bottom w:w="0" w:type="dxa"/>
              <w:right w:w="17" w:type="dxa"/>
            </w:tcMar>
            <w:vAlign w:val="center"/>
          </w:tcPr>
          <w:p w14:paraId="30C136B9">
            <w:pPr>
              <w:jc w:val="center"/>
              <w:rPr>
                <w:rFonts w:ascii="宋体" w:hAnsi="宋体" w:cs="宋体"/>
                <w:bCs/>
                <w:sz w:val="24"/>
                <w:highlight w:val="none"/>
              </w:rPr>
            </w:pPr>
            <w:r>
              <w:rPr>
                <w:rFonts w:hint="eastAsia"/>
                <w:bCs/>
                <w:sz w:val="24"/>
                <w:highlight w:val="none"/>
              </w:rPr>
              <w:t>资产总额（万元）</w:t>
            </w:r>
          </w:p>
        </w:tc>
        <w:tc>
          <w:tcPr>
            <w:tcW w:w="1048" w:type="dxa"/>
            <w:tcBorders>
              <w:top w:val="nil"/>
              <w:left w:val="nil"/>
              <w:bottom w:val="single" w:color="auto" w:sz="4" w:space="0"/>
              <w:right w:val="single" w:color="auto" w:sz="4" w:space="0"/>
            </w:tcBorders>
            <w:tcMar>
              <w:top w:w="17" w:type="dxa"/>
              <w:left w:w="17" w:type="dxa"/>
              <w:bottom w:w="0" w:type="dxa"/>
              <w:right w:w="17" w:type="dxa"/>
            </w:tcMar>
            <w:vAlign w:val="center"/>
          </w:tcPr>
          <w:p w14:paraId="6CD5AFDD">
            <w:pPr>
              <w:rPr>
                <w:bCs/>
                <w:sz w:val="24"/>
                <w:highlight w:val="none"/>
              </w:rPr>
            </w:pPr>
            <w:r>
              <w:rPr>
                <w:rFonts w:hint="eastAsia"/>
                <w:bCs/>
                <w:sz w:val="24"/>
                <w:highlight w:val="none"/>
              </w:rPr>
              <w:t>　</w:t>
            </w:r>
          </w:p>
        </w:tc>
        <w:tc>
          <w:tcPr>
            <w:tcW w:w="1275" w:type="dxa"/>
            <w:tcBorders>
              <w:top w:val="nil"/>
              <w:left w:val="nil"/>
              <w:bottom w:val="single" w:color="auto" w:sz="4" w:space="0"/>
              <w:right w:val="single" w:color="auto" w:sz="4" w:space="0"/>
            </w:tcBorders>
            <w:tcMar>
              <w:top w:w="17" w:type="dxa"/>
              <w:left w:w="17" w:type="dxa"/>
              <w:bottom w:w="0" w:type="dxa"/>
              <w:right w:w="17" w:type="dxa"/>
            </w:tcMar>
            <w:vAlign w:val="center"/>
          </w:tcPr>
          <w:p w14:paraId="55661659">
            <w:pPr>
              <w:rPr>
                <w:bCs/>
                <w:sz w:val="24"/>
                <w:highlight w:val="none"/>
              </w:rPr>
            </w:pPr>
            <w:r>
              <w:rPr>
                <w:rFonts w:hint="eastAsia"/>
                <w:bCs/>
                <w:sz w:val="24"/>
                <w:highlight w:val="none"/>
              </w:rPr>
              <w:t>　</w:t>
            </w:r>
          </w:p>
        </w:tc>
        <w:tc>
          <w:tcPr>
            <w:tcW w:w="1276" w:type="dxa"/>
            <w:tcBorders>
              <w:top w:val="nil"/>
              <w:left w:val="nil"/>
              <w:bottom w:val="single" w:color="auto" w:sz="4" w:space="0"/>
              <w:right w:val="single" w:color="auto" w:sz="4" w:space="0"/>
            </w:tcBorders>
            <w:tcMar>
              <w:top w:w="17" w:type="dxa"/>
              <w:left w:w="17" w:type="dxa"/>
              <w:bottom w:w="0" w:type="dxa"/>
              <w:right w:w="17" w:type="dxa"/>
            </w:tcMar>
            <w:vAlign w:val="center"/>
          </w:tcPr>
          <w:p w14:paraId="04E26E15">
            <w:pPr>
              <w:rPr>
                <w:bCs/>
                <w:sz w:val="24"/>
                <w:highlight w:val="none"/>
              </w:rPr>
            </w:pPr>
            <w:r>
              <w:rPr>
                <w:rFonts w:hint="eastAsia"/>
                <w:bCs/>
                <w:sz w:val="24"/>
                <w:highlight w:val="none"/>
              </w:rPr>
              <w:t>　</w:t>
            </w:r>
          </w:p>
        </w:tc>
        <w:tc>
          <w:tcPr>
            <w:tcW w:w="1276" w:type="dxa"/>
            <w:tcBorders>
              <w:top w:val="nil"/>
              <w:left w:val="nil"/>
              <w:bottom w:val="single" w:color="auto" w:sz="4" w:space="0"/>
              <w:right w:val="single" w:color="auto" w:sz="4" w:space="0"/>
            </w:tcBorders>
            <w:tcMar>
              <w:top w:w="17" w:type="dxa"/>
              <w:left w:w="17" w:type="dxa"/>
              <w:bottom w:w="0" w:type="dxa"/>
              <w:right w:w="17" w:type="dxa"/>
            </w:tcMar>
            <w:vAlign w:val="center"/>
          </w:tcPr>
          <w:p w14:paraId="08515627">
            <w:pPr>
              <w:rPr>
                <w:bCs/>
                <w:sz w:val="24"/>
                <w:highlight w:val="none"/>
              </w:rPr>
            </w:pPr>
            <w:r>
              <w:rPr>
                <w:rFonts w:hint="eastAsia"/>
                <w:bCs/>
                <w:sz w:val="24"/>
                <w:highlight w:val="none"/>
              </w:rPr>
              <w:t>　</w:t>
            </w:r>
          </w:p>
        </w:tc>
        <w:tc>
          <w:tcPr>
            <w:tcW w:w="1701" w:type="dxa"/>
            <w:tcBorders>
              <w:top w:val="nil"/>
              <w:left w:val="nil"/>
              <w:bottom w:val="single" w:color="auto" w:sz="4" w:space="0"/>
              <w:right w:val="single" w:color="auto" w:sz="4" w:space="0"/>
            </w:tcBorders>
            <w:tcMar>
              <w:top w:w="17" w:type="dxa"/>
              <w:left w:w="17" w:type="dxa"/>
              <w:bottom w:w="0" w:type="dxa"/>
              <w:right w:w="17" w:type="dxa"/>
            </w:tcMar>
            <w:vAlign w:val="center"/>
          </w:tcPr>
          <w:p w14:paraId="23586C92">
            <w:pPr>
              <w:rPr>
                <w:bCs/>
                <w:sz w:val="24"/>
                <w:highlight w:val="none"/>
              </w:rPr>
            </w:pPr>
            <w:r>
              <w:rPr>
                <w:rFonts w:hint="eastAsia"/>
                <w:bCs/>
                <w:sz w:val="24"/>
                <w:highlight w:val="none"/>
              </w:rPr>
              <w:t>　</w:t>
            </w:r>
          </w:p>
        </w:tc>
      </w:tr>
      <w:tr w14:paraId="7B184731">
        <w:tblPrEx>
          <w:tblCellMar>
            <w:top w:w="0" w:type="dxa"/>
            <w:left w:w="0" w:type="dxa"/>
            <w:bottom w:w="0" w:type="dxa"/>
            <w:right w:w="0" w:type="dxa"/>
          </w:tblCellMar>
        </w:tblPrEx>
        <w:trPr>
          <w:trHeight w:val="543" w:hRule="atLeast"/>
        </w:trPr>
        <w:tc>
          <w:tcPr>
            <w:tcW w:w="2797" w:type="dxa"/>
            <w:tcBorders>
              <w:top w:val="single" w:color="auto" w:sz="4" w:space="0"/>
              <w:left w:val="single" w:color="auto" w:sz="4" w:space="0"/>
              <w:bottom w:val="single" w:color="auto" w:sz="4" w:space="0"/>
              <w:right w:val="single" w:color="auto" w:sz="4" w:space="0"/>
            </w:tcBorders>
            <w:tcMar>
              <w:top w:w="17" w:type="dxa"/>
              <w:left w:w="17" w:type="dxa"/>
              <w:bottom w:w="0" w:type="dxa"/>
              <w:right w:w="17" w:type="dxa"/>
            </w:tcMar>
            <w:vAlign w:val="center"/>
          </w:tcPr>
          <w:p w14:paraId="07D143E7">
            <w:pPr>
              <w:jc w:val="center"/>
              <w:rPr>
                <w:rFonts w:ascii="宋体" w:hAnsi="宋体" w:cs="宋体"/>
                <w:bCs/>
                <w:sz w:val="24"/>
                <w:highlight w:val="none"/>
              </w:rPr>
            </w:pPr>
            <w:r>
              <w:rPr>
                <w:rFonts w:hint="eastAsia"/>
                <w:bCs/>
                <w:sz w:val="24"/>
                <w:highlight w:val="none"/>
              </w:rPr>
              <w:t>净资产（万元）</w:t>
            </w:r>
          </w:p>
        </w:tc>
        <w:tc>
          <w:tcPr>
            <w:tcW w:w="1048" w:type="dxa"/>
            <w:tcBorders>
              <w:top w:val="nil"/>
              <w:left w:val="nil"/>
              <w:bottom w:val="single" w:color="auto" w:sz="4" w:space="0"/>
              <w:right w:val="single" w:color="auto" w:sz="4" w:space="0"/>
            </w:tcBorders>
            <w:tcMar>
              <w:top w:w="17" w:type="dxa"/>
              <w:left w:w="17" w:type="dxa"/>
              <w:bottom w:w="0" w:type="dxa"/>
              <w:right w:w="17" w:type="dxa"/>
            </w:tcMar>
            <w:vAlign w:val="center"/>
          </w:tcPr>
          <w:p w14:paraId="7D35F90C">
            <w:pPr>
              <w:rPr>
                <w:bCs/>
                <w:sz w:val="24"/>
                <w:highlight w:val="none"/>
              </w:rPr>
            </w:pPr>
            <w:r>
              <w:rPr>
                <w:rFonts w:hint="eastAsia"/>
                <w:bCs/>
                <w:sz w:val="24"/>
                <w:highlight w:val="none"/>
              </w:rPr>
              <w:t>　</w:t>
            </w:r>
          </w:p>
        </w:tc>
        <w:tc>
          <w:tcPr>
            <w:tcW w:w="1275" w:type="dxa"/>
            <w:tcBorders>
              <w:top w:val="nil"/>
              <w:left w:val="nil"/>
              <w:bottom w:val="single" w:color="auto" w:sz="4" w:space="0"/>
              <w:right w:val="single" w:color="auto" w:sz="4" w:space="0"/>
            </w:tcBorders>
            <w:tcMar>
              <w:top w:w="17" w:type="dxa"/>
              <w:left w:w="17" w:type="dxa"/>
              <w:bottom w:w="0" w:type="dxa"/>
              <w:right w:w="17" w:type="dxa"/>
            </w:tcMar>
            <w:vAlign w:val="center"/>
          </w:tcPr>
          <w:p w14:paraId="34CBC680">
            <w:pPr>
              <w:rPr>
                <w:bCs/>
                <w:sz w:val="24"/>
                <w:highlight w:val="none"/>
              </w:rPr>
            </w:pPr>
            <w:r>
              <w:rPr>
                <w:rFonts w:hint="eastAsia"/>
                <w:bCs/>
                <w:sz w:val="24"/>
                <w:highlight w:val="none"/>
              </w:rPr>
              <w:t>　</w:t>
            </w:r>
          </w:p>
        </w:tc>
        <w:tc>
          <w:tcPr>
            <w:tcW w:w="1276" w:type="dxa"/>
            <w:tcBorders>
              <w:top w:val="nil"/>
              <w:left w:val="nil"/>
              <w:bottom w:val="single" w:color="auto" w:sz="4" w:space="0"/>
              <w:right w:val="single" w:color="auto" w:sz="4" w:space="0"/>
            </w:tcBorders>
            <w:tcMar>
              <w:top w:w="17" w:type="dxa"/>
              <w:left w:w="17" w:type="dxa"/>
              <w:bottom w:w="0" w:type="dxa"/>
              <w:right w:w="17" w:type="dxa"/>
            </w:tcMar>
            <w:vAlign w:val="center"/>
          </w:tcPr>
          <w:p w14:paraId="4CF8605D">
            <w:pPr>
              <w:rPr>
                <w:bCs/>
                <w:sz w:val="24"/>
                <w:highlight w:val="none"/>
              </w:rPr>
            </w:pPr>
            <w:r>
              <w:rPr>
                <w:rFonts w:hint="eastAsia"/>
                <w:bCs/>
                <w:sz w:val="24"/>
                <w:highlight w:val="none"/>
              </w:rPr>
              <w:t>　</w:t>
            </w:r>
          </w:p>
        </w:tc>
        <w:tc>
          <w:tcPr>
            <w:tcW w:w="1276" w:type="dxa"/>
            <w:tcBorders>
              <w:top w:val="nil"/>
              <w:left w:val="nil"/>
              <w:bottom w:val="single" w:color="auto" w:sz="4" w:space="0"/>
              <w:right w:val="single" w:color="auto" w:sz="4" w:space="0"/>
            </w:tcBorders>
            <w:tcMar>
              <w:top w:w="17" w:type="dxa"/>
              <w:left w:w="17" w:type="dxa"/>
              <w:bottom w:w="0" w:type="dxa"/>
              <w:right w:w="17" w:type="dxa"/>
            </w:tcMar>
            <w:vAlign w:val="center"/>
          </w:tcPr>
          <w:p w14:paraId="075F3EFC">
            <w:pPr>
              <w:rPr>
                <w:bCs/>
                <w:sz w:val="24"/>
                <w:highlight w:val="none"/>
              </w:rPr>
            </w:pPr>
            <w:r>
              <w:rPr>
                <w:rFonts w:hint="eastAsia"/>
                <w:bCs/>
                <w:sz w:val="24"/>
                <w:highlight w:val="none"/>
              </w:rPr>
              <w:t>　</w:t>
            </w:r>
          </w:p>
        </w:tc>
        <w:tc>
          <w:tcPr>
            <w:tcW w:w="1701" w:type="dxa"/>
            <w:tcBorders>
              <w:top w:val="nil"/>
              <w:left w:val="nil"/>
              <w:bottom w:val="single" w:color="auto" w:sz="4" w:space="0"/>
              <w:right w:val="single" w:color="auto" w:sz="4" w:space="0"/>
            </w:tcBorders>
            <w:tcMar>
              <w:top w:w="17" w:type="dxa"/>
              <w:left w:w="17" w:type="dxa"/>
              <w:bottom w:w="0" w:type="dxa"/>
              <w:right w:w="17" w:type="dxa"/>
            </w:tcMar>
            <w:vAlign w:val="center"/>
          </w:tcPr>
          <w:p w14:paraId="1B09E893">
            <w:pPr>
              <w:rPr>
                <w:bCs/>
                <w:sz w:val="24"/>
                <w:highlight w:val="none"/>
              </w:rPr>
            </w:pPr>
            <w:r>
              <w:rPr>
                <w:rFonts w:hint="eastAsia"/>
                <w:bCs/>
                <w:sz w:val="24"/>
                <w:highlight w:val="none"/>
              </w:rPr>
              <w:t>　</w:t>
            </w:r>
          </w:p>
        </w:tc>
      </w:tr>
      <w:tr w14:paraId="4D26D71B">
        <w:tblPrEx>
          <w:tblCellMar>
            <w:top w:w="0" w:type="dxa"/>
            <w:left w:w="0" w:type="dxa"/>
            <w:bottom w:w="0" w:type="dxa"/>
            <w:right w:w="0" w:type="dxa"/>
          </w:tblCellMar>
        </w:tblPrEx>
        <w:trPr>
          <w:trHeight w:val="551" w:hRule="atLeast"/>
        </w:trPr>
        <w:tc>
          <w:tcPr>
            <w:tcW w:w="2797" w:type="dxa"/>
            <w:tcBorders>
              <w:top w:val="single" w:color="auto" w:sz="4" w:space="0"/>
              <w:left w:val="single" w:color="auto" w:sz="4" w:space="0"/>
              <w:bottom w:val="single" w:color="auto" w:sz="4" w:space="0"/>
              <w:right w:val="single" w:color="auto" w:sz="4" w:space="0"/>
            </w:tcBorders>
            <w:tcMar>
              <w:top w:w="17" w:type="dxa"/>
              <w:left w:w="17" w:type="dxa"/>
              <w:bottom w:w="0" w:type="dxa"/>
              <w:right w:w="17" w:type="dxa"/>
            </w:tcMar>
            <w:vAlign w:val="center"/>
          </w:tcPr>
          <w:p w14:paraId="5DF504F7">
            <w:pPr>
              <w:jc w:val="center"/>
              <w:rPr>
                <w:rFonts w:ascii="宋体" w:hAnsi="宋体" w:cs="宋体"/>
                <w:bCs/>
                <w:sz w:val="24"/>
                <w:highlight w:val="none"/>
              </w:rPr>
            </w:pPr>
            <w:r>
              <w:rPr>
                <w:rFonts w:hint="eastAsia"/>
                <w:bCs/>
                <w:sz w:val="24"/>
                <w:highlight w:val="none"/>
              </w:rPr>
              <w:t>净利润（万元）</w:t>
            </w:r>
          </w:p>
        </w:tc>
        <w:tc>
          <w:tcPr>
            <w:tcW w:w="1048" w:type="dxa"/>
            <w:tcBorders>
              <w:top w:val="nil"/>
              <w:left w:val="nil"/>
              <w:bottom w:val="single" w:color="auto" w:sz="4" w:space="0"/>
              <w:right w:val="single" w:color="auto" w:sz="4" w:space="0"/>
            </w:tcBorders>
            <w:tcMar>
              <w:top w:w="17" w:type="dxa"/>
              <w:left w:w="17" w:type="dxa"/>
              <w:bottom w:w="0" w:type="dxa"/>
              <w:right w:w="17" w:type="dxa"/>
            </w:tcMar>
            <w:vAlign w:val="center"/>
          </w:tcPr>
          <w:p w14:paraId="063354F6">
            <w:pPr>
              <w:rPr>
                <w:bCs/>
                <w:sz w:val="24"/>
                <w:highlight w:val="none"/>
              </w:rPr>
            </w:pPr>
            <w:r>
              <w:rPr>
                <w:rFonts w:hint="eastAsia"/>
                <w:bCs/>
                <w:sz w:val="24"/>
                <w:highlight w:val="none"/>
              </w:rPr>
              <w:t>　</w:t>
            </w:r>
          </w:p>
        </w:tc>
        <w:tc>
          <w:tcPr>
            <w:tcW w:w="1275" w:type="dxa"/>
            <w:tcBorders>
              <w:top w:val="nil"/>
              <w:left w:val="nil"/>
              <w:bottom w:val="single" w:color="auto" w:sz="4" w:space="0"/>
              <w:right w:val="single" w:color="auto" w:sz="4" w:space="0"/>
            </w:tcBorders>
            <w:tcMar>
              <w:top w:w="17" w:type="dxa"/>
              <w:left w:w="17" w:type="dxa"/>
              <w:bottom w:w="0" w:type="dxa"/>
              <w:right w:w="17" w:type="dxa"/>
            </w:tcMar>
            <w:vAlign w:val="center"/>
          </w:tcPr>
          <w:p w14:paraId="221B5387">
            <w:pPr>
              <w:rPr>
                <w:bCs/>
                <w:sz w:val="24"/>
                <w:highlight w:val="none"/>
              </w:rPr>
            </w:pPr>
            <w:r>
              <w:rPr>
                <w:rFonts w:hint="eastAsia"/>
                <w:bCs/>
                <w:sz w:val="24"/>
                <w:highlight w:val="none"/>
              </w:rPr>
              <w:t>　</w:t>
            </w:r>
          </w:p>
        </w:tc>
        <w:tc>
          <w:tcPr>
            <w:tcW w:w="1276" w:type="dxa"/>
            <w:tcBorders>
              <w:top w:val="nil"/>
              <w:left w:val="nil"/>
              <w:bottom w:val="single" w:color="auto" w:sz="4" w:space="0"/>
              <w:right w:val="single" w:color="auto" w:sz="4" w:space="0"/>
            </w:tcBorders>
            <w:tcMar>
              <w:top w:w="17" w:type="dxa"/>
              <w:left w:w="17" w:type="dxa"/>
              <w:bottom w:w="0" w:type="dxa"/>
              <w:right w:w="17" w:type="dxa"/>
            </w:tcMar>
            <w:vAlign w:val="center"/>
          </w:tcPr>
          <w:p w14:paraId="0778BE0E">
            <w:pPr>
              <w:rPr>
                <w:bCs/>
                <w:sz w:val="24"/>
                <w:highlight w:val="none"/>
              </w:rPr>
            </w:pPr>
            <w:r>
              <w:rPr>
                <w:rFonts w:hint="eastAsia"/>
                <w:bCs/>
                <w:sz w:val="24"/>
                <w:highlight w:val="none"/>
              </w:rPr>
              <w:t>　</w:t>
            </w:r>
          </w:p>
        </w:tc>
        <w:tc>
          <w:tcPr>
            <w:tcW w:w="1276" w:type="dxa"/>
            <w:tcBorders>
              <w:top w:val="nil"/>
              <w:left w:val="nil"/>
              <w:bottom w:val="single" w:color="auto" w:sz="4" w:space="0"/>
              <w:right w:val="single" w:color="auto" w:sz="4" w:space="0"/>
            </w:tcBorders>
            <w:tcMar>
              <w:top w:w="17" w:type="dxa"/>
              <w:left w:w="17" w:type="dxa"/>
              <w:bottom w:w="0" w:type="dxa"/>
              <w:right w:w="17" w:type="dxa"/>
            </w:tcMar>
            <w:vAlign w:val="center"/>
          </w:tcPr>
          <w:p w14:paraId="4BCB7A0F">
            <w:pPr>
              <w:rPr>
                <w:bCs/>
                <w:sz w:val="24"/>
                <w:highlight w:val="none"/>
              </w:rPr>
            </w:pPr>
            <w:r>
              <w:rPr>
                <w:rFonts w:hint="eastAsia"/>
                <w:bCs/>
                <w:sz w:val="24"/>
                <w:highlight w:val="none"/>
              </w:rPr>
              <w:t>　</w:t>
            </w:r>
          </w:p>
        </w:tc>
        <w:tc>
          <w:tcPr>
            <w:tcW w:w="1701" w:type="dxa"/>
            <w:tcBorders>
              <w:top w:val="nil"/>
              <w:left w:val="nil"/>
              <w:bottom w:val="single" w:color="auto" w:sz="4" w:space="0"/>
              <w:right w:val="single" w:color="auto" w:sz="4" w:space="0"/>
            </w:tcBorders>
            <w:tcMar>
              <w:top w:w="17" w:type="dxa"/>
              <w:left w:w="17" w:type="dxa"/>
              <w:bottom w:w="0" w:type="dxa"/>
              <w:right w:w="17" w:type="dxa"/>
            </w:tcMar>
            <w:vAlign w:val="center"/>
          </w:tcPr>
          <w:p w14:paraId="28A22862">
            <w:pPr>
              <w:rPr>
                <w:bCs/>
                <w:sz w:val="24"/>
                <w:highlight w:val="none"/>
              </w:rPr>
            </w:pPr>
            <w:r>
              <w:rPr>
                <w:rFonts w:hint="eastAsia"/>
                <w:bCs/>
                <w:sz w:val="24"/>
                <w:highlight w:val="none"/>
              </w:rPr>
              <w:t>　</w:t>
            </w:r>
          </w:p>
        </w:tc>
      </w:tr>
      <w:tr w14:paraId="33EEBACE">
        <w:tblPrEx>
          <w:tblCellMar>
            <w:top w:w="0" w:type="dxa"/>
            <w:left w:w="0" w:type="dxa"/>
            <w:bottom w:w="0" w:type="dxa"/>
            <w:right w:w="0" w:type="dxa"/>
          </w:tblCellMar>
        </w:tblPrEx>
        <w:trPr>
          <w:trHeight w:val="559" w:hRule="atLeast"/>
        </w:trPr>
        <w:tc>
          <w:tcPr>
            <w:tcW w:w="2797" w:type="dxa"/>
            <w:tcBorders>
              <w:top w:val="single" w:color="auto" w:sz="4" w:space="0"/>
              <w:left w:val="single" w:color="auto" w:sz="4" w:space="0"/>
              <w:bottom w:val="single" w:color="auto" w:sz="4" w:space="0"/>
              <w:right w:val="single" w:color="auto" w:sz="4" w:space="0"/>
            </w:tcBorders>
            <w:tcMar>
              <w:top w:w="17" w:type="dxa"/>
              <w:left w:w="17" w:type="dxa"/>
              <w:bottom w:w="0" w:type="dxa"/>
              <w:right w:w="17" w:type="dxa"/>
            </w:tcMar>
            <w:vAlign w:val="center"/>
          </w:tcPr>
          <w:p w14:paraId="3BD81C03">
            <w:pPr>
              <w:jc w:val="center"/>
              <w:rPr>
                <w:rFonts w:ascii="宋体" w:hAnsi="宋体" w:cs="宋体"/>
                <w:bCs/>
                <w:sz w:val="24"/>
                <w:highlight w:val="none"/>
              </w:rPr>
            </w:pPr>
            <w:r>
              <w:rPr>
                <w:rFonts w:hint="eastAsia"/>
                <w:bCs/>
                <w:sz w:val="24"/>
                <w:highlight w:val="none"/>
              </w:rPr>
              <w:t>主营业务收入（万元）</w:t>
            </w:r>
          </w:p>
        </w:tc>
        <w:tc>
          <w:tcPr>
            <w:tcW w:w="1048" w:type="dxa"/>
            <w:tcBorders>
              <w:top w:val="nil"/>
              <w:left w:val="nil"/>
              <w:bottom w:val="single" w:color="auto" w:sz="4" w:space="0"/>
              <w:right w:val="single" w:color="auto" w:sz="4" w:space="0"/>
            </w:tcBorders>
            <w:tcMar>
              <w:top w:w="17" w:type="dxa"/>
              <w:left w:w="17" w:type="dxa"/>
              <w:bottom w:w="0" w:type="dxa"/>
              <w:right w:w="17" w:type="dxa"/>
            </w:tcMar>
            <w:vAlign w:val="center"/>
          </w:tcPr>
          <w:p w14:paraId="32FDE40D">
            <w:pPr>
              <w:rPr>
                <w:bCs/>
                <w:sz w:val="24"/>
                <w:highlight w:val="none"/>
              </w:rPr>
            </w:pPr>
            <w:r>
              <w:rPr>
                <w:rFonts w:hint="eastAsia"/>
                <w:bCs/>
                <w:sz w:val="24"/>
                <w:highlight w:val="none"/>
              </w:rPr>
              <w:t>　</w:t>
            </w:r>
          </w:p>
        </w:tc>
        <w:tc>
          <w:tcPr>
            <w:tcW w:w="1275" w:type="dxa"/>
            <w:tcBorders>
              <w:top w:val="nil"/>
              <w:left w:val="nil"/>
              <w:bottom w:val="single" w:color="auto" w:sz="4" w:space="0"/>
              <w:right w:val="single" w:color="auto" w:sz="4" w:space="0"/>
            </w:tcBorders>
            <w:tcMar>
              <w:top w:w="17" w:type="dxa"/>
              <w:left w:w="17" w:type="dxa"/>
              <w:bottom w:w="0" w:type="dxa"/>
              <w:right w:w="17" w:type="dxa"/>
            </w:tcMar>
            <w:vAlign w:val="center"/>
          </w:tcPr>
          <w:p w14:paraId="5C882241">
            <w:pPr>
              <w:rPr>
                <w:bCs/>
                <w:sz w:val="24"/>
                <w:highlight w:val="none"/>
              </w:rPr>
            </w:pPr>
            <w:r>
              <w:rPr>
                <w:rFonts w:hint="eastAsia"/>
                <w:bCs/>
                <w:sz w:val="24"/>
                <w:highlight w:val="none"/>
              </w:rPr>
              <w:t>　</w:t>
            </w:r>
          </w:p>
        </w:tc>
        <w:tc>
          <w:tcPr>
            <w:tcW w:w="1276" w:type="dxa"/>
            <w:tcBorders>
              <w:top w:val="nil"/>
              <w:left w:val="nil"/>
              <w:bottom w:val="single" w:color="auto" w:sz="4" w:space="0"/>
              <w:right w:val="single" w:color="auto" w:sz="4" w:space="0"/>
            </w:tcBorders>
            <w:tcMar>
              <w:top w:w="17" w:type="dxa"/>
              <w:left w:w="17" w:type="dxa"/>
              <w:bottom w:w="0" w:type="dxa"/>
              <w:right w:w="17" w:type="dxa"/>
            </w:tcMar>
            <w:vAlign w:val="center"/>
          </w:tcPr>
          <w:p w14:paraId="4D9873BD">
            <w:pPr>
              <w:rPr>
                <w:bCs/>
                <w:sz w:val="24"/>
                <w:highlight w:val="none"/>
              </w:rPr>
            </w:pPr>
            <w:r>
              <w:rPr>
                <w:rFonts w:hint="eastAsia"/>
                <w:bCs/>
                <w:sz w:val="24"/>
                <w:highlight w:val="none"/>
              </w:rPr>
              <w:t>　</w:t>
            </w:r>
          </w:p>
        </w:tc>
        <w:tc>
          <w:tcPr>
            <w:tcW w:w="1276" w:type="dxa"/>
            <w:tcBorders>
              <w:top w:val="nil"/>
              <w:left w:val="nil"/>
              <w:bottom w:val="single" w:color="auto" w:sz="4" w:space="0"/>
              <w:right w:val="single" w:color="auto" w:sz="4" w:space="0"/>
            </w:tcBorders>
            <w:tcMar>
              <w:top w:w="17" w:type="dxa"/>
              <w:left w:w="17" w:type="dxa"/>
              <w:bottom w:w="0" w:type="dxa"/>
              <w:right w:w="17" w:type="dxa"/>
            </w:tcMar>
            <w:vAlign w:val="center"/>
          </w:tcPr>
          <w:p w14:paraId="46D0C37C">
            <w:pPr>
              <w:rPr>
                <w:bCs/>
                <w:sz w:val="24"/>
                <w:highlight w:val="none"/>
              </w:rPr>
            </w:pPr>
            <w:r>
              <w:rPr>
                <w:rFonts w:hint="eastAsia"/>
                <w:bCs/>
                <w:sz w:val="24"/>
                <w:highlight w:val="none"/>
              </w:rPr>
              <w:t>　</w:t>
            </w:r>
          </w:p>
        </w:tc>
        <w:tc>
          <w:tcPr>
            <w:tcW w:w="1701" w:type="dxa"/>
            <w:tcBorders>
              <w:top w:val="nil"/>
              <w:left w:val="nil"/>
              <w:bottom w:val="single" w:color="auto" w:sz="4" w:space="0"/>
              <w:right w:val="single" w:color="auto" w:sz="4" w:space="0"/>
            </w:tcBorders>
            <w:tcMar>
              <w:top w:w="17" w:type="dxa"/>
              <w:left w:w="17" w:type="dxa"/>
              <w:bottom w:w="0" w:type="dxa"/>
              <w:right w:w="17" w:type="dxa"/>
            </w:tcMar>
            <w:vAlign w:val="center"/>
          </w:tcPr>
          <w:p w14:paraId="52526B8D">
            <w:pPr>
              <w:rPr>
                <w:bCs/>
                <w:sz w:val="24"/>
                <w:highlight w:val="none"/>
              </w:rPr>
            </w:pPr>
            <w:r>
              <w:rPr>
                <w:rFonts w:hint="eastAsia"/>
                <w:bCs/>
                <w:sz w:val="24"/>
                <w:highlight w:val="none"/>
              </w:rPr>
              <w:t>　</w:t>
            </w:r>
          </w:p>
        </w:tc>
      </w:tr>
      <w:tr w14:paraId="06134A04">
        <w:tblPrEx>
          <w:tblCellMar>
            <w:top w:w="0" w:type="dxa"/>
            <w:left w:w="0" w:type="dxa"/>
            <w:bottom w:w="0" w:type="dxa"/>
            <w:right w:w="0" w:type="dxa"/>
          </w:tblCellMar>
        </w:tblPrEx>
        <w:trPr>
          <w:trHeight w:val="539" w:hRule="atLeast"/>
        </w:trPr>
        <w:tc>
          <w:tcPr>
            <w:tcW w:w="2797" w:type="dxa"/>
            <w:tcBorders>
              <w:top w:val="single" w:color="auto" w:sz="4" w:space="0"/>
              <w:left w:val="single" w:color="auto" w:sz="4" w:space="0"/>
              <w:bottom w:val="single" w:color="auto" w:sz="4" w:space="0"/>
              <w:right w:val="single" w:color="auto" w:sz="4" w:space="0"/>
            </w:tcBorders>
            <w:tcMar>
              <w:top w:w="17" w:type="dxa"/>
              <w:left w:w="17" w:type="dxa"/>
              <w:bottom w:w="0" w:type="dxa"/>
              <w:right w:w="17" w:type="dxa"/>
            </w:tcMar>
            <w:vAlign w:val="center"/>
          </w:tcPr>
          <w:p w14:paraId="4B4D3E11">
            <w:pPr>
              <w:jc w:val="center"/>
              <w:rPr>
                <w:rFonts w:ascii="宋体" w:hAnsi="宋体" w:cs="宋体"/>
                <w:bCs/>
                <w:sz w:val="24"/>
                <w:highlight w:val="none"/>
              </w:rPr>
            </w:pPr>
            <w:r>
              <w:rPr>
                <w:rFonts w:hint="eastAsia"/>
                <w:bCs/>
                <w:sz w:val="24"/>
                <w:highlight w:val="none"/>
              </w:rPr>
              <w:t>资产负债率</w:t>
            </w:r>
          </w:p>
        </w:tc>
        <w:tc>
          <w:tcPr>
            <w:tcW w:w="1048" w:type="dxa"/>
            <w:tcBorders>
              <w:top w:val="nil"/>
              <w:left w:val="nil"/>
              <w:bottom w:val="single" w:color="auto" w:sz="4" w:space="0"/>
              <w:right w:val="single" w:color="auto" w:sz="4" w:space="0"/>
            </w:tcBorders>
            <w:tcMar>
              <w:top w:w="17" w:type="dxa"/>
              <w:left w:w="17" w:type="dxa"/>
              <w:bottom w:w="0" w:type="dxa"/>
              <w:right w:w="17" w:type="dxa"/>
            </w:tcMar>
            <w:vAlign w:val="center"/>
          </w:tcPr>
          <w:p w14:paraId="371774E0">
            <w:pPr>
              <w:rPr>
                <w:bCs/>
                <w:sz w:val="24"/>
                <w:highlight w:val="none"/>
              </w:rPr>
            </w:pPr>
            <w:r>
              <w:rPr>
                <w:rFonts w:hint="eastAsia"/>
                <w:bCs/>
                <w:sz w:val="24"/>
                <w:highlight w:val="none"/>
              </w:rPr>
              <w:t>　</w:t>
            </w:r>
          </w:p>
        </w:tc>
        <w:tc>
          <w:tcPr>
            <w:tcW w:w="1275" w:type="dxa"/>
            <w:tcBorders>
              <w:top w:val="nil"/>
              <w:left w:val="nil"/>
              <w:bottom w:val="single" w:color="auto" w:sz="4" w:space="0"/>
              <w:right w:val="single" w:color="auto" w:sz="4" w:space="0"/>
            </w:tcBorders>
            <w:tcMar>
              <w:top w:w="17" w:type="dxa"/>
              <w:left w:w="17" w:type="dxa"/>
              <w:bottom w:w="0" w:type="dxa"/>
              <w:right w:w="17" w:type="dxa"/>
            </w:tcMar>
            <w:vAlign w:val="center"/>
          </w:tcPr>
          <w:p w14:paraId="16726917">
            <w:pPr>
              <w:rPr>
                <w:bCs/>
                <w:sz w:val="24"/>
                <w:highlight w:val="none"/>
              </w:rPr>
            </w:pPr>
            <w:r>
              <w:rPr>
                <w:rFonts w:hint="eastAsia"/>
                <w:bCs/>
                <w:sz w:val="24"/>
                <w:highlight w:val="none"/>
              </w:rPr>
              <w:t>　</w:t>
            </w:r>
          </w:p>
        </w:tc>
        <w:tc>
          <w:tcPr>
            <w:tcW w:w="1276" w:type="dxa"/>
            <w:tcBorders>
              <w:top w:val="nil"/>
              <w:left w:val="nil"/>
              <w:bottom w:val="single" w:color="auto" w:sz="4" w:space="0"/>
              <w:right w:val="single" w:color="auto" w:sz="4" w:space="0"/>
            </w:tcBorders>
            <w:tcMar>
              <w:top w:w="17" w:type="dxa"/>
              <w:left w:w="17" w:type="dxa"/>
              <w:bottom w:w="0" w:type="dxa"/>
              <w:right w:w="17" w:type="dxa"/>
            </w:tcMar>
            <w:vAlign w:val="center"/>
          </w:tcPr>
          <w:p w14:paraId="0C39FD0B">
            <w:pPr>
              <w:rPr>
                <w:bCs/>
                <w:sz w:val="24"/>
                <w:highlight w:val="none"/>
              </w:rPr>
            </w:pPr>
            <w:r>
              <w:rPr>
                <w:rFonts w:hint="eastAsia"/>
                <w:bCs/>
                <w:sz w:val="24"/>
                <w:highlight w:val="none"/>
              </w:rPr>
              <w:t>　</w:t>
            </w:r>
          </w:p>
        </w:tc>
        <w:tc>
          <w:tcPr>
            <w:tcW w:w="1276" w:type="dxa"/>
            <w:tcBorders>
              <w:top w:val="nil"/>
              <w:left w:val="nil"/>
              <w:bottom w:val="single" w:color="auto" w:sz="4" w:space="0"/>
              <w:right w:val="single" w:color="auto" w:sz="4" w:space="0"/>
            </w:tcBorders>
            <w:tcMar>
              <w:top w:w="17" w:type="dxa"/>
              <w:left w:w="17" w:type="dxa"/>
              <w:bottom w:w="0" w:type="dxa"/>
              <w:right w:w="17" w:type="dxa"/>
            </w:tcMar>
            <w:vAlign w:val="center"/>
          </w:tcPr>
          <w:p w14:paraId="7A343013">
            <w:pPr>
              <w:rPr>
                <w:bCs/>
                <w:sz w:val="24"/>
                <w:highlight w:val="none"/>
              </w:rPr>
            </w:pPr>
            <w:r>
              <w:rPr>
                <w:rFonts w:hint="eastAsia"/>
                <w:bCs/>
                <w:sz w:val="24"/>
                <w:highlight w:val="none"/>
              </w:rPr>
              <w:t>　</w:t>
            </w:r>
          </w:p>
        </w:tc>
        <w:tc>
          <w:tcPr>
            <w:tcW w:w="1701" w:type="dxa"/>
            <w:tcBorders>
              <w:top w:val="nil"/>
              <w:left w:val="nil"/>
              <w:bottom w:val="single" w:color="auto" w:sz="4" w:space="0"/>
              <w:right w:val="single" w:color="auto" w:sz="4" w:space="0"/>
            </w:tcBorders>
            <w:tcMar>
              <w:top w:w="17" w:type="dxa"/>
              <w:left w:w="17" w:type="dxa"/>
              <w:bottom w:w="0" w:type="dxa"/>
              <w:right w:w="17" w:type="dxa"/>
            </w:tcMar>
            <w:vAlign w:val="center"/>
          </w:tcPr>
          <w:p w14:paraId="3843ECEF">
            <w:pPr>
              <w:rPr>
                <w:bCs/>
                <w:sz w:val="24"/>
                <w:highlight w:val="none"/>
              </w:rPr>
            </w:pPr>
            <w:r>
              <w:rPr>
                <w:rFonts w:hint="eastAsia"/>
                <w:bCs/>
                <w:sz w:val="24"/>
                <w:highlight w:val="none"/>
              </w:rPr>
              <w:t>　</w:t>
            </w:r>
          </w:p>
        </w:tc>
      </w:tr>
      <w:tr w14:paraId="37FE77B7">
        <w:tblPrEx>
          <w:tblCellMar>
            <w:top w:w="0" w:type="dxa"/>
            <w:left w:w="0" w:type="dxa"/>
            <w:bottom w:w="0" w:type="dxa"/>
            <w:right w:w="0" w:type="dxa"/>
          </w:tblCellMar>
        </w:tblPrEx>
        <w:trPr>
          <w:trHeight w:val="696" w:hRule="atLeast"/>
        </w:trPr>
        <w:tc>
          <w:tcPr>
            <w:tcW w:w="2797" w:type="dxa"/>
            <w:tcBorders>
              <w:top w:val="single" w:color="auto" w:sz="4" w:space="0"/>
              <w:left w:val="single" w:color="auto" w:sz="4" w:space="0"/>
              <w:bottom w:val="single" w:color="auto" w:sz="4" w:space="0"/>
              <w:right w:val="single" w:color="auto" w:sz="4" w:space="0"/>
            </w:tcBorders>
            <w:tcMar>
              <w:top w:w="17" w:type="dxa"/>
              <w:left w:w="17" w:type="dxa"/>
              <w:bottom w:w="0" w:type="dxa"/>
              <w:right w:w="17" w:type="dxa"/>
            </w:tcMar>
            <w:vAlign w:val="center"/>
          </w:tcPr>
          <w:p w14:paraId="4F520138">
            <w:pPr>
              <w:jc w:val="center"/>
              <w:rPr>
                <w:bCs/>
                <w:sz w:val="24"/>
                <w:highlight w:val="none"/>
              </w:rPr>
            </w:pPr>
            <w:r>
              <w:rPr>
                <w:bCs/>
                <w:sz w:val="24"/>
                <w:highlight w:val="none"/>
                <w:u w:val="single"/>
              </w:rPr>
              <w:t xml:space="preserve">     </w:t>
            </w:r>
            <w:r>
              <w:rPr>
                <w:rFonts w:hint="eastAsia"/>
                <w:bCs/>
                <w:sz w:val="24"/>
                <w:highlight w:val="none"/>
              </w:rPr>
              <w:t>年度纳税总金额</w:t>
            </w:r>
          </w:p>
          <w:p w14:paraId="08FE153C">
            <w:pPr>
              <w:ind w:firstLine="468"/>
              <w:jc w:val="center"/>
              <w:rPr>
                <w:rFonts w:ascii="宋体" w:hAnsi="宋体" w:cs="宋体"/>
                <w:bCs/>
                <w:sz w:val="24"/>
                <w:highlight w:val="none"/>
              </w:rPr>
            </w:pPr>
            <w:r>
              <w:rPr>
                <w:rFonts w:hint="eastAsia"/>
                <w:bCs/>
                <w:sz w:val="24"/>
                <w:highlight w:val="none"/>
              </w:rPr>
              <w:t>（万元）</w:t>
            </w:r>
          </w:p>
        </w:tc>
        <w:tc>
          <w:tcPr>
            <w:tcW w:w="4875" w:type="dxa"/>
            <w:gridSpan w:val="4"/>
            <w:tcBorders>
              <w:top w:val="single" w:color="auto" w:sz="4" w:space="0"/>
              <w:left w:val="nil"/>
              <w:bottom w:val="single" w:color="auto" w:sz="4" w:space="0"/>
              <w:right w:val="single" w:color="auto" w:sz="4" w:space="0"/>
            </w:tcBorders>
            <w:tcMar>
              <w:top w:w="17" w:type="dxa"/>
              <w:left w:w="17" w:type="dxa"/>
              <w:bottom w:w="0" w:type="dxa"/>
              <w:right w:w="17" w:type="dxa"/>
            </w:tcMar>
            <w:vAlign w:val="center"/>
          </w:tcPr>
          <w:p w14:paraId="5D4BD45B">
            <w:pPr>
              <w:jc w:val="center"/>
              <w:rPr>
                <w:bCs/>
                <w:sz w:val="24"/>
                <w:highlight w:val="none"/>
              </w:rPr>
            </w:pPr>
            <w:r>
              <w:rPr>
                <w:rFonts w:hint="eastAsia"/>
                <w:bCs/>
                <w:sz w:val="24"/>
                <w:highlight w:val="none"/>
              </w:rPr>
              <w:t>　</w:t>
            </w:r>
          </w:p>
        </w:tc>
        <w:tc>
          <w:tcPr>
            <w:tcW w:w="1701" w:type="dxa"/>
            <w:tcBorders>
              <w:top w:val="nil"/>
              <w:left w:val="nil"/>
              <w:bottom w:val="single" w:color="auto" w:sz="4" w:space="0"/>
              <w:right w:val="single" w:color="auto" w:sz="4" w:space="0"/>
            </w:tcBorders>
            <w:tcMar>
              <w:top w:w="17" w:type="dxa"/>
              <w:left w:w="17" w:type="dxa"/>
              <w:bottom w:w="0" w:type="dxa"/>
              <w:right w:w="17" w:type="dxa"/>
            </w:tcMar>
            <w:vAlign w:val="center"/>
          </w:tcPr>
          <w:p w14:paraId="059618AE">
            <w:pPr>
              <w:rPr>
                <w:bCs/>
                <w:sz w:val="24"/>
                <w:highlight w:val="none"/>
              </w:rPr>
            </w:pPr>
            <w:r>
              <w:rPr>
                <w:rFonts w:hint="eastAsia"/>
                <w:bCs/>
                <w:sz w:val="24"/>
                <w:highlight w:val="none"/>
              </w:rPr>
              <w:t>　</w:t>
            </w:r>
          </w:p>
        </w:tc>
      </w:tr>
      <w:tr w14:paraId="5D78FF0A">
        <w:tblPrEx>
          <w:tblCellMar>
            <w:top w:w="0" w:type="dxa"/>
            <w:left w:w="0" w:type="dxa"/>
            <w:bottom w:w="0" w:type="dxa"/>
            <w:right w:w="0" w:type="dxa"/>
          </w:tblCellMar>
        </w:tblPrEx>
        <w:trPr>
          <w:trHeight w:val="963" w:hRule="atLeast"/>
        </w:trPr>
        <w:tc>
          <w:tcPr>
            <w:tcW w:w="2797" w:type="dxa"/>
            <w:tcBorders>
              <w:top w:val="single" w:color="auto" w:sz="4" w:space="0"/>
              <w:left w:val="single" w:color="auto" w:sz="4" w:space="0"/>
              <w:bottom w:val="single" w:color="auto" w:sz="4" w:space="0"/>
              <w:right w:val="single" w:color="auto" w:sz="4" w:space="0"/>
            </w:tcBorders>
            <w:tcMar>
              <w:top w:w="17" w:type="dxa"/>
              <w:left w:w="17" w:type="dxa"/>
              <w:bottom w:w="0" w:type="dxa"/>
              <w:right w:w="17" w:type="dxa"/>
            </w:tcMar>
            <w:vAlign w:val="center"/>
          </w:tcPr>
          <w:p w14:paraId="5B9ABE66">
            <w:pPr>
              <w:jc w:val="center"/>
              <w:rPr>
                <w:bCs/>
                <w:sz w:val="24"/>
                <w:highlight w:val="none"/>
              </w:rPr>
            </w:pPr>
            <w:r>
              <w:rPr>
                <w:bCs/>
                <w:sz w:val="24"/>
                <w:highlight w:val="none"/>
                <w:u w:val="single"/>
              </w:rPr>
              <w:t xml:space="preserve">     </w:t>
            </w:r>
            <w:r>
              <w:rPr>
                <w:rFonts w:hint="eastAsia"/>
                <w:bCs/>
                <w:sz w:val="24"/>
                <w:highlight w:val="none"/>
              </w:rPr>
              <w:t>年度缴纳社保金额</w:t>
            </w:r>
          </w:p>
          <w:p w14:paraId="6E42E6DE">
            <w:pPr>
              <w:ind w:firstLine="468"/>
              <w:jc w:val="center"/>
              <w:rPr>
                <w:rFonts w:ascii="宋体" w:hAnsi="宋体" w:cs="宋体"/>
                <w:bCs/>
                <w:sz w:val="24"/>
                <w:highlight w:val="none"/>
              </w:rPr>
            </w:pPr>
            <w:r>
              <w:rPr>
                <w:rFonts w:hint="eastAsia"/>
                <w:bCs/>
                <w:sz w:val="24"/>
                <w:highlight w:val="none"/>
              </w:rPr>
              <w:t>（万元）</w:t>
            </w:r>
          </w:p>
        </w:tc>
        <w:tc>
          <w:tcPr>
            <w:tcW w:w="4875" w:type="dxa"/>
            <w:gridSpan w:val="4"/>
            <w:tcBorders>
              <w:top w:val="single" w:color="auto" w:sz="4" w:space="0"/>
              <w:left w:val="nil"/>
              <w:bottom w:val="single" w:color="auto" w:sz="4" w:space="0"/>
              <w:right w:val="single" w:color="auto" w:sz="4" w:space="0"/>
            </w:tcBorders>
            <w:tcMar>
              <w:top w:w="17" w:type="dxa"/>
              <w:left w:w="17" w:type="dxa"/>
              <w:bottom w:w="0" w:type="dxa"/>
              <w:right w:w="17" w:type="dxa"/>
            </w:tcMar>
            <w:vAlign w:val="center"/>
          </w:tcPr>
          <w:p w14:paraId="3C19D590">
            <w:pPr>
              <w:jc w:val="center"/>
              <w:rPr>
                <w:bCs/>
                <w:sz w:val="24"/>
                <w:highlight w:val="none"/>
              </w:rPr>
            </w:pPr>
            <w:r>
              <w:rPr>
                <w:rFonts w:hint="eastAsia"/>
                <w:bCs/>
                <w:sz w:val="24"/>
                <w:highlight w:val="none"/>
              </w:rPr>
              <w:t>　</w:t>
            </w:r>
          </w:p>
        </w:tc>
        <w:tc>
          <w:tcPr>
            <w:tcW w:w="1701" w:type="dxa"/>
            <w:tcBorders>
              <w:top w:val="nil"/>
              <w:left w:val="nil"/>
              <w:bottom w:val="single" w:color="auto" w:sz="4" w:space="0"/>
              <w:right w:val="single" w:color="auto" w:sz="4" w:space="0"/>
            </w:tcBorders>
            <w:tcMar>
              <w:top w:w="17" w:type="dxa"/>
              <w:left w:w="17" w:type="dxa"/>
              <w:bottom w:w="0" w:type="dxa"/>
              <w:right w:w="17" w:type="dxa"/>
            </w:tcMar>
            <w:vAlign w:val="center"/>
          </w:tcPr>
          <w:p w14:paraId="6EBBFFA1">
            <w:pPr>
              <w:rPr>
                <w:bCs/>
                <w:sz w:val="24"/>
                <w:highlight w:val="none"/>
              </w:rPr>
            </w:pPr>
            <w:r>
              <w:rPr>
                <w:rFonts w:hint="eastAsia"/>
                <w:bCs/>
                <w:sz w:val="24"/>
                <w:highlight w:val="none"/>
              </w:rPr>
              <w:t>　</w:t>
            </w:r>
          </w:p>
        </w:tc>
      </w:tr>
      <w:tr w14:paraId="11374713">
        <w:tblPrEx>
          <w:tblCellMar>
            <w:top w:w="0" w:type="dxa"/>
            <w:left w:w="0" w:type="dxa"/>
            <w:bottom w:w="0" w:type="dxa"/>
            <w:right w:w="0" w:type="dxa"/>
          </w:tblCellMar>
        </w:tblPrEx>
        <w:trPr>
          <w:trHeight w:val="612" w:hRule="atLeast"/>
        </w:trPr>
        <w:tc>
          <w:tcPr>
            <w:tcW w:w="2797" w:type="dxa"/>
            <w:tcBorders>
              <w:top w:val="single" w:color="auto" w:sz="4" w:space="0"/>
              <w:left w:val="single" w:color="auto" w:sz="4" w:space="0"/>
              <w:bottom w:val="single" w:color="auto" w:sz="4" w:space="0"/>
              <w:right w:val="single" w:color="auto" w:sz="4" w:space="0"/>
            </w:tcBorders>
            <w:tcMar>
              <w:top w:w="17" w:type="dxa"/>
              <w:left w:w="17" w:type="dxa"/>
              <w:bottom w:w="0" w:type="dxa"/>
              <w:right w:w="17" w:type="dxa"/>
            </w:tcMar>
            <w:vAlign w:val="center"/>
          </w:tcPr>
          <w:p w14:paraId="488D0857">
            <w:pPr>
              <w:rPr>
                <w:rFonts w:ascii="宋体" w:hAnsi="宋体" w:cs="宋体"/>
                <w:bCs/>
                <w:sz w:val="24"/>
                <w:highlight w:val="none"/>
              </w:rPr>
            </w:pPr>
            <w:r>
              <w:rPr>
                <w:rFonts w:ascii="黑体" w:hAnsi="黑体" w:eastAsia="黑体"/>
                <w:bCs/>
                <w:sz w:val="24"/>
                <w:highlight w:val="none"/>
                <w:u w:val="single"/>
              </w:rPr>
              <w:t xml:space="preserve">    </w:t>
            </w:r>
            <w:r>
              <w:rPr>
                <w:rFonts w:hint="eastAsia"/>
                <w:bCs/>
                <w:sz w:val="24"/>
                <w:highlight w:val="none"/>
              </w:rPr>
              <w:t>年度缴纳社保人数</w:t>
            </w:r>
          </w:p>
        </w:tc>
        <w:tc>
          <w:tcPr>
            <w:tcW w:w="4875" w:type="dxa"/>
            <w:gridSpan w:val="4"/>
            <w:tcBorders>
              <w:top w:val="single" w:color="auto" w:sz="4" w:space="0"/>
              <w:left w:val="nil"/>
              <w:bottom w:val="single" w:color="auto" w:sz="4" w:space="0"/>
              <w:right w:val="single" w:color="auto" w:sz="4" w:space="0"/>
            </w:tcBorders>
            <w:tcMar>
              <w:top w:w="17" w:type="dxa"/>
              <w:left w:w="17" w:type="dxa"/>
              <w:bottom w:w="0" w:type="dxa"/>
              <w:right w:w="17" w:type="dxa"/>
            </w:tcMar>
            <w:vAlign w:val="center"/>
          </w:tcPr>
          <w:p w14:paraId="65B16BB7">
            <w:pPr>
              <w:jc w:val="center"/>
              <w:rPr>
                <w:bCs/>
                <w:sz w:val="24"/>
                <w:highlight w:val="none"/>
              </w:rPr>
            </w:pPr>
            <w:r>
              <w:rPr>
                <w:rFonts w:hint="eastAsia"/>
                <w:bCs/>
                <w:sz w:val="24"/>
                <w:highlight w:val="none"/>
              </w:rPr>
              <w:t>　</w:t>
            </w:r>
          </w:p>
        </w:tc>
        <w:tc>
          <w:tcPr>
            <w:tcW w:w="1701" w:type="dxa"/>
            <w:tcBorders>
              <w:top w:val="nil"/>
              <w:left w:val="nil"/>
              <w:bottom w:val="single" w:color="auto" w:sz="4" w:space="0"/>
              <w:right w:val="single" w:color="auto" w:sz="4" w:space="0"/>
            </w:tcBorders>
            <w:tcMar>
              <w:top w:w="17" w:type="dxa"/>
              <w:left w:w="17" w:type="dxa"/>
              <w:bottom w:w="0" w:type="dxa"/>
              <w:right w:w="17" w:type="dxa"/>
            </w:tcMar>
            <w:vAlign w:val="center"/>
          </w:tcPr>
          <w:p w14:paraId="3828B187">
            <w:pPr>
              <w:rPr>
                <w:bCs/>
                <w:sz w:val="24"/>
                <w:highlight w:val="none"/>
              </w:rPr>
            </w:pPr>
            <w:r>
              <w:rPr>
                <w:rFonts w:hint="eastAsia"/>
                <w:bCs/>
                <w:sz w:val="24"/>
                <w:highlight w:val="none"/>
              </w:rPr>
              <w:t>　</w:t>
            </w:r>
          </w:p>
        </w:tc>
      </w:tr>
      <w:tr w14:paraId="53436578">
        <w:tblPrEx>
          <w:tblCellMar>
            <w:top w:w="0" w:type="dxa"/>
            <w:left w:w="0" w:type="dxa"/>
            <w:bottom w:w="0" w:type="dxa"/>
            <w:right w:w="0" w:type="dxa"/>
          </w:tblCellMar>
        </w:tblPrEx>
        <w:trPr>
          <w:trHeight w:val="1012" w:hRule="atLeast"/>
        </w:trPr>
        <w:tc>
          <w:tcPr>
            <w:tcW w:w="2797" w:type="dxa"/>
            <w:tcBorders>
              <w:top w:val="single" w:color="auto" w:sz="4" w:space="0"/>
              <w:left w:val="single" w:color="auto" w:sz="4" w:space="0"/>
              <w:bottom w:val="single" w:color="auto" w:sz="4" w:space="0"/>
              <w:right w:val="single" w:color="auto" w:sz="4" w:space="0"/>
            </w:tcBorders>
            <w:tcMar>
              <w:top w:w="17" w:type="dxa"/>
              <w:left w:w="17" w:type="dxa"/>
              <w:bottom w:w="0" w:type="dxa"/>
              <w:right w:w="17" w:type="dxa"/>
            </w:tcMar>
            <w:vAlign w:val="center"/>
          </w:tcPr>
          <w:p w14:paraId="61B62607">
            <w:pPr>
              <w:jc w:val="center"/>
              <w:rPr>
                <w:rFonts w:ascii="宋体" w:hAnsi="宋体" w:cs="宋体"/>
                <w:bCs/>
                <w:sz w:val="24"/>
                <w:highlight w:val="none"/>
              </w:rPr>
            </w:pPr>
            <w:r>
              <w:rPr>
                <w:rFonts w:ascii="黑体" w:hAnsi="黑体" w:eastAsia="黑体"/>
                <w:bCs/>
                <w:sz w:val="24"/>
                <w:highlight w:val="none"/>
                <w:u w:val="single"/>
              </w:rPr>
              <w:t xml:space="preserve">    </w:t>
            </w:r>
            <w:r>
              <w:rPr>
                <w:rFonts w:hint="eastAsia"/>
                <w:bCs/>
                <w:sz w:val="24"/>
                <w:highlight w:val="none"/>
              </w:rPr>
              <w:t>年度人均社保金额（元）</w:t>
            </w:r>
          </w:p>
        </w:tc>
        <w:tc>
          <w:tcPr>
            <w:tcW w:w="4875" w:type="dxa"/>
            <w:gridSpan w:val="4"/>
            <w:tcBorders>
              <w:top w:val="single" w:color="auto" w:sz="4" w:space="0"/>
              <w:left w:val="nil"/>
              <w:bottom w:val="single" w:color="auto" w:sz="4" w:space="0"/>
              <w:right w:val="single" w:color="auto" w:sz="4" w:space="0"/>
            </w:tcBorders>
            <w:tcMar>
              <w:top w:w="17" w:type="dxa"/>
              <w:left w:w="17" w:type="dxa"/>
              <w:bottom w:w="0" w:type="dxa"/>
              <w:right w:w="17" w:type="dxa"/>
            </w:tcMar>
            <w:vAlign w:val="center"/>
          </w:tcPr>
          <w:p w14:paraId="33352E92">
            <w:pPr>
              <w:jc w:val="center"/>
              <w:rPr>
                <w:bCs/>
                <w:sz w:val="24"/>
                <w:highlight w:val="none"/>
              </w:rPr>
            </w:pPr>
            <w:r>
              <w:rPr>
                <w:rFonts w:hint="eastAsia"/>
                <w:bCs/>
                <w:sz w:val="24"/>
                <w:highlight w:val="none"/>
              </w:rPr>
              <w:t>　</w:t>
            </w:r>
          </w:p>
        </w:tc>
        <w:tc>
          <w:tcPr>
            <w:tcW w:w="1701" w:type="dxa"/>
            <w:tcBorders>
              <w:top w:val="nil"/>
              <w:left w:val="nil"/>
              <w:bottom w:val="single" w:color="auto" w:sz="4" w:space="0"/>
              <w:right w:val="single" w:color="auto" w:sz="4" w:space="0"/>
            </w:tcBorders>
            <w:tcMar>
              <w:top w:w="17" w:type="dxa"/>
              <w:left w:w="17" w:type="dxa"/>
              <w:bottom w:w="0" w:type="dxa"/>
              <w:right w:w="17" w:type="dxa"/>
            </w:tcMar>
            <w:vAlign w:val="center"/>
          </w:tcPr>
          <w:p w14:paraId="7A5962EF">
            <w:pPr>
              <w:rPr>
                <w:bCs/>
                <w:sz w:val="24"/>
                <w:highlight w:val="none"/>
              </w:rPr>
            </w:pPr>
            <w:r>
              <w:rPr>
                <w:rFonts w:hint="eastAsia"/>
                <w:bCs/>
                <w:sz w:val="24"/>
                <w:highlight w:val="none"/>
              </w:rPr>
              <w:t>　</w:t>
            </w:r>
          </w:p>
        </w:tc>
      </w:tr>
      <w:tr w14:paraId="48180C86">
        <w:tblPrEx>
          <w:tblCellMar>
            <w:top w:w="0" w:type="dxa"/>
            <w:left w:w="0" w:type="dxa"/>
            <w:bottom w:w="0" w:type="dxa"/>
            <w:right w:w="0" w:type="dxa"/>
          </w:tblCellMar>
        </w:tblPrEx>
        <w:trPr>
          <w:trHeight w:val="947" w:hRule="atLeast"/>
        </w:trPr>
        <w:tc>
          <w:tcPr>
            <w:tcW w:w="2797" w:type="dxa"/>
            <w:tcBorders>
              <w:top w:val="single" w:color="auto" w:sz="4" w:space="0"/>
              <w:left w:val="single" w:color="auto" w:sz="4" w:space="0"/>
              <w:bottom w:val="single" w:color="auto" w:sz="4" w:space="0"/>
              <w:right w:val="single" w:color="auto" w:sz="4" w:space="0"/>
            </w:tcBorders>
            <w:tcMar>
              <w:top w:w="17" w:type="dxa"/>
              <w:left w:w="17" w:type="dxa"/>
              <w:bottom w:w="0" w:type="dxa"/>
              <w:right w:w="17" w:type="dxa"/>
            </w:tcMar>
            <w:vAlign w:val="center"/>
          </w:tcPr>
          <w:p w14:paraId="78C22A02">
            <w:pPr>
              <w:jc w:val="center"/>
              <w:rPr>
                <w:rFonts w:ascii="宋体" w:hAnsi="宋体" w:cs="宋体"/>
                <w:bCs/>
                <w:sz w:val="24"/>
                <w:highlight w:val="none"/>
              </w:rPr>
            </w:pPr>
            <w:r>
              <w:rPr>
                <w:rFonts w:hint="eastAsia" w:ascii="宋体" w:hAnsi="宋体"/>
                <w:bCs/>
                <w:sz w:val="24"/>
                <w:highlight w:val="none"/>
              </w:rPr>
              <w:t>※</w:t>
            </w:r>
            <w:r>
              <w:rPr>
                <w:rFonts w:ascii="黑体" w:hAnsi="黑体" w:eastAsia="黑体"/>
                <w:bCs/>
                <w:sz w:val="24"/>
                <w:highlight w:val="none"/>
                <w:u w:val="single"/>
              </w:rPr>
              <w:t xml:space="preserve">    </w:t>
            </w:r>
            <w:r>
              <w:rPr>
                <w:rFonts w:hint="eastAsia"/>
                <w:bCs/>
                <w:sz w:val="24"/>
                <w:highlight w:val="none"/>
              </w:rPr>
              <w:t>年当地最低工资标准（元）</w:t>
            </w:r>
          </w:p>
        </w:tc>
        <w:tc>
          <w:tcPr>
            <w:tcW w:w="4875" w:type="dxa"/>
            <w:gridSpan w:val="4"/>
            <w:tcBorders>
              <w:top w:val="single" w:color="auto" w:sz="4" w:space="0"/>
              <w:left w:val="nil"/>
              <w:bottom w:val="single" w:color="auto" w:sz="4" w:space="0"/>
              <w:right w:val="single" w:color="auto" w:sz="4" w:space="0"/>
            </w:tcBorders>
            <w:tcMar>
              <w:top w:w="17" w:type="dxa"/>
              <w:left w:w="17" w:type="dxa"/>
              <w:bottom w:w="0" w:type="dxa"/>
              <w:right w:w="17" w:type="dxa"/>
            </w:tcMar>
            <w:vAlign w:val="center"/>
          </w:tcPr>
          <w:p w14:paraId="4441069F">
            <w:pPr>
              <w:jc w:val="center"/>
              <w:rPr>
                <w:bCs/>
                <w:sz w:val="24"/>
                <w:highlight w:val="none"/>
              </w:rPr>
            </w:pPr>
            <w:r>
              <w:rPr>
                <w:rFonts w:hint="eastAsia"/>
                <w:bCs/>
                <w:sz w:val="24"/>
                <w:highlight w:val="none"/>
              </w:rPr>
              <w:t>　</w:t>
            </w:r>
          </w:p>
        </w:tc>
        <w:tc>
          <w:tcPr>
            <w:tcW w:w="1701" w:type="dxa"/>
            <w:tcBorders>
              <w:top w:val="nil"/>
              <w:left w:val="nil"/>
              <w:bottom w:val="single" w:color="auto" w:sz="4" w:space="0"/>
              <w:right w:val="single" w:color="auto" w:sz="4" w:space="0"/>
            </w:tcBorders>
            <w:tcMar>
              <w:top w:w="17" w:type="dxa"/>
              <w:left w:w="17" w:type="dxa"/>
              <w:bottom w:w="0" w:type="dxa"/>
              <w:right w:w="17" w:type="dxa"/>
            </w:tcMar>
            <w:vAlign w:val="center"/>
          </w:tcPr>
          <w:p w14:paraId="3C30CE48">
            <w:pPr>
              <w:rPr>
                <w:bCs/>
                <w:sz w:val="24"/>
                <w:highlight w:val="none"/>
              </w:rPr>
            </w:pPr>
            <w:r>
              <w:rPr>
                <w:rFonts w:hint="eastAsia"/>
                <w:bCs/>
                <w:sz w:val="24"/>
                <w:highlight w:val="none"/>
              </w:rPr>
              <w:t>　</w:t>
            </w:r>
          </w:p>
        </w:tc>
      </w:tr>
      <w:tr w14:paraId="3FD572B2">
        <w:tblPrEx>
          <w:tblCellMar>
            <w:top w:w="0" w:type="dxa"/>
            <w:left w:w="0" w:type="dxa"/>
            <w:bottom w:w="0" w:type="dxa"/>
            <w:right w:w="0" w:type="dxa"/>
          </w:tblCellMar>
        </w:tblPrEx>
        <w:trPr>
          <w:trHeight w:val="727" w:hRule="atLeast"/>
        </w:trPr>
        <w:tc>
          <w:tcPr>
            <w:tcW w:w="2797" w:type="dxa"/>
            <w:tcBorders>
              <w:top w:val="single" w:color="auto" w:sz="4" w:space="0"/>
              <w:left w:val="single" w:color="auto" w:sz="4" w:space="0"/>
              <w:bottom w:val="single" w:color="auto" w:sz="4" w:space="0"/>
              <w:right w:val="single" w:color="auto" w:sz="4" w:space="0"/>
            </w:tcBorders>
            <w:tcMar>
              <w:top w:w="17" w:type="dxa"/>
              <w:left w:w="17" w:type="dxa"/>
              <w:bottom w:w="0" w:type="dxa"/>
              <w:right w:w="17" w:type="dxa"/>
            </w:tcMar>
            <w:vAlign w:val="center"/>
          </w:tcPr>
          <w:p w14:paraId="487940F3">
            <w:pPr>
              <w:jc w:val="center"/>
              <w:rPr>
                <w:rFonts w:ascii="宋体" w:hAnsi="宋体" w:cs="宋体"/>
                <w:bCs/>
                <w:sz w:val="24"/>
                <w:highlight w:val="none"/>
              </w:rPr>
            </w:pPr>
            <w:r>
              <w:rPr>
                <w:rFonts w:hint="eastAsia" w:ascii="宋体" w:hAnsi="宋体"/>
                <w:bCs/>
                <w:sz w:val="24"/>
                <w:highlight w:val="none"/>
              </w:rPr>
              <w:t>※</w:t>
            </w:r>
            <w:r>
              <w:rPr>
                <w:rFonts w:hint="eastAsia"/>
                <w:bCs/>
                <w:sz w:val="24"/>
                <w:highlight w:val="none"/>
              </w:rPr>
              <w:t>人均社保金额/</w:t>
            </w:r>
            <w:r>
              <w:rPr>
                <w:rFonts w:ascii="黑体" w:hAnsi="黑体" w:eastAsia="黑体"/>
                <w:bCs/>
                <w:sz w:val="24"/>
                <w:highlight w:val="none"/>
                <w:u w:val="single"/>
              </w:rPr>
              <w:t xml:space="preserve">   </w:t>
            </w:r>
            <w:r>
              <w:rPr>
                <w:rFonts w:hint="eastAsia"/>
                <w:bCs/>
                <w:sz w:val="24"/>
                <w:highlight w:val="none"/>
              </w:rPr>
              <w:t>年当地最低工资标准</w:t>
            </w:r>
          </w:p>
        </w:tc>
        <w:tc>
          <w:tcPr>
            <w:tcW w:w="4875" w:type="dxa"/>
            <w:gridSpan w:val="4"/>
            <w:tcBorders>
              <w:top w:val="single" w:color="auto" w:sz="4" w:space="0"/>
              <w:left w:val="nil"/>
              <w:bottom w:val="single" w:color="auto" w:sz="4" w:space="0"/>
              <w:right w:val="single" w:color="auto" w:sz="4" w:space="0"/>
            </w:tcBorders>
            <w:tcMar>
              <w:top w:w="17" w:type="dxa"/>
              <w:left w:w="17" w:type="dxa"/>
              <w:bottom w:w="0" w:type="dxa"/>
              <w:right w:w="17" w:type="dxa"/>
            </w:tcMar>
            <w:vAlign w:val="center"/>
          </w:tcPr>
          <w:p w14:paraId="42E138B1">
            <w:pPr>
              <w:jc w:val="center"/>
              <w:rPr>
                <w:bCs/>
                <w:sz w:val="24"/>
                <w:highlight w:val="none"/>
              </w:rPr>
            </w:pPr>
            <w:r>
              <w:rPr>
                <w:rFonts w:hint="eastAsia"/>
                <w:bCs/>
                <w:sz w:val="24"/>
                <w:highlight w:val="none"/>
              </w:rPr>
              <w:t>　</w:t>
            </w:r>
          </w:p>
        </w:tc>
        <w:tc>
          <w:tcPr>
            <w:tcW w:w="1701" w:type="dxa"/>
            <w:tcBorders>
              <w:top w:val="nil"/>
              <w:left w:val="nil"/>
              <w:bottom w:val="single" w:color="auto" w:sz="4" w:space="0"/>
              <w:right w:val="single" w:color="auto" w:sz="4" w:space="0"/>
            </w:tcBorders>
            <w:tcMar>
              <w:top w:w="17" w:type="dxa"/>
              <w:left w:w="17" w:type="dxa"/>
              <w:bottom w:w="0" w:type="dxa"/>
              <w:right w:w="17" w:type="dxa"/>
            </w:tcMar>
            <w:vAlign w:val="center"/>
          </w:tcPr>
          <w:p w14:paraId="69106FA4">
            <w:pPr>
              <w:rPr>
                <w:bCs/>
                <w:sz w:val="24"/>
                <w:highlight w:val="none"/>
              </w:rPr>
            </w:pPr>
            <w:r>
              <w:rPr>
                <w:rFonts w:hint="eastAsia"/>
                <w:bCs/>
                <w:sz w:val="24"/>
                <w:highlight w:val="none"/>
              </w:rPr>
              <w:t>　</w:t>
            </w:r>
          </w:p>
        </w:tc>
      </w:tr>
      <w:tr w14:paraId="3AB27733">
        <w:tblPrEx>
          <w:tblCellMar>
            <w:top w:w="0" w:type="dxa"/>
            <w:left w:w="0" w:type="dxa"/>
            <w:bottom w:w="0" w:type="dxa"/>
            <w:right w:w="0" w:type="dxa"/>
          </w:tblCellMar>
        </w:tblPrEx>
        <w:trPr>
          <w:trHeight w:val="47" w:hRule="atLeast"/>
        </w:trPr>
        <w:tc>
          <w:tcPr>
            <w:tcW w:w="9373" w:type="dxa"/>
            <w:gridSpan w:val="6"/>
            <w:tcBorders>
              <w:top w:val="single" w:color="auto" w:sz="4" w:space="0"/>
              <w:left w:val="single" w:color="auto" w:sz="4" w:space="0"/>
              <w:bottom w:val="single" w:color="auto" w:sz="4" w:space="0"/>
              <w:right w:val="single" w:color="auto" w:sz="4" w:space="0"/>
            </w:tcBorders>
            <w:tcMar>
              <w:top w:w="17" w:type="dxa"/>
              <w:left w:w="17" w:type="dxa"/>
              <w:bottom w:w="0" w:type="dxa"/>
              <w:right w:w="17" w:type="dxa"/>
            </w:tcMar>
            <w:vAlign w:val="center"/>
          </w:tcPr>
          <w:p w14:paraId="18D8ED6C">
            <w:pPr>
              <w:spacing w:line="276" w:lineRule="auto"/>
              <w:rPr>
                <w:bCs/>
                <w:sz w:val="24"/>
                <w:highlight w:val="none"/>
              </w:rPr>
            </w:pPr>
            <w:r>
              <w:rPr>
                <w:rFonts w:hint="eastAsia"/>
                <w:bCs/>
                <w:sz w:val="24"/>
                <w:highlight w:val="none"/>
              </w:rPr>
              <w:t>说明：</w:t>
            </w:r>
          </w:p>
          <w:p w14:paraId="6F9D3FFD">
            <w:pPr>
              <w:spacing w:line="360" w:lineRule="exact"/>
              <w:ind w:firstLine="480" w:firstLineChars="200"/>
              <w:rPr>
                <w:rFonts w:ascii="楷体" w:hAnsi="楷体" w:eastAsia="楷体"/>
                <w:bCs/>
                <w:sz w:val="24"/>
                <w:highlight w:val="none"/>
              </w:rPr>
            </w:pPr>
            <w:r>
              <w:rPr>
                <w:rFonts w:ascii="楷体" w:hAnsi="楷体" w:eastAsia="楷体"/>
                <w:bCs/>
                <w:sz w:val="24"/>
                <w:highlight w:val="none"/>
              </w:rPr>
              <w:t>1.</w:t>
            </w:r>
            <w:r>
              <w:rPr>
                <w:rFonts w:hint="eastAsia" w:ascii="楷体" w:hAnsi="楷体" w:eastAsia="楷体"/>
                <w:bCs/>
                <w:sz w:val="24"/>
                <w:highlight w:val="none"/>
              </w:rPr>
              <w:t>采购机构根据评审标准具体内容确定本表具体项目。</w:t>
            </w:r>
          </w:p>
          <w:p w14:paraId="00D6EB16">
            <w:pPr>
              <w:spacing w:line="360" w:lineRule="exact"/>
              <w:ind w:firstLine="480" w:firstLineChars="200"/>
              <w:rPr>
                <w:rFonts w:ascii="宋体" w:hAnsi="宋体"/>
                <w:bCs/>
                <w:sz w:val="24"/>
                <w:highlight w:val="none"/>
              </w:rPr>
            </w:pPr>
            <w:r>
              <w:rPr>
                <w:rFonts w:hint="eastAsia" w:ascii="宋体" w:hAnsi="宋体"/>
                <w:bCs/>
                <w:sz w:val="24"/>
                <w:highlight w:val="none"/>
              </w:rPr>
              <w:t>2.纳税和社保情况依据税务（社保）部门或银行出具的相关凭证如实填写，相关凭证复印件附后。其他内容依据会计师事务所出具的《审计报告》中相关数据如实填写。</w:t>
            </w:r>
          </w:p>
          <w:p w14:paraId="216E5125">
            <w:pPr>
              <w:spacing w:line="360" w:lineRule="exact"/>
              <w:ind w:firstLine="480" w:firstLineChars="200"/>
              <w:rPr>
                <w:rFonts w:ascii="宋体" w:hAnsi="宋体"/>
                <w:bCs/>
                <w:sz w:val="24"/>
                <w:highlight w:val="none"/>
              </w:rPr>
            </w:pPr>
            <w:r>
              <w:rPr>
                <w:rFonts w:hint="eastAsia" w:ascii="宋体" w:hAnsi="宋体"/>
                <w:bCs/>
                <w:sz w:val="24"/>
                <w:highlight w:val="none"/>
              </w:rPr>
              <w:t>3.“页码”栏中填写数据所在《商务技术文件》或《资格证明文件》中的页码位置。</w:t>
            </w:r>
          </w:p>
          <w:p w14:paraId="44D8B3B5">
            <w:pPr>
              <w:spacing w:line="360" w:lineRule="exact"/>
              <w:ind w:firstLine="480" w:firstLineChars="200"/>
              <w:rPr>
                <w:rFonts w:ascii="宋体" w:hAnsi="宋体" w:cs="宋体"/>
                <w:bCs/>
                <w:sz w:val="24"/>
                <w:highlight w:val="none"/>
              </w:rPr>
            </w:pPr>
            <w:r>
              <w:rPr>
                <w:rFonts w:ascii="宋体" w:hAnsi="宋体"/>
                <w:bCs/>
                <w:sz w:val="24"/>
                <w:highlight w:val="none"/>
              </w:rPr>
              <w:t>4.</w:t>
            </w:r>
            <w:r>
              <w:rPr>
                <w:rFonts w:hint="eastAsia" w:ascii="宋体" w:hAnsi="宋体"/>
                <w:bCs/>
                <w:sz w:val="24"/>
                <w:highlight w:val="none"/>
              </w:rPr>
              <w:t>评审委员会审核发现《财务社保数据统计表》与《审计报告》等证明材料中数据不一致的，以证明材料实际数据为准。</w:t>
            </w:r>
          </w:p>
        </w:tc>
      </w:tr>
    </w:tbl>
    <w:p w14:paraId="35ADF9D0">
      <w:pPr>
        <w:pStyle w:val="6"/>
        <w:spacing w:before="120" w:beforeLines="50" w:after="120" w:afterLines="50"/>
        <w:rPr>
          <w:b w:val="0"/>
          <w:highlight w:val="none"/>
        </w:rPr>
      </w:pPr>
      <w:bookmarkStart w:id="668" w:name="_Toc12980"/>
      <w:bookmarkStart w:id="669" w:name="_Toc1308"/>
      <w:bookmarkStart w:id="670" w:name="_Toc28077"/>
      <w:bookmarkStart w:id="671" w:name="_Toc112768476"/>
      <w:bookmarkStart w:id="672" w:name="_Toc28279"/>
      <w:bookmarkStart w:id="673" w:name="_Toc2438"/>
      <w:r>
        <w:rPr>
          <w:rFonts w:hint="eastAsia"/>
          <w:b w:val="0"/>
          <w:highlight w:val="none"/>
        </w:rPr>
        <w:t>附件</w:t>
      </w:r>
      <w:r>
        <w:rPr>
          <w:b w:val="0"/>
          <w:highlight w:val="none"/>
        </w:rPr>
        <w:t>2-15</w:t>
      </w:r>
      <w:r>
        <w:rPr>
          <w:rFonts w:hint="eastAsia"/>
          <w:b w:val="0"/>
          <w:bCs/>
          <w:highlight w:val="none"/>
          <w:lang w:val="en-US" w:eastAsia="zh-CN"/>
        </w:rPr>
        <w:t>零配件全国统一报价表（如有）</w:t>
      </w:r>
    </w:p>
    <w:p w14:paraId="2DCF4C85">
      <w:pPr>
        <w:pStyle w:val="153"/>
        <w:rPr>
          <w:highlight w:val="none"/>
        </w:rPr>
      </w:pPr>
      <w:r>
        <w:rPr>
          <w:rFonts w:hint="eastAsia"/>
          <w:highlight w:val="none"/>
        </w:rPr>
        <w:t>零配件全国统一报价表</w:t>
      </w:r>
    </w:p>
    <w:p w14:paraId="5DC39E78">
      <w:pPr>
        <w:ind w:firstLine="0" w:firstLineChars="0"/>
        <w:rPr>
          <w:highlight w:val="none"/>
        </w:rPr>
      </w:pPr>
      <w:r>
        <w:rPr>
          <w:rFonts w:hint="eastAsia"/>
          <w:b/>
          <w:bCs/>
          <w:highlight w:val="none"/>
        </w:rPr>
        <w:t>项目名称：</w:t>
      </w:r>
      <w:r>
        <w:rPr>
          <w:rFonts w:hint="eastAsia"/>
          <w:b/>
          <w:bCs/>
          <w:highlight w:val="none"/>
          <w:u w:val="single"/>
        </w:rPr>
        <w:t xml:space="preserve">                  </w:t>
      </w:r>
      <w:r>
        <w:rPr>
          <w:rFonts w:hint="eastAsia"/>
          <w:b/>
          <w:bCs/>
          <w:highlight w:val="none"/>
        </w:rPr>
        <w:t>项目编号：</w:t>
      </w:r>
      <w:r>
        <w:rPr>
          <w:rFonts w:hint="eastAsia"/>
          <w:b/>
          <w:bCs/>
          <w:highlight w:val="none"/>
          <w:u w:val="single"/>
        </w:rPr>
        <w:t xml:space="preserve">               </w:t>
      </w:r>
      <w:r>
        <w:rPr>
          <w:rFonts w:hint="eastAsia"/>
          <w:b/>
          <w:bCs/>
          <w:highlight w:val="none"/>
        </w:rPr>
        <w:t xml:space="preserve"> 包号：</w:t>
      </w:r>
      <w:r>
        <w:rPr>
          <w:rFonts w:hint="eastAsia"/>
          <w:b/>
          <w:bCs/>
          <w:highlight w:val="none"/>
          <w:u w:val="single"/>
        </w:rPr>
        <w:t xml:space="preserve">       </w:t>
      </w:r>
      <w:r>
        <w:rPr>
          <w:rFonts w:hint="eastAsia"/>
          <w:highlight w:val="none"/>
        </w:rPr>
        <w:t xml:space="preserve">  </w:t>
      </w:r>
    </w:p>
    <w:tbl>
      <w:tblPr>
        <w:tblStyle w:val="42"/>
        <w:tblW w:w="928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2"/>
        <w:gridCol w:w="1480"/>
        <w:gridCol w:w="1648"/>
        <w:gridCol w:w="967"/>
        <w:gridCol w:w="797"/>
        <w:gridCol w:w="880"/>
        <w:gridCol w:w="1234"/>
        <w:gridCol w:w="1529"/>
      </w:tblGrid>
      <w:tr w14:paraId="049A39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752" w:type="dxa"/>
            <w:tcBorders>
              <w:top w:val="single" w:color="auto" w:sz="4" w:space="0"/>
              <w:left w:val="single" w:color="auto" w:sz="4" w:space="0"/>
              <w:bottom w:val="single" w:color="auto" w:sz="4" w:space="0"/>
              <w:right w:val="single" w:color="auto" w:sz="4" w:space="0"/>
            </w:tcBorders>
            <w:vAlign w:val="center"/>
          </w:tcPr>
          <w:p w14:paraId="5E63144D">
            <w:pPr>
              <w:pStyle w:val="59"/>
              <w:jc w:val="center"/>
              <w:rPr>
                <w:b/>
                <w:bCs/>
                <w:highlight w:val="none"/>
              </w:rPr>
            </w:pPr>
            <w:r>
              <w:rPr>
                <w:rFonts w:hint="eastAsia"/>
                <w:b/>
                <w:bCs/>
                <w:highlight w:val="none"/>
              </w:rPr>
              <w:t>序号</w:t>
            </w:r>
          </w:p>
        </w:tc>
        <w:tc>
          <w:tcPr>
            <w:tcW w:w="1480" w:type="dxa"/>
            <w:tcBorders>
              <w:top w:val="single" w:color="auto" w:sz="4" w:space="0"/>
              <w:left w:val="single" w:color="auto" w:sz="4" w:space="0"/>
              <w:bottom w:val="single" w:color="auto" w:sz="4" w:space="0"/>
              <w:right w:val="single" w:color="auto" w:sz="4" w:space="0"/>
            </w:tcBorders>
            <w:vAlign w:val="center"/>
          </w:tcPr>
          <w:p w14:paraId="20B0AF01">
            <w:pPr>
              <w:pStyle w:val="59"/>
              <w:jc w:val="center"/>
              <w:rPr>
                <w:b/>
                <w:bCs/>
                <w:highlight w:val="none"/>
              </w:rPr>
            </w:pPr>
            <w:r>
              <w:rPr>
                <w:rFonts w:hint="eastAsia"/>
                <w:b/>
                <w:bCs/>
                <w:highlight w:val="none"/>
              </w:rPr>
              <w:t>零配件名称</w:t>
            </w:r>
          </w:p>
        </w:tc>
        <w:tc>
          <w:tcPr>
            <w:tcW w:w="1648" w:type="dxa"/>
            <w:tcBorders>
              <w:top w:val="single" w:color="auto" w:sz="4" w:space="0"/>
              <w:left w:val="single" w:color="auto" w:sz="4" w:space="0"/>
              <w:bottom w:val="single" w:color="auto" w:sz="4" w:space="0"/>
              <w:right w:val="single" w:color="auto" w:sz="4" w:space="0"/>
            </w:tcBorders>
            <w:vAlign w:val="center"/>
          </w:tcPr>
          <w:p w14:paraId="296C6376">
            <w:pPr>
              <w:pStyle w:val="59"/>
              <w:jc w:val="center"/>
              <w:rPr>
                <w:b/>
                <w:bCs/>
                <w:highlight w:val="none"/>
              </w:rPr>
            </w:pPr>
            <w:r>
              <w:rPr>
                <w:rFonts w:hint="eastAsia"/>
                <w:b/>
                <w:bCs/>
                <w:highlight w:val="none"/>
              </w:rPr>
              <w:t>规格型号</w:t>
            </w:r>
          </w:p>
        </w:tc>
        <w:tc>
          <w:tcPr>
            <w:tcW w:w="967" w:type="dxa"/>
            <w:tcBorders>
              <w:top w:val="single" w:color="auto" w:sz="4" w:space="0"/>
              <w:left w:val="single" w:color="auto" w:sz="4" w:space="0"/>
              <w:bottom w:val="single" w:color="auto" w:sz="4" w:space="0"/>
              <w:right w:val="single" w:color="auto" w:sz="4" w:space="0"/>
            </w:tcBorders>
            <w:vAlign w:val="center"/>
          </w:tcPr>
          <w:p w14:paraId="471AA86C">
            <w:pPr>
              <w:pStyle w:val="59"/>
              <w:jc w:val="center"/>
              <w:rPr>
                <w:b/>
                <w:bCs/>
                <w:highlight w:val="none"/>
              </w:rPr>
            </w:pPr>
            <w:r>
              <w:rPr>
                <w:rFonts w:hint="eastAsia"/>
                <w:b/>
                <w:bCs/>
                <w:highlight w:val="none"/>
              </w:rPr>
              <w:t>国别及品牌</w:t>
            </w:r>
          </w:p>
        </w:tc>
        <w:tc>
          <w:tcPr>
            <w:tcW w:w="797" w:type="dxa"/>
            <w:tcBorders>
              <w:top w:val="single" w:color="auto" w:sz="4" w:space="0"/>
              <w:left w:val="single" w:color="auto" w:sz="4" w:space="0"/>
              <w:bottom w:val="single" w:color="auto" w:sz="4" w:space="0"/>
              <w:right w:val="single" w:color="auto" w:sz="4" w:space="0"/>
            </w:tcBorders>
            <w:vAlign w:val="center"/>
          </w:tcPr>
          <w:p w14:paraId="5AD79614">
            <w:pPr>
              <w:pStyle w:val="59"/>
              <w:jc w:val="center"/>
              <w:rPr>
                <w:b/>
                <w:bCs/>
                <w:highlight w:val="none"/>
              </w:rPr>
            </w:pPr>
            <w:r>
              <w:rPr>
                <w:rFonts w:hint="eastAsia"/>
                <w:b/>
                <w:bCs/>
                <w:highlight w:val="none"/>
              </w:rPr>
              <w:t>数量</w:t>
            </w:r>
          </w:p>
        </w:tc>
        <w:tc>
          <w:tcPr>
            <w:tcW w:w="880" w:type="dxa"/>
            <w:tcBorders>
              <w:top w:val="single" w:color="auto" w:sz="4" w:space="0"/>
              <w:left w:val="single" w:color="auto" w:sz="4" w:space="0"/>
              <w:bottom w:val="single" w:color="auto" w:sz="4" w:space="0"/>
              <w:right w:val="single" w:color="auto" w:sz="4" w:space="0"/>
            </w:tcBorders>
            <w:vAlign w:val="center"/>
          </w:tcPr>
          <w:p w14:paraId="784210F5">
            <w:pPr>
              <w:pStyle w:val="59"/>
              <w:jc w:val="center"/>
              <w:rPr>
                <w:b/>
                <w:bCs/>
                <w:highlight w:val="none"/>
              </w:rPr>
            </w:pPr>
            <w:r>
              <w:rPr>
                <w:rFonts w:hint="eastAsia"/>
                <w:b/>
                <w:bCs/>
                <w:highlight w:val="none"/>
              </w:rPr>
              <w:t>单价</w:t>
            </w:r>
          </w:p>
        </w:tc>
        <w:tc>
          <w:tcPr>
            <w:tcW w:w="1234" w:type="dxa"/>
            <w:tcBorders>
              <w:top w:val="single" w:color="auto" w:sz="4" w:space="0"/>
              <w:left w:val="single" w:color="auto" w:sz="4" w:space="0"/>
              <w:bottom w:val="single" w:color="auto" w:sz="4" w:space="0"/>
              <w:right w:val="single" w:color="auto" w:sz="4" w:space="0"/>
            </w:tcBorders>
            <w:vAlign w:val="center"/>
          </w:tcPr>
          <w:p w14:paraId="366FF335">
            <w:pPr>
              <w:pStyle w:val="59"/>
              <w:jc w:val="center"/>
              <w:rPr>
                <w:b/>
                <w:bCs/>
                <w:highlight w:val="none"/>
              </w:rPr>
            </w:pPr>
            <w:r>
              <w:rPr>
                <w:rFonts w:hint="eastAsia"/>
                <w:b/>
                <w:bCs/>
                <w:highlight w:val="none"/>
              </w:rPr>
              <w:t>原产地</w:t>
            </w:r>
          </w:p>
        </w:tc>
        <w:tc>
          <w:tcPr>
            <w:tcW w:w="1529" w:type="dxa"/>
            <w:tcBorders>
              <w:top w:val="single" w:color="auto" w:sz="4" w:space="0"/>
              <w:left w:val="single" w:color="auto" w:sz="4" w:space="0"/>
              <w:bottom w:val="single" w:color="auto" w:sz="4" w:space="0"/>
              <w:right w:val="single" w:color="auto" w:sz="4" w:space="0"/>
            </w:tcBorders>
            <w:vAlign w:val="center"/>
          </w:tcPr>
          <w:p w14:paraId="499E26B4">
            <w:pPr>
              <w:pStyle w:val="59"/>
              <w:jc w:val="center"/>
              <w:rPr>
                <w:b/>
                <w:bCs/>
                <w:highlight w:val="none"/>
              </w:rPr>
            </w:pPr>
            <w:r>
              <w:rPr>
                <w:rFonts w:hint="eastAsia"/>
                <w:b/>
                <w:bCs/>
                <w:highlight w:val="none"/>
              </w:rPr>
              <w:t>备注</w:t>
            </w:r>
          </w:p>
        </w:tc>
      </w:tr>
      <w:tr w14:paraId="348231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752" w:type="dxa"/>
            <w:tcBorders>
              <w:top w:val="single" w:color="auto" w:sz="4" w:space="0"/>
              <w:left w:val="single" w:color="auto" w:sz="4" w:space="0"/>
              <w:bottom w:val="single" w:color="auto" w:sz="4" w:space="0"/>
              <w:right w:val="single" w:color="auto" w:sz="4" w:space="0"/>
            </w:tcBorders>
            <w:vAlign w:val="center"/>
          </w:tcPr>
          <w:p w14:paraId="74D78AEA">
            <w:pPr>
              <w:pStyle w:val="59"/>
              <w:jc w:val="center"/>
              <w:rPr>
                <w:highlight w:val="none"/>
              </w:rPr>
            </w:pPr>
          </w:p>
        </w:tc>
        <w:tc>
          <w:tcPr>
            <w:tcW w:w="1480" w:type="dxa"/>
            <w:tcBorders>
              <w:top w:val="single" w:color="auto" w:sz="4" w:space="0"/>
              <w:left w:val="single" w:color="auto" w:sz="4" w:space="0"/>
              <w:bottom w:val="single" w:color="auto" w:sz="4" w:space="0"/>
              <w:right w:val="single" w:color="auto" w:sz="4" w:space="0"/>
            </w:tcBorders>
            <w:vAlign w:val="center"/>
          </w:tcPr>
          <w:p w14:paraId="5D616F58">
            <w:pPr>
              <w:pStyle w:val="59"/>
              <w:jc w:val="center"/>
              <w:rPr>
                <w:highlight w:val="none"/>
              </w:rPr>
            </w:pPr>
          </w:p>
        </w:tc>
        <w:tc>
          <w:tcPr>
            <w:tcW w:w="1648" w:type="dxa"/>
            <w:tcBorders>
              <w:top w:val="single" w:color="auto" w:sz="4" w:space="0"/>
              <w:left w:val="single" w:color="auto" w:sz="4" w:space="0"/>
              <w:bottom w:val="single" w:color="auto" w:sz="4" w:space="0"/>
              <w:right w:val="single" w:color="auto" w:sz="4" w:space="0"/>
            </w:tcBorders>
            <w:vAlign w:val="center"/>
          </w:tcPr>
          <w:p w14:paraId="4260CBF5">
            <w:pPr>
              <w:pStyle w:val="59"/>
              <w:jc w:val="center"/>
              <w:rPr>
                <w:highlight w:val="none"/>
              </w:rPr>
            </w:pPr>
          </w:p>
        </w:tc>
        <w:tc>
          <w:tcPr>
            <w:tcW w:w="967" w:type="dxa"/>
            <w:tcBorders>
              <w:top w:val="single" w:color="auto" w:sz="4" w:space="0"/>
              <w:left w:val="single" w:color="auto" w:sz="4" w:space="0"/>
              <w:bottom w:val="single" w:color="auto" w:sz="4" w:space="0"/>
              <w:right w:val="single" w:color="auto" w:sz="4" w:space="0"/>
            </w:tcBorders>
            <w:vAlign w:val="center"/>
          </w:tcPr>
          <w:p w14:paraId="5243324A">
            <w:pPr>
              <w:pStyle w:val="59"/>
              <w:jc w:val="center"/>
              <w:rPr>
                <w:highlight w:val="none"/>
              </w:rPr>
            </w:pPr>
          </w:p>
        </w:tc>
        <w:tc>
          <w:tcPr>
            <w:tcW w:w="797" w:type="dxa"/>
            <w:tcBorders>
              <w:top w:val="single" w:color="auto" w:sz="4" w:space="0"/>
              <w:left w:val="single" w:color="auto" w:sz="4" w:space="0"/>
              <w:bottom w:val="single" w:color="auto" w:sz="4" w:space="0"/>
              <w:right w:val="single" w:color="auto" w:sz="4" w:space="0"/>
            </w:tcBorders>
            <w:vAlign w:val="center"/>
          </w:tcPr>
          <w:p w14:paraId="6B70A02F">
            <w:pPr>
              <w:pStyle w:val="59"/>
              <w:jc w:val="center"/>
              <w:rPr>
                <w:highlight w:val="none"/>
              </w:rPr>
            </w:pPr>
          </w:p>
        </w:tc>
        <w:tc>
          <w:tcPr>
            <w:tcW w:w="880" w:type="dxa"/>
            <w:tcBorders>
              <w:top w:val="single" w:color="auto" w:sz="4" w:space="0"/>
              <w:left w:val="single" w:color="auto" w:sz="4" w:space="0"/>
              <w:bottom w:val="single" w:color="auto" w:sz="4" w:space="0"/>
              <w:right w:val="single" w:color="auto" w:sz="4" w:space="0"/>
            </w:tcBorders>
            <w:vAlign w:val="center"/>
          </w:tcPr>
          <w:p w14:paraId="1E280C57">
            <w:pPr>
              <w:pStyle w:val="59"/>
              <w:jc w:val="center"/>
              <w:rPr>
                <w:highlight w:val="none"/>
              </w:rPr>
            </w:pPr>
          </w:p>
        </w:tc>
        <w:tc>
          <w:tcPr>
            <w:tcW w:w="1234" w:type="dxa"/>
            <w:tcBorders>
              <w:top w:val="single" w:color="auto" w:sz="4" w:space="0"/>
              <w:left w:val="single" w:color="auto" w:sz="4" w:space="0"/>
              <w:bottom w:val="single" w:color="auto" w:sz="4" w:space="0"/>
              <w:right w:val="single" w:color="auto" w:sz="4" w:space="0"/>
            </w:tcBorders>
            <w:vAlign w:val="center"/>
          </w:tcPr>
          <w:p w14:paraId="2F657F19">
            <w:pPr>
              <w:pStyle w:val="59"/>
              <w:jc w:val="center"/>
              <w:rPr>
                <w:highlight w:val="none"/>
              </w:rPr>
            </w:pPr>
          </w:p>
        </w:tc>
        <w:tc>
          <w:tcPr>
            <w:tcW w:w="1529" w:type="dxa"/>
            <w:tcBorders>
              <w:top w:val="single" w:color="auto" w:sz="4" w:space="0"/>
              <w:left w:val="single" w:color="auto" w:sz="4" w:space="0"/>
              <w:bottom w:val="single" w:color="auto" w:sz="4" w:space="0"/>
              <w:right w:val="single" w:color="auto" w:sz="4" w:space="0"/>
            </w:tcBorders>
            <w:vAlign w:val="center"/>
          </w:tcPr>
          <w:p w14:paraId="19CD1BAC">
            <w:pPr>
              <w:pStyle w:val="59"/>
              <w:jc w:val="center"/>
              <w:rPr>
                <w:highlight w:val="none"/>
              </w:rPr>
            </w:pPr>
          </w:p>
        </w:tc>
      </w:tr>
      <w:tr w14:paraId="5D72DF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752" w:type="dxa"/>
            <w:tcBorders>
              <w:top w:val="single" w:color="auto" w:sz="4" w:space="0"/>
              <w:left w:val="single" w:color="auto" w:sz="4" w:space="0"/>
              <w:bottom w:val="single" w:color="auto" w:sz="4" w:space="0"/>
              <w:right w:val="single" w:color="auto" w:sz="4" w:space="0"/>
            </w:tcBorders>
            <w:vAlign w:val="center"/>
          </w:tcPr>
          <w:p w14:paraId="40BAC534">
            <w:pPr>
              <w:pStyle w:val="59"/>
              <w:jc w:val="center"/>
              <w:rPr>
                <w:highlight w:val="none"/>
              </w:rPr>
            </w:pPr>
          </w:p>
        </w:tc>
        <w:tc>
          <w:tcPr>
            <w:tcW w:w="1480" w:type="dxa"/>
            <w:tcBorders>
              <w:top w:val="single" w:color="auto" w:sz="4" w:space="0"/>
              <w:left w:val="single" w:color="auto" w:sz="4" w:space="0"/>
              <w:bottom w:val="single" w:color="auto" w:sz="4" w:space="0"/>
              <w:right w:val="single" w:color="auto" w:sz="4" w:space="0"/>
            </w:tcBorders>
            <w:vAlign w:val="center"/>
          </w:tcPr>
          <w:p w14:paraId="625DA1C7">
            <w:pPr>
              <w:pStyle w:val="59"/>
              <w:jc w:val="center"/>
              <w:rPr>
                <w:highlight w:val="none"/>
              </w:rPr>
            </w:pPr>
          </w:p>
        </w:tc>
        <w:tc>
          <w:tcPr>
            <w:tcW w:w="1648" w:type="dxa"/>
            <w:tcBorders>
              <w:top w:val="single" w:color="auto" w:sz="4" w:space="0"/>
              <w:left w:val="single" w:color="auto" w:sz="4" w:space="0"/>
              <w:bottom w:val="single" w:color="auto" w:sz="4" w:space="0"/>
              <w:right w:val="single" w:color="auto" w:sz="4" w:space="0"/>
            </w:tcBorders>
            <w:vAlign w:val="center"/>
          </w:tcPr>
          <w:p w14:paraId="4D9ACE05">
            <w:pPr>
              <w:pStyle w:val="59"/>
              <w:jc w:val="center"/>
              <w:rPr>
                <w:highlight w:val="none"/>
              </w:rPr>
            </w:pPr>
          </w:p>
        </w:tc>
        <w:tc>
          <w:tcPr>
            <w:tcW w:w="967" w:type="dxa"/>
            <w:tcBorders>
              <w:top w:val="single" w:color="auto" w:sz="4" w:space="0"/>
              <w:left w:val="single" w:color="auto" w:sz="4" w:space="0"/>
              <w:bottom w:val="single" w:color="auto" w:sz="4" w:space="0"/>
              <w:right w:val="single" w:color="auto" w:sz="4" w:space="0"/>
            </w:tcBorders>
            <w:vAlign w:val="center"/>
          </w:tcPr>
          <w:p w14:paraId="6F7396B6">
            <w:pPr>
              <w:pStyle w:val="59"/>
              <w:jc w:val="center"/>
              <w:rPr>
                <w:highlight w:val="none"/>
              </w:rPr>
            </w:pPr>
          </w:p>
        </w:tc>
        <w:tc>
          <w:tcPr>
            <w:tcW w:w="797" w:type="dxa"/>
            <w:tcBorders>
              <w:top w:val="single" w:color="auto" w:sz="4" w:space="0"/>
              <w:left w:val="single" w:color="auto" w:sz="4" w:space="0"/>
              <w:bottom w:val="single" w:color="auto" w:sz="4" w:space="0"/>
              <w:right w:val="single" w:color="auto" w:sz="4" w:space="0"/>
            </w:tcBorders>
            <w:vAlign w:val="center"/>
          </w:tcPr>
          <w:p w14:paraId="056D97F6">
            <w:pPr>
              <w:pStyle w:val="59"/>
              <w:jc w:val="center"/>
              <w:rPr>
                <w:highlight w:val="none"/>
              </w:rPr>
            </w:pPr>
          </w:p>
        </w:tc>
        <w:tc>
          <w:tcPr>
            <w:tcW w:w="880" w:type="dxa"/>
            <w:tcBorders>
              <w:top w:val="single" w:color="auto" w:sz="4" w:space="0"/>
              <w:left w:val="single" w:color="auto" w:sz="4" w:space="0"/>
              <w:bottom w:val="single" w:color="auto" w:sz="4" w:space="0"/>
              <w:right w:val="single" w:color="auto" w:sz="4" w:space="0"/>
            </w:tcBorders>
            <w:vAlign w:val="center"/>
          </w:tcPr>
          <w:p w14:paraId="477A02A9">
            <w:pPr>
              <w:pStyle w:val="59"/>
              <w:jc w:val="center"/>
              <w:rPr>
                <w:highlight w:val="none"/>
              </w:rPr>
            </w:pPr>
          </w:p>
        </w:tc>
        <w:tc>
          <w:tcPr>
            <w:tcW w:w="1234" w:type="dxa"/>
            <w:tcBorders>
              <w:top w:val="single" w:color="auto" w:sz="4" w:space="0"/>
              <w:left w:val="single" w:color="auto" w:sz="4" w:space="0"/>
              <w:bottom w:val="single" w:color="auto" w:sz="4" w:space="0"/>
              <w:right w:val="single" w:color="auto" w:sz="4" w:space="0"/>
            </w:tcBorders>
            <w:vAlign w:val="center"/>
          </w:tcPr>
          <w:p w14:paraId="6A964A2E">
            <w:pPr>
              <w:pStyle w:val="59"/>
              <w:jc w:val="center"/>
              <w:rPr>
                <w:highlight w:val="none"/>
              </w:rPr>
            </w:pPr>
          </w:p>
        </w:tc>
        <w:tc>
          <w:tcPr>
            <w:tcW w:w="1529" w:type="dxa"/>
            <w:tcBorders>
              <w:top w:val="single" w:color="auto" w:sz="4" w:space="0"/>
              <w:left w:val="single" w:color="auto" w:sz="4" w:space="0"/>
              <w:bottom w:val="single" w:color="auto" w:sz="4" w:space="0"/>
              <w:right w:val="single" w:color="auto" w:sz="4" w:space="0"/>
            </w:tcBorders>
            <w:vAlign w:val="center"/>
          </w:tcPr>
          <w:p w14:paraId="560C1DE7">
            <w:pPr>
              <w:pStyle w:val="59"/>
              <w:jc w:val="center"/>
              <w:rPr>
                <w:highlight w:val="none"/>
              </w:rPr>
            </w:pPr>
          </w:p>
        </w:tc>
      </w:tr>
      <w:tr w14:paraId="5CF7FE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752" w:type="dxa"/>
            <w:tcBorders>
              <w:top w:val="single" w:color="auto" w:sz="4" w:space="0"/>
              <w:left w:val="single" w:color="auto" w:sz="4" w:space="0"/>
              <w:bottom w:val="single" w:color="auto" w:sz="4" w:space="0"/>
              <w:right w:val="single" w:color="auto" w:sz="4" w:space="0"/>
            </w:tcBorders>
            <w:vAlign w:val="center"/>
          </w:tcPr>
          <w:p w14:paraId="217DE5A6">
            <w:pPr>
              <w:pStyle w:val="59"/>
              <w:jc w:val="center"/>
              <w:rPr>
                <w:highlight w:val="none"/>
              </w:rPr>
            </w:pPr>
          </w:p>
        </w:tc>
        <w:tc>
          <w:tcPr>
            <w:tcW w:w="1480" w:type="dxa"/>
            <w:tcBorders>
              <w:top w:val="single" w:color="auto" w:sz="4" w:space="0"/>
              <w:left w:val="single" w:color="auto" w:sz="4" w:space="0"/>
              <w:bottom w:val="single" w:color="auto" w:sz="4" w:space="0"/>
              <w:right w:val="single" w:color="auto" w:sz="4" w:space="0"/>
            </w:tcBorders>
            <w:vAlign w:val="center"/>
          </w:tcPr>
          <w:p w14:paraId="72AB9F0C">
            <w:pPr>
              <w:pStyle w:val="59"/>
              <w:jc w:val="center"/>
              <w:rPr>
                <w:highlight w:val="none"/>
              </w:rPr>
            </w:pPr>
          </w:p>
        </w:tc>
        <w:tc>
          <w:tcPr>
            <w:tcW w:w="1648" w:type="dxa"/>
            <w:tcBorders>
              <w:top w:val="single" w:color="auto" w:sz="4" w:space="0"/>
              <w:left w:val="single" w:color="auto" w:sz="4" w:space="0"/>
              <w:bottom w:val="single" w:color="auto" w:sz="4" w:space="0"/>
              <w:right w:val="single" w:color="auto" w:sz="4" w:space="0"/>
            </w:tcBorders>
            <w:vAlign w:val="center"/>
          </w:tcPr>
          <w:p w14:paraId="293C5B93">
            <w:pPr>
              <w:pStyle w:val="59"/>
              <w:jc w:val="center"/>
              <w:rPr>
                <w:highlight w:val="none"/>
              </w:rPr>
            </w:pPr>
          </w:p>
        </w:tc>
        <w:tc>
          <w:tcPr>
            <w:tcW w:w="967" w:type="dxa"/>
            <w:tcBorders>
              <w:top w:val="single" w:color="auto" w:sz="4" w:space="0"/>
              <w:left w:val="single" w:color="auto" w:sz="4" w:space="0"/>
              <w:bottom w:val="single" w:color="auto" w:sz="4" w:space="0"/>
              <w:right w:val="single" w:color="auto" w:sz="4" w:space="0"/>
            </w:tcBorders>
            <w:vAlign w:val="center"/>
          </w:tcPr>
          <w:p w14:paraId="7E0EE4C5">
            <w:pPr>
              <w:pStyle w:val="59"/>
              <w:jc w:val="center"/>
              <w:rPr>
                <w:highlight w:val="none"/>
              </w:rPr>
            </w:pPr>
          </w:p>
        </w:tc>
        <w:tc>
          <w:tcPr>
            <w:tcW w:w="797" w:type="dxa"/>
            <w:tcBorders>
              <w:top w:val="single" w:color="auto" w:sz="4" w:space="0"/>
              <w:left w:val="single" w:color="auto" w:sz="4" w:space="0"/>
              <w:bottom w:val="single" w:color="auto" w:sz="4" w:space="0"/>
              <w:right w:val="single" w:color="auto" w:sz="4" w:space="0"/>
            </w:tcBorders>
            <w:vAlign w:val="center"/>
          </w:tcPr>
          <w:p w14:paraId="6CEA60BB">
            <w:pPr>
              <w:pStyle w:val="59"/>
              <w:jc w:val="center"/>
              <w:rPr>
                <w:highlight w:val="none"/>
              </w:rPr>
            </w:pPr>
          </w:p>
        </w:tc>
        <w:tc>
          <w:tcPr>
            <w:tcW w:w="880" w:type="dxa"/>
            <w:tcBorders>
              <w:top w:val="single" w:color="auto" w:sz="4" w:space="0"/>
              <w:left w:val="single" w:color="auto" w:sz="4" w:space="0"/>
              <w:bottom w:val="single" w:color="auto" w:sz="4" w:space="0"/>
              <w:right w:val="single" w:color="auto" w:sz="4" w:space="0"/>
            </w:tcBorders>
            <w:vAlign w:val="center"/>
          </w:tcPr>
          <w:p w14:paraId="63129359">
            <w:pPr>
              <w:pStyle w:val="59"/>
              <w:jc w:val="center"/>
              <w:rPr>
                <w:highlight w:val="none"/>
              </w:rPr>
            </w:pPr>
          </w:p>
        </w:tc>
        <w:tc>
          <w:tcPr>
            <w:tcW w:w="1234" w:type="dxa"/>
            <w:tcBorders>
              <w:top w:val="single" w:color="auto" w:sz="4" w:space="0"/>
              <w:left w:val="single" w:color="auto" w:sz="4" w:space="0"/>
              <w:bottom w:val="single" w:color="auto" w:sz="4" w:space="0"/>
              <w:right w:val="single" w:color="auto" w:sz="4" w:space="0"/>
            </w:tcBorders>
            <w:vAlign w:val="center"/>
          </w:tcPr>
          <w:p w14:paraId="706E4EAE">
            <w:pPr>
              <w:pStyle w:val="59"/>
              <w:jc w:val="center"/>
              <w:rPr>
                <w:highlight w:val="none"/>
              </w:rPr>
            </w:pPr>
          </w:p>
        </w:tc>
        <w:tc>
          <w:tcPr>
            <w:tcW w:w="1529" w:type="dxa"/>
            <w:tcBorders>
              <w:top w:val="single" w:color="auto" w:sz="4" w:space="0"/>
              <w:left w:val="single" w:color="auto" w:sz="4" w:space="0"/>
              <w:bottom w:val="single" w:color="auto" w:sz="4" w:space="0"/>
              <w:right w:val="single" w:color="auto" w:sz="4" w:space="0"/>
            </w:tcBorders>
            <w:vAlign w:val="center"/>
          </w:tcPr>
          <w:p w14:paraId="62B1AC02">
            <w:pPr>
              <w:pStyle w:val="59"/>
              <w:jc w:val="center"/>
              <w:rPr>
                <w:highlight w:val="none"/>
              </w:rPr>
            </w:pPr>
          </w:p>
        </w:tc>
      </w:tr>
      <w:tr w14:paraId="3388F9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752" w:type="dxa"/>
            <w:tcBorders>
              <w:top w:val="single" w:color="auto" w:sz="4" w:space="0"/>
              <w:left w:val="single" w:color="auto" w:sz="4" w:space="0"/>
              <w:bottom w:val="single" w:color="auto" w:sz="4" w:space="0"/>
              <w:right w:val="single" w:color="auto" w:sz="4" w:space="0"/>
            </w:tcBorders>
            <w:vAlign w:val="center"/>
          </w:tcPr>
          <w:p w14:paraId="543FC524">
            <w:pPr>
              <w:pStyle w:val="59"/>
              <w:jc w:val="center"/>
              <w:rPr>
                <w:highlight w:val="none"/>
              </w:rPr>
            </w:pPr>
          </w:p>
        </w:tc>
        <w:tc>
          <w:tcPr>
            <w:tcW w:w="1480" w:type="dxa"/>
            <w:tcBorders>
              <w:top w:val="single" w:color="auto" w:sz="4" w:space="0"/>
              <w:left w:val="single" w:color="auto" w:sz="4" w:space="0"/>
              <w:bottom w:val="single" w:color="auto" w:sz="4" w:space="0"/>
              <w:right w:val="single" w:color="auto" w:sz="4" w:space="0"/>
            </w:tcBorders>
            <w:vAlign w:val="center"/>
          </w:tcPr>
          <w:p w14:paraId="1EBF0C8E">
            <w:pPr>
              <w:pStyle w:val="59"/>
              <w:jc w:val="center"/>
              <w:rPr>
                <w:highlight w:val="none"/>
              </w:rPr>
            </w:pPr>
          </w:p>
        </w:tc>
        <w:tc>
          <w:tcPr>
            <w:tcW w:w="1648" w:type="dxa"/>
            <w:tcBorders>
              <w:top w:val="single" w:color="auto" w:sz="4" w:space="0"/>
              <w:left w:val="single" w:color="auto" w:sz="4" w:space="0"/>
              <w:bottom w:val="single" w:color="auto" w:sz="4" w:space="0"/>
              <w:right w:val="single" w:color="auto" w:sz="4" w:space="0"/>
            </w:tcBorders>
            <w:vAlign w:val="center"/>
          </w:tcPr>
          <w:p w14:paraId="61338B52">
            <w:pPr>
              <w:pStyle w:val="59"/>
              <w:jc w:val="center"/>
              <w:rPr>
                <w:highlight w:val="none"/>
              </w:rPr>
            </w:pPr>
          </w:p>
        </w:tc>
        <w:tc>
          <w:tcPr>
            <w:tcW w:w="967" w:type="dxa"/>
            <w:tcBorders>
              <w:top w:val="single" w:color="auto" w:sz="4" w:space="0"/>
              <w:left w:val="single" w:color="auto" w:sz="4" w:space="0"/>
              <w:bottom w:val="single" w:color="auto" w:sz="4" w:space="0"/>
              <w:right w:val="single" w:color="auto" w:sz="4" w:space="0"/>
            </w:tcBorders>
            <w:vAlign w:val="center"/>
          </w:tcPr>
          <w:p w14:paraId="56F13353">
            <w:pPr>
              <w:pStyle w:val="59"/>
              <w:jc w:val="center"/>
              <w:rPr>
                <w:highlight w:val="none"/>
              </w:rPr>
            </w:pPr>
          </w:p>
        </w:tc>
        <w:tc>
          <w:tcPr>
            <w:tcW w:w="797" w:type="dxa"/>
            <w:tcBorders>
              <w:top w:val="single" w:color="auto" w:sz="4" w:space="0"/>
              <w:left w:val="single" w:color="auto" w:sz="4" w:space="0"/>
              <w:bottom w:val="single" w:color="auto" w:sz="4" w:space="0"/>
              <w:right w:val="single" w:color="auto" w:sz="4" w:space="0"/>
            </w:tcBorders>
            <w:vAlign w:val="center"/>
          </w:tcPr>
          <w:p w14:paraId="0B0DD504">
            <w:pPr>
              <w:pStyle w:val="59"/>
              <w:jc w:val="center"/>
              <w:rPr>
                <w:highlight w:val="none"/>
              </w:rPr>
            </w:pPr>
          </w:p>
        </w:tc>
        <w:tc>
          <w:tcPr>
            <w:tcW w:w="880" w:type="dxa"/>
            <w:tcBorders>
              <w:top w:val="single" w:color="auto" w:sz="4" w:space="0"/>
              <w:left w:val="single" w:color="auto" w:sz="4" w:space="0"/>
              <w:bottom w:val="single" w:color="auto" w:sz="4" w:space="0"/>
              <w:right w:val="single" w:color="auto" w:sz="4" w:space="0"/>
            </w:tcBorders>
            <w:vAlign w:val="center"/>
          </w:tcPr>
          <w:p w14:paraId="3F98BC81">
            <w:pPr>
              <w:pStyle w:val="59"/>
              <w:jc w:val="center"/>
              <w:rPr>
                <w:highlight w:val="none"/>
              </w:rPr>
            </w:pPr>
          </w:p>
        </w:tc>
        <w:tc>
          <w:tcPr>
            <w:tcW w:w="1234" w:type="dxa"/>
            <w:tcBorders>
              <w:top w:val="single" w:color="auto" w:sz="4" w:space="0"/>
              <w:left w:val="single" w:color="auto" w:sz="4" w:space="0"/>
              <w:bottom w:val="single" w:color="auto" w:sz="4" w:space="0"/>
              <w:right w:val="single" w:color="auto" w:sz="4" w:space="0"/>
            </w:tcBorders>
            <w:vAlign w:val="center"/>
          </w:tcPr>
          <w:p w14:paraId="1C0CF28D">
            <w:pPr>
              <w:pStyle w:val="59"/>
              <w:jc w:val="center"/>
              <w:rPr>
                <w:highlight w:val="none"/>
              </w:rPr>
            </w:pPr>
          </w:p>
        </w:tc>
        <w:tc>
          <w:tcPr>
            <w:tcW w:w="1529" w:type="dxa"/>
            <w:tcBorders>
              <w:top w:val="single" w:color="auto" w:sz="4" w:space="0"/>
              <w:left w:val="single" w:color="auto" w:sz="4" w:space="0"/>
              <w:bottom w:val="single" w:color="auto" w:sz="4" w:space="0"/>
              <w:right w:val="single" w:color="auto" w:sz="4" w:space="0"/>
            </w:tcBorders>
            <w:vAlign w:val="center"/>
          </w:tcPr>
          <w:p w14:paraId="56BC79F8">
            <w:pPr>
              <w:pStyle w:val="59"/>
              <w:jc w:val="center"/>
              <w:rPr>
                <w:highlight w:val="none"/>
              </w:rPr>
            </w:pPr>
          </w:p>
        </w:tc>
      </w:tr>
      <w:tr w14:paraId="744DC1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752" w:type="dxa"/>
            <w:tcBorders>
              <w:top w:val="single" w:color="auto" w:sz="4" w:space="0"/>
              <w:left w:val="single" w:color="auto" w:sz="4" w:space="0"/>
              <w:bottom w:val="single" w:color="auto" w:sz="4" w:space="0"/>
              <w:right w:val="single" w:color="auto" w:sz="4" w:space="0"/>
            </w:tcBorders>
            <w:vAlign w:val="center"/>
          </w:tcPr>
          <w:p w14:paraId="63572DB4">
            <w:pPr>
              <w:pStyle w:val="59"/>
              <w:jc w:val="center"/>
              <w:rPr>
                <w:highlight w:val="none"/>
              </w:rPr>
            </w:pPr>
          </w:p>
        </w:tc>
        <w:tc>
          <w:tcPr>
            <w:tcW w:w="1480" w:type="dxa"/>
            <w:tcBorders>
              <w:top w:val="single" w:color="auto" w:sz="4" w:space="0"/>
              <w:left w:val="single" w:color="auto" w:sz="4" w:space="0"/>
              <w:bottom w:val="single" w:color="auto" w:sz="4" w:space="0"/>
              <w:right w:val="single" w:color="auto" w:sz="4" w:space="0"/>
            </w:tcBorders>
            <w:vAlign w:val="center"/>
          </w:tcPr>
          <w:p w14:paraId="62001BDC">
            <w:pPr>
              <w:pStyle w:val="59"/>
              <w:jc w:val="center"/>
              <w:rPr>
                <w:highlight w:val="none"/>
              </w:rPr>
            </w:pPr>
          </w:p>
        </w:tc>
        <w:tc>
          <w:tcPr>
            <w:tcW w:w="1648" w:type="dxa"/>
            <w:tcBorders>
              <w:top w:val="single" w:color="auto" w:sz="4" w:space="0"/>
              <w:left w:val="single" w:color="auto" w:sz="4" w:space="0"/>
              <w:bottom w:val="single" w:color="auto" w:sz="4" w:space="0"/>
              <w:right w:val="single" w:color="auto" w:sz="4" w:space="0"/>
            </w:tcBorders>
            <w:vAlign w:val="center"/>
          </w:tcPr>
          <w:p w14:paraId="7AE11072">
            <w:pPr>
              <w:pStyle w:val="59"/>
              <w:jc w:val="center"/>
              <w:rPr>
                <w:highlight w:val="none"/>
              </w:rPr>
            </w:pPr>
          </w:p>
        </w:tc>
        <w:tc>
          <w:tcPr>
            <w:tcW w:w="967" w:type="dxa"/>
            <w:tcBorders>
              <w:top w:val="single" w:color="auto" w:sz="4" w:space="0"/>
              <w:left w:val="single" w:color="auto" w:sz="4" w:space="0"/>
              <w:bottom w:val="single" w:color="auto" w:sz="4" w:space="0"/>
              <w:right w:val="single" w:color="auto" w:sz="4" w:space="0"/>
            </w:tcBorders>
            <w:vAlign w:val="center"/>
          </w:tcPr>
          <w:p w14:paraId="7FAF4B92">
            <w:pPr>
              <w:pStyle w:val="59"/>
              <w:jc w:val="center"/>
              <w:rPr>
                <w:highlight w:val="none"/>
              </w:rPr>
            </w:pPr>
          </w:p>
        </w:tc>
        <w:tc>
          <w:tcPr>
            <w:tcW w:w="797" w:type="dxa"/>
            <w:tcBorders>
              <w:top w:val="single" w:color="auto" w:sz="4" w:space="0"/>
              <w:left w:val="single" w:color="auto" w:sz="4" w:space="0"/>
              <w:bottom w:val="single" w:color="auto" w:sz="4" w:space="0"/>
              <w:right w:val="single" w:color="auto" w:sz="4" w:space="0"/>
            </w:tcBorders>
            <w:vAlign w:val="center"/>
          </w:tcPr>
          <w:p w14:paraId="4E82F875">
            <w:pPr>
              <w:pStyle w:val="59"/>
              <w:jc w:val="center"/>
              <w:rPr>
                <w:highlight w:val="none"/>
              </w:rPr>
            </w:pPr>
          </w:p>
        </w:tc>
        <w:tc>
          <w:tcPr>
            <w:tcW w:w="880" w:type="dxa"/>
            <w:tcBorders>
              <w:top w:val="single" w:color="auto" w:sz="4" w:space="0"/>
              <w:left w:val="single" w:color="auto" w:sz="4" w:space="0"/>
              <w:bottom w:val="single" w:color="auto" w:sz="4" w:space="0"/>
              <w:right w:val="single" w:color="auto" w:sz="4" w:space="0"/>
            </w:tcBorders>
            <w:vAlign w:val="center"/>
          </w:tcPr>
          <w:p w14:paraId="1C6BDE21">
            <w:pPr>
              <w:pStyle w:val="59"/>
              <w:jc w:val="center"/>
              <w:rPr>
                <w:highlight w:val="none"/>
              </w:rPr>
            </w:pPr>
          </w:p>
        </w:tc>
        <w:tc>
          <w:tcPr>
            <w:tcW w:w="1234" w:type="dxa"/>
            <w:tcBorders>
              <w:top w:val="single" w:color="auto" w:sz="4" w:space="0"/>
              <w:left w:val="single" w:color="auto" w:sz="4" w:space="0"/>
              <w:bottom w:val="single" w:color="auto" w:sz="4" w:space="0"/>
              <w:right w:val="single" w:color="auto" w:sz="4" w:space="0"/>
            </w:tcBorders>
            <w:vAlign w:val="center"/>
          </w:tcPr>
          <w:p w14:paraId="55676D7E">
            <w:pPr>
              <w:pStyle w:val="59"/>
              <w:jc w:val="center"/>
              <w:rPr>
                <w:highlight w:val="none"/>
              </w:rPr>
            </w:pPr>
          </w:p>
        </w:tc>
        <w:tc>
          <w:tcPr>
            <w:tcW w:w="1529" w:type="dxa"/>
            <w:tcBorders>
              <w:top w:val="single" w:color="auto" w:sz="4" w:space="0"/>
              <w:left w:val="single" w:color="auto" w:sz="4" w:space="0"/>
              <w:bottom w:val="single" w:color="auto" w:sz="4" w:space="0"/>
              <w:right w:val="single" w:color="auto" w:sz="4" w:space="0"/>
            </w:tcBorders>
            <w:vAlign w:val="center"/>
          </w:tcPr>
          <w:p w14:paraId="4069994A">
            <w:pPr>
              <w:pStyle w:val="59"/>
              <w:jc w:val="center"/>
              <w:rPr>
                <w:highlight w:val="none"/>
              </w:rPr>
            </w:pPr>
          </w:p>
        </w:tc>
      </w:tr>
      <w:tr w14:paraId="4EA1B1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752" w:type="dxa"/>
            <w:tcBorders>
              <w:top w:val="single" w:color="auto" w:sz="4" w:space="0"/>
              <w:left w:val="single" w:color="auto" w:sz="4" w:space="0"/>
              <w:bottom w:val="single" w:color="auto" w:sz="4" w:space="0"/>
              <w:right w:val="single" w:color="auto" w:sz="4" w:space="0"/>
            </w:tcBorders>
            <w:vAlign w:val="center"/>
          </w:tcPr>
          <w:p w14:paraId="71A620B4">
            <w:pPr>
              <w:pStyle w:val="59"/>
              <w:jc w:val="center"/>
              <w:rPr>
                <w:highlight w:val="none"/>
              </w:rPr>
            </w:pPr>
          </w:p>
        </w:tc>
        <w:tc>
          <w:tcPr>
            <w:tcW w:w="1480" w:type="dxa"/>
            <w:tcBorders>
              <w:top w:val="single" w:color="auto" w:sz="4" w:space="0"/>
              <w:left w:val="single" w:color="auto" w:sz="4" w:space="0"/>
              <w:bottom w:val="single" w:color="auto" w:sz="4" w:space="0"/>
              <w:right w:val="single" w:color="auto" w:sz="4" w:space="0"/>
            </w:tcBorders>
            <w:vAlign w:val="center"/>
          </w:tcPr>
          <w:p w14:paraId="334CB282">
            <w:pPr>
              <w:pStyle w:val="59"/>
              <w:jc w:val="center"/>
              <w:rPr>
                <w:highlight w:val="none"/>
              </w:rPr>
            </w:pPr>
          </w:p>
        </w:tc>
        <w:tc>
          <w:tcPr>
            <w:tcW w:w="1648" w:type="dxa"/>
            <w:tcBorders>
              <w:top w:val="single" w:color="auto" w:sz="4" w:space="0"/>
              <w:left w:val="single" w:color="auto" w:sz="4" w:space="0"/>
              <w:bottom w:val="single" w:color="auto" w:sz="4" w:space="0"/>
              <w:right w:val="single" w:color="auto" w:sz="4" w:space="0"/>
            </w:tcBorders>
            <w:vAlign w:val="center"/>
          </w:tcPr>
          <w:p w14:paraId="11D98D32">
            <w:pPr>
              <w:pStyle w:val="59"/>
              <w:jc w:val="center"/>
              <w:rPr>
                <w:highlight w:val="none"/>
              </w:rPr>
            </w:pPr>
          </w:p>
        </w:tc>
        <w:tc>
          <w:tcPr>
            <w:tcW w:w="967" w:type="dxa"/>
            <w:tcBorders>
              <w:top w:val="single" w:color="auto" w:sz="4" w:space="0"/>
              <w:left w:val="single" w:color="auto" w:sz="4" w:space="0"/>
              <w:bottom w:val="single" w:color="auto" w:sz="4" w:space="0"/>
              <w:right w:val="single" w:color="auto" w:sz="4" w:space="0"/>
            </w:tcBorders>
            <w:vAlign w:val="center"/>
          </w:tcPr>
          <w:p w14:paraId="382A0AC7">
            <w:pPr>
              <w:pStyle w:val="59"/>
              <w:jc w:val="center"/>
              <w:rPr>
                <w:highlight w:val="none"/>
              </w:rPr>
            </w:pPr>
          </w:p>
        </w:tc>
        <w:tc>
          <w:tcPr>
            <w:tcW w:w="797" w:type="dxa"/>
            <w:tcBorders>
              <w:top w:val="single" w:color="auto" w:sz="4" w:space="0"/>
              <w:left w:val="single" w:color="auto" w:sz="4" w:space="0"/>
              <w:bottom w:val="single" w:color="auto" w:sz="4" w:space="0"/>
              <w:right w:val="single" w:color="auto" w:sz="4" w:space="0"/>
            </w:tcBorders>
            <w:vAlign w:val="center"/>
          </w:tcPr>
          <w:p w14:paraId="51653C25">
            <w:pPr>
              <w:pStyle w:val="59"/>
              <w:jc w:val="center"/>
              <w:rPr>
                <w:highlight w:val="none"/>
              </w:rPr>
            </w:pPr>
          </w:p>
        </w:tc>
        <w:tc>
          <w:tcPr>
            <w:tcW w:w="880" w:type="dxa"/>
            <w:tcBorders>
              <w:top w:val="single" w:color="auto" w:sz="4" w:space="0"/>
              <w:left w:val="single" w:color="auto" w:sz="4" w:space="0"/>
              <w:bottom w:val="single" w:color="auto" w:sz="4" w:space="0"/>
              <w:right w:val="single" w:color="auto" w:sz="4" w:space="0"/>
            </w:tcBorders>
            <w:vAlign w:val="center"/>
          </w:tcPr>
          <w:p w14:paraId="5780FF94">
            <w:pPr>
              <w:pStyle w:val="59"/>
              <w:jc w:val="center"/>
              <w:rPr>
                <w:highlight w:val="none"/>
              </w:rPr>
            </w:pPr>
          </w:p>
        </w:tc>
        <w:tc>
          <w:tcPr>
            <w:tcW w:w="1234" w:type="dxa"/>
            <w:tcBorders>
              <w:top w:val="single" w:color="auto" w:sz="4" w:space="0"/>
              <w:left w:val="single" w:color="auto" w:sz="4" w:space="0"/>
              <w:bottom w:val="single" w:color="auto" w:sz="4" w:space="0"/>
              <w:right w:val="single" w:color="auto" w:sz="4" w:space="0"/>
            </w:tcBorders>
            <w:vAlign w:val="center"/>
          </w:tcPr>
          <w:p w14:paraId="5EFC5E80">
            <w:pPr>
              <w:pStyle w:val="59"/>
              <w:jc w:val="center"/>
              <w:rPr>
                <w:highlight w:val="none"/>
              </w:rPr>
            </w:pPr>
          </w:p>
        </w:tc>
        <w:tc>
          <w:tcPr>
            <w:tcW w:w="1529" w:type="dxa"/>
            <w:tcBorders>
              <w:top w:val="single" w:color="auto" w:sz="4" w:space="0"/>
              <w:left w:val="single" w:color="auto" w:sz="4" w:space="0"/>
              <w:bottom w:val="single" w:color="auto" w:sz="4" w:space="0"/>
              <w:right w:val="single" w:color="auto" w:sz="4" w:space="0"/>
            </w:tcBorders>
            <w:vAlign w:val="center"/>
          </w:tcPr>
          <w:p w14:paraId="7B201BF5">
            <w:pPr>
              <w:pStyle w:val="59"/>
              <w:jc w:val="center"/>
              <w:rPr>
                <w:highlight w:val="none"/>
              </w:rPr>
            </w:pPr>
          </w:p>
        </w:tc>
      </w:tr>
      <w:tr w14:paraId="7CA2CF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752" w:type="dxa"/>
            <w:tcBorders>
              <w:top w:val="single" w:color="auto" w:sz="4" w:space="0"/>
              <w:left w:val="single" w:color="auto" w:sz="4" w:space="0"/>
              <w:bottom w:val="single" w:color="auto" w:sz="4" w:space="0"/>
              <w:right w:val="single" w:color="auto" w:sz="4" w:space="0"/>
            </w:tcBorders>
            <w:vAlign w:val="center"/>
          </w:tcPr>
          <w:p w14:paraId="198DE3AB">
            <w:pPr>
              <w:pStyle w:val="59"/>
              <w:jc w:val="center"/>
              <w:rPr>
                <w:highlight w:val="none"/>
              </w:rPr>
            </w:pPr>
          </w:p>
        </w:tc>
        <w:tc>
          <w:tcPr>
            <w:tcW w:w="1480" w:type="dxa"/>
            <w:tcBorders>
              <w:top w:val="single" w:color="auto" w:sz="4" w:space="0"/>
              <w:left w:val="single" w:color="auto" w:sz="4" w:space="0"/>
              <w:bottom w:val="single" w:color="auto" w:sz="4" w:space="0"/>
              <w:right w:val="single" w:color="auto" w:sz="4" w:space="0"/>
            </w:tcBorders>
            <w:vAlign w:val="center"/>
          </w:tcPr>
          <w:p w14:paraId="6BEB3084">
            <w:pPr>
              <w:pStyle w:val="59"/>
              <w:jc w:val="center"/>
              <w:rPr>
                <w:highlight w:val="none"/>
              </w:rPr>
            </w:pPr>
          </w:p>
        </w:tc>
        <w:tc>
          <w:tcPr>
            <w:tcW w:w="1648" w:type="dxa"/>
            <w:tcBorders>
              <w:top w:val="single" w:color="auto" w:sz="4" w:space="0"/>
              <w:left w:val="single" w:color="auto" w:sz="4" w:space="0"/>
              <w:bottom w:val="single" w:color="auto" w:sz="4" w:space="0"/>
              <w:right w:val="single" w:color="auto" w:sz="4" w:space="0"/>
            </w:tcBorders>
            <w:vAlign w:val="center"/>
          </w:tcPr>
          <w:p w14:paraId="79F03A49">
            <w:pPr>
              <w:pStyle w:val="59"/>
              <w:jc w:val="center"/>
              <w:rPr>
                <w:highlight w:val="none"/>
              </w:rPr>
            </w:pPr>
          </w:p>
        </w:tc>
        <w:tc>
          <w:tcPr>
            <w:tcW w:w="967" w:type="dxa"/>
            <w:tcBorders>
              <w:top w:val="single" w:color="auto" w:sz="4" w:space="0"/>
              <w:left w:val="single" w:color="auto" w:sz="4" w:space="0"/>
              <w:bottom w:val="single" w:color="auto" w:sz="4" w:space="0"/>
              <w:right w:val="single" w:color="auto" w:sz="4" w:space="0"/>
            </w:tcBorders>
            <w:vAlign w:val="center"/>
          </w:tcPr>
          <w:p w14:paraId="12F10D3E">
            <w:pPr>
              <w:pStyle w:val="59"/>
              <w:jc w:val="center"/>
              <w:rPr>
                <w:highlight w:val="none"/>
              </w:rPr>
            </w:pPr>
          </w:p>
        </w:tc>
        <w:tc>
          <w:tcPr>
            <w:tcW w:w="797" w:type="dxa"/>
            <w:tcBorders>
              <w:top w:val="single" w:color="auto" w:sz="4" w:space="0"/>
              <w:left w:val="single" w:color="auto" w:sz="4" w:space="0"/>
              <w:bottom w:val="single" w:color="auto" w:sz="4" w:space="0"/>
              <w:right w:val="single" w:color="auto" w:sz="4" w:space="0"/>
            </w:tcBorders>
            <w:vAlign w:val="center"/>
          </w:tcPr>
          <w:p w14:paraId="44516197">
            <w:pPr>
              <w:pStyle w:val="59"/>
              <w:jc w:val="center"/>
              <w:rPr>
                <w:highlight w:val="none"/>
              </w:rPr>
            </w:pPr>
          </w:p>
        </w:tc>
        <w:tc>
          <w:tcPr>
            <w:tcW w:w="880" w:type="dxa"/>
            <w:tcBorders>
              <w:top w:val="single" w:color="auto" w:sz="4" w:space="0"/>
              <w:left w:val="single" w:color="auto" w:sz="4" w:space="0"/>
              <w:bottom w:val="single" w:color="auto" w:sz="4" w:space="0"/>
              <w:right w:val="single" w:color="auto" w:sz="4" w:space="0"/>
            </w:tcBorders>
            <w:vAlign w:val="center"/>
          </w:tcPr>
          <w:p w14:paraId="012C13D5">
            <w:pPr>
              <w:pStyle w:val="59"/>
              <w:jc w:val="center"/>
              <w:rPr>
                <w:highlight w:val="none"/>
              </w:rPr>
            </w:pPr>
          </w:p>
        </w:tc>
        <w:tc>
          <w:tcPr>
            <w:tcW w:w="1234" w:type="dxa"/>
            <w:tcBorders>
              <w:top w:val="single" w:color="auto" w:sz="4" w:space="0"/>
              <w:left w:val="single" w:color="auto" w:sz="4" w:space="0"/>
              <w:bottom w:val="single" w:color="auto" w:sz="4" w:space="0"/>
              <w:right w:val="single" w:color="auto" w:sz="4" w:space="0"/>
            </w:tcBorders>
            <w:vAlign w:val="center"/>
          </w:tcPr>
          <w:p w14:paraId="354E398A">
            <w:pPr>
              <w:pStyle w:val="59"/>
              <w:jc w:val="center"/>
              <w:rPr>
                <w:highlight w:val="none"/>
              </w:rPr>
            </w:pPr>
          </w:p>
        </w:tc>
        <w:tc>
          <w:tcPr>
            <w:tcW w:w="1529" w:type="dxa"/>
            <w:tcBorders>
              <w:top w:val="single" w:color="auto" w:sz="4" w:space="0"/>
              <w:left w:val="single" w:color="auto" w:sz="4" w:space="0"/>
              <w:bottom w:val="single" w:color="auto" w:sz="4" w:space="0"/>
              <w:right w:val="single" w:color="auto" w:sz="4" w:space="0"/>
            </w:tcBorders>
            <w:vAlign w:val="center"/>
          </w:tcPr>
          <w:p w14:paraId="2F3B382A">
            <w:pPr>
              <w:pStyle w:val="59"/>
              <w:jc w:val="center"/>
              <w:rPr>
                <w:highlight w:val="none"/>
              </w:rPr>
            </w:pPr>
          </w:p>
        </w:tc>
      </w:tr>
      <w:tr w14:paraId="6E402B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752" w:type="dxa"/>
            <w:tcBorders>
              <w:top w:val="single" w:color="auto" w:sz="4" w:space="0"/>
              <w:left w:val="single" w:color="auto" w:sz="4" w:space="0"/>
              <w:bottom w:val="single" w:color="auto" w:sz="4" w:space="0"/>
              <w:right w:val="single" w:color="auto" w:sz="4" w:space="0"/>
            </w:tcBorders>
            <w:vAlign w:val="center"/>
          </w:tcPr>
          <w:p w14:paraId="1EC1D0F6">
            <w:pPr>
              <w:pStyle w:val="59"/>
              <w:jc w:val="center"/>
              <w:rPr>
                <w:highlight w:val="none"/>
              </w:rPr>
            </w:pPr>
          </w:p>
        </w:tc>
        <w:tc>
          <w:tcPr>
            <w:tcW w:w="1480" w:type="dxa"/>
            <w:tcBorders>
              <w:top w:val="single" w:color="auto" w:sz="4" w:space="0"/>
              <w:left w:val="single" w:color="auto" w:sz="4" w:space="0"/>
              <w:bottom w:val="single" w:color="auto" w:sz="4" w:space="0"/>
              <w:right w:val="single" w:color="auto" w:sz="4" w:space="0"/>
            </w:tcBorders>
            <w:vAlign w:val="center"/>
          </w:tcPr>
          <w:p w14:paraId="5DED4042">
            <w:pPr>
              <w:pStyle w:val="59"/>
              <w:jc w:val="center"/>
              <w:rPr>
                <w:highlight w:val="none"/>
              </w:rPr>
            </w:pPr>
          </w:p>
        </w:tc>
        <w:tc>
          <w:tcPr>
            <w:tcW w:w="1648" w:type="dxa"/>
            <w:tcBorders>
              <w:top w:val="single" w:color="auto" w:sz="4" w:space="0"/>
              <w:left w:val="single" w:color="auto" w:sz="4" w:space="0"/>
              <w:bottom w:val="single" w:color="auto" w:sz="4" w:space="0"/>
              <w:right w:val="single" w:color="auto" w:sz="4" w:space="0"/>
            </w:tcBorders>
            <w:vAlign w:val="center"/>
          </w:tcPr>
          <w:p w14:paraId="550EA0F2">
            <w:pPr>
              <w:pStyle w:val="59"/>
              <w:jc w:val="center"/>
              <w:rPr>
                <w:highlight w:val="none"/>
              </w:rPr>
            </w:pPr>
          </w:p>
        </w:tc>
        <w:tc>
          <w:tcPr>
            <w:tcW w:w="967" w:type="dxa"/>
            <w:tcBorders>
              <w:top w:val="single" w:color="auto" w:sz="4" w:space="0"/>
              <w:left w:val="single" w:color="auto" w:sz="4" w:space="0"/>
              <w:bottom w:val="single" w:color="auto" w:sz="4" w:space="0"/>
              <w:right w:val="single" w:color="auto" w:sz="4" w:space="0"/>
            </w:tcBorders>
            <w:vAlign w:val="center"/>
          </w:tcPr>
          <w:p w14:paraId="7EA7A98F">
            <w:pPr>
              <w:pStyle w:val="59"/>
              <w:jc w:val="center"/>
              <w:rPr>
                <w:highlight w:val="none"/>
              </w:rPr>
            </w:pPr>
          </w:p>
        </w:tc>
        <w:tc>
          <w:tcPr>
            <w:tcW w:w="797" w:type="dxa"/>
            <w:tcBorders>
              <w:top w:val="single" w:color="auto" w:sz="4" w:space="0"/>
              <w:left w:val="single" w:color="auto" w:sz="4" w:space="0"/>
              <w:bottom w:val="single" w:color="auto" w:sz="4" w:space="0"/>
              <w:right w:val="single" w:color="auto" w:sz="4" w:space="0"/>
            </w:tcBorders>
            <w:vAlign w:val="center"/>
          </w:tcPr>
          <w:p w14:paraId="46A9D660">
            <w:pPr>
              <w:pStyle w:val="59"/>
              <w:jc w:val="center"/>
              <w:rPr>
                <w:highlight w:val="none"/>
              </w:rPr>
            </w:pPr>
          </w:p>
        </w:tc>
        <w:tc>
          <w:tcPr>
            <w:tcW w:w="880" w:type="dxa"/>
            <w:tcBorders>
              <w:top w:val="single" w:color="auto" w:sz="4" w:space="0"/>
              <w:left w:val="single" w:color="auto" w:sz="4" w:space="0"/>
              <w:bottom w:val="single" w:color="auto" w:sz="4" w:space="0"/>
              <w:right w:val="single" w:color="auto" w:sz="4" w:space="0"/>
            </w:tcBorders>
            <w:vAlign w:val="center"/>
          </w:tcPr>
          <w:p w14:paraId="3BFD043E">
            <w:pPr>
              <w:pStyle w:val="59"/>
              <w:jc w:val="center"/>
              <w:rPr>
                <w:highlight w:val="none"/>
              </w:rPr>
            </w:pPr>
          </w:p>
        </w:tc>
        <w:tc>
          <w:tcPr>
            <w:tcW w:w="1234" w:type="dxa"/>
            <w:tcBorders>
              <w:top w:val="single" w:color="auto" w:sz="4" w:space="0"/>
              <w:left w:val="single" w:color="auto" w:sz="4" w:space="0"/>
              <w:bottom w:val="single" w:color="auto" w:sz="4" w:space="0"/>
              <w:right w:val="single" w:color="auto" w:sz="4" w:space="0"/>
            </w:tcBorders>
            <w:vAlign w:val="center"/>
          </w:tcPr>
          <w:p w14:paraId="29E4F6C7">
            <w:pPr>
              <w:pStyle w:val="59"/>
              <w:jc w:val="center"/>
              <w:rPr>
                <w:highlight w:val="none"/>
              </w:rPr>
            </w:pPr>
          </w:p>
        </w:tc>
        <w:tc>
          <w:tcPr>
            <w:tcW w:w="1529" w:type="dxa"/>
            <w:tcBorders>
              <w:top w:val="single" w:color="auto" w:sz="4" w:space="0"/>
              <w:left w:val="single" w:color="auto" w:sz="4" w:space="0"/>
              <w:bottom w:val="single" w:color="auto" w:sz="4" w:space="0"/>
              <w:right w:val="single" w:color="auto" w:sz="4" w:space="0"/>
            </w:tcBorders>
            <w:vAlign w:val="center"/>
          </w:tcPr>
          <w:p w14:paraId="494D0986">
            <w:pPr>
              <w:pStyle w:val="59"/>
              <w:jc w:val="center"/>
              <w:rPr>
                <w:highlight w:val="none"/>
              </w:rPr>
            </w:pPr>
          </w:p>
        </w:tc>
      </w:tr>
      <w:tr w14:paraId="556DF5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752" w:type="dxa"/>
            <w:tcBorders>
              <w:top w:val="single" w:color="auto" w:sz="4" w:space="0"/>
              <w:left w:val="single" w:color="auto" w:sz="4" w:space="0"/>
              <w:bottom w:val="single" w:color="auto" w:sz="4" w:space="0"/>
              <w:right w:val="single" w:color="auto" w:sz="4" w:space="0"/>
            </w:tcBorders>
            <w:vAlign w:val="center"/>
          </w:tcPr>
          <w:p w14:paraId="1A401DD8">
            <w:pPr>
              <w:pStyle w:val="59"/>
              <w:jc w:val="center"/>
              <w:rPr>
                <w:highlight w:val="none"/>
              </w:rPr>
            </w:pPr>
          </w:p>
        </w:tc>
        <w:tc>
          <w:tcPr>
            <w:tcW w:w="1480" w:type="dxa"/>
            <w:tcBorders>
              <w:top w:val="single" w:color="auto" w:sz="4" w:space="0"/>
              <w:left w:val="single" w:color="auto" w:sz="4" w:space="0"/>
              <w:bottom w:val="single" w:color="auto" w:sz="4" w:space="0"/>
              <w:right w:val="single" w:color="auto" w:sz="4" w:space="0"/>
            </w:tcBorders>
            <w:vAlign w:val="center"/>
          </w:tcPr>
          <w:p w14:paraId="7132555A">
            <w:pPr>
              <w:pStyle w:val="59"/>
              <w:jc w:val="center"/>
              <w:rPr>
                <w:highlight w:val="none"/>
              </w:rPr>
            </w:pPr>
          </w:p>
        </w:tc>
        <w:tc>
          <w:tcPr>
            <w:tcW w:w="1648" w:type="dxa"/>
            <w:tcBorders>
              <w:top w:val="single" w:color="auto" w:sz="4" w:space="0"/>
              <w:left w:val="single" w:color="auto" w:sz="4" w:space="0"/>
              <w:bottom w:val="single" w:color="auto" w:sz="4" w:space="0"/>
              <w:right w:val="single" w:color="auto" w:sz="4" w:space="0"/>
            </w:tcBorders>
            <w:vAlign w:val="center"/>
          </w:tcPr>
          <w:p w14:paraId="0BFB3B8D">
            <w:pPr>
              <w:pStyle w:val="59"/>
              <w:jc w:val="center"/>
              <w:rPr>
                <w:highlight w:val="none"/>
              </w:rPr>
            </w:pPr>
          </w:p>
        </w:tc>
        <w:tc>
          <w:tcPr>
            <w:tcW w:w="967" w:type="dxa"/>
            <w:tcBorders>
              <w:top w:val="single" w:color="auto" w:sz="4" w:space="0"/>
              <w:left w:val="single" w:color="auto" w:sz="4" w:space="0"/>
              <w:bottom w:val="single" w:color="auto" w:sz="4" w:space="0"/>
              <w:right w:val="single" w:color="auto" w:sz="4" w:space="0"/>
            </w:tcBorders>
            <w:vAlign w:val="center"/>
          </w:tcPr>
          <w:p w14:paraId="1DD27852">
            <w:pPr>
              <w:pStyle w:val="59"/>
              <w:jc w:val="center"/>
              <w:rPr>
                <w:highlight w:val="none"/>
              </w:rPr>
            </w:pPr>
          </w:p>
        </w:tc>
        <w:tc>
          <w:tcPr>
            <w:tcW w:w="797" w:type="dxa"/>
            <w:tcBorders>
              <w:top w:val="single" w:color="auto" w:sz="4" w:space="0"/>
              <w:left w:val="single" w:color="auto" w:sz="4" w:space="0"/>
              <w:bottom w:val="single" w:color="auto" w:sz="4" w:space="0"/>
              <w:right w:val="single" w:color="auto" w:sz="4" w:space="0"/>
            </w:tcBorders>
            <w:vAlign w:val="center"/>
          </w:tcPr>
          <w:p w14:paraId="77533739">
            <w:pPr>
              <w:pStyle w:val="59"/>
              <w:jc w:val="center"/>
              <w:rPr>
                <w:highlight w:val="none"/>
              </w:rPr>
            </w:pPr>
          </w:p>
        </w:tc>
        <w:tc>
          <w:tcPr>
            <w:tcW w:w="880" w:type="dxa"/>
            <w:tcBorders>
              <w:top w:val="single" w:color="auto" w:sz="4" w:space="0"/>
              <w:left w:val="single" w:color="auto" w:sz="4" w:space="0"/>
              <w:bottom w:val="single" w:color="auto" w:sz="4" w:space="0"/>
              <w:right w:val="single" w:color="auto" w:sz="4" w:space="0"/>
            </w:tcBorders>
            <w:vAlign w:val="center"/>
          </w:tcPr>
          <w:p w14:paraId="357A9943">
            <w:pPr>
              <w:pStyle w:val="59"/>
              <w:jc w:val="center"/>
              <w:rPr>
                <w:highlight w:val="none"/>
              </w:rPr>
            </w:pPr>
          </w:p>
        </w:tc>
        <w:tc>
          <w:tcPr>
            <w:tcW w:w="1234" w:type="dxa"/>
            <w:tcBorders>
              <w:top w:val="single" w:color="auto" w:sz="4" w:space="0"/>
              <w:left w:val="single" w:color="auto" w:sz="4" w:space="0"/>
              <w:bottom w:val="single" w:color="auto" w:sz="4" w:space="0"/>
              <w:right w:val="single" w:color="auto" w:sz="4" w:space="0"/>
            </w:tcBorders>
            <w:vAlign w:val="center"/>
          </w:tcPr>
          <w:p w14:paraId="2F11C472">
            <w:pPr>
              <w:pStyle w:val="59"/>
              <w:jc w:val="center"/>
              <w:rPr>
                <w:highlight w:val="none"/>
              </w:rPr>
            </w:pPr>
          </w:p>
        </w:tc>
        <w:tc>
          <w:tcPr>
            <w:tcW w:w="1529" w:type="dxa"/>
            <w:tcBorders>
              <w:top w:val="single" w:color="auto" w:sz="4" w:space="0"/>
              <w:left w:val="single" w:color="auto" w:sz="4" w:space="0"/>
              <w:bottom w:val="single" w:color="auto" w:sz="4" w:space="0"/>
              <w:right w:val="single" w:color="auto" w:sz="4" w:space="0"/>
            </w:tcBorders>
            <w:vAlign w:val="center"/>
          </w:tcPr>
          <w:p w14:paraId="65E09881">
            <w:pPr>
              <w:pStyle w:val="59"/>
              <w:jc w:val="center"/>
              <w:rPr>
                <w:highlight w:val="none"/>
              </w:rPr>
            </w:pPr>
          </w:p>
        </w:tc>
      </w:tr>
      <w:tr w14:paraId="5493C5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752" w:type="dxa"/>
            <w:tcBorders>
              <w:top w:val="single" w:color="auto" w:sz="4" w:space="0"/>
              <w:left w:val="single" w:color="auto" w:sz="4" w:space="0"/>
              <w:bottom w:val="single" w:color="auto" w:sz="4" w:space="0"/>
              <w:right w:val="single" w:color="auto" w:sz="4" w:space="0"/>
            </w:tcBorders>
            <w:vAlign w:val="center"/>
          </w:tcPr>
          <w:p w14:paraId="216F923F">
            <w:pPr>
              <w:pStyle w:val="59"/>
              <w:jc w:val="center"/>
              <w:rPr>
                <w:highlight w:val="none"/>
              </w:rPr>
            </w:pPr>
          </w:p>
        </w:tc>
        <w:tc>
          <w:tcPr>
            <w:tcW w:w="1480" w:type="dxa"/>
            <w:tcBorders>
              <w:top w:val="single" w:color="auto" w:sz="4" w:space="0"/>
              <w:left w:val="single" w:color="auto" w:sz="4" w:space="0"/>
              <w:bottom w:val="single" w:color="auto" w:sz="4" w:space="0"/>
              <w:right w:val="single" w:color="auto" w:sz="4" w:space="0"/>
            </w:tcBorders>
            <w:vAlign w:val="center"/>
          </w:tcPr>
          <w:p w14:paraId="14702731">
            <w:pPr>
              <w:pStyle w:val="59"/>
              <w:jc w:val="center"/>
              <w:rPr>
                <w:highlight w:val="none"/>
              </w:rPr>
            </w:pPr>
          </w:p>
        </w:tc>
        <w:tc>
          <w:tcPr>
            <w:tcW w:w="1648" w:type="dxa"/>
            <w:tcBorders>
              <w:top w:val="single" w:color="auto" w:sz="4" w:space="0"/>
              <w:left w:val="single" w:color="auto" w:sz="4" w:space="0"/>
              <w:bottom w:val="single" w:color="auto" w:sz="4" w:space="0"/>
              <w:right w:val="single" w:color="auto" w:sz="4" w:space="0"/>
            </w:tcBorders>
            <w:vAlign w:val="center"/>
          </w:tcPr>
          <w:p w14:paraId="74899FC6">
            <w:pPr>
              <w:pStyle w:val="59"/>
              <w:jc w:val="center"/>
              <w:rPr>
                <w:highlight w:val="none"/>
              </w:rPr>
            </w:pPr>
          </w:p>
        </w:tc>
        <w:tc>
          <w:tcPr>
            <w:tcW w:w="967" w:type="dxa"/>
            <w:tcBorders>
              <w:top w:val="single" w:color="auto" w:sz="4" w:space="0"/>
              <w:left w:val="single" w:color="auto" w:sz="4" w:space="0"/>
              <w:bottom w:val="single" w:color="auto" w:sz="4" w:space="0"/>
              <w:right w:val="single" w:color="auto" w:sz="4" w:space="0"/>
            </w:tcBorders>
            <w:vAlign w:val="center"/>
          </w:tcPr>
          <w:p w14:paraId="43C035C1">
            <w:pPr>
              <w:pStyle w:val="59"/>
              <w:jc w:val="center"/>
              <w:rPr>
                <w:highlight w:val="none"/>
              </w:rPr>
            </w:pPr>
          </w:p>
        </w:tc>
        <w:tc>
          <w:tcPr>
            <w:tcW w:w="797" w:type="dxa"/>
            <w:tcBorders>
              <w:top w:val="single" w:color="auto" w:sz="4" w:space="0"/>
              <w:left w:val="single" w:color="auto" w:sz="4" w:space="0"/>
              <w:bottom w:val="single" w:color="auto" w:sz="4" w:space="0"/>
              <w:right w:val="single" w:color="auto" w:sz="4" w:space="0"/>
            </w:tcBorders>
            <w:vAlign w:val="center"/>
          </w:tcPr>
          <w:p w14:paraId="5BD18256">
            <w:pPr>
              <w:pStyle w:val="59"/>
              <w:jc w:val="center"/>
              <w:rPr>
                <w:highlight w:val="none"/>
              </w:rPr>
            </w:pPr>
          </w:p>
        </w:tc>
        <w:tc>
          <w:tcPr>
            <w:tcW w:w="880" w:type="dxa"/>
            <w:tcBorders>
              <w:top w:val="single" w:color="auto" w:sz="4" w:space="0"/>
              <w:left w:val="single" w:color="auto" w:sz="4" w:space="0"/>
              <w:bottom w:val="single" w:color="auto" w:sz="4" w:space="0"/>
              <w:right w:val="single" w:color="auto" w:sz="4" w:space="0"/>
            </w:tcBorders>
            <w:vAlign w:val="center"/>
          </w:tcPr>
          <w:p w14:paraId="2E745831">
            <w:pPr>
              <w:pStyle w:val="59"/>
              <w:jc w:val="center"/>
              <w:rPr>
                <w:highlight w:val="none"/>
              </w:rPr>
            </w:pPr>
          </w:p>
        </w:tc>
        <w:tc>
          <w:tcPr>
            <w:tcW w:w="1234" w:type="dxa"/>
            <w:tcBorders>
              <w:top w:val="single" w:color="auto" w:sz="4" w:space="0"/>
              <w:left w:val="single" w:color="auto" w:sz="4" w:space="0"/>
              <w:bottom w:val="single" w:color="auto" w:sz="4" w:space="0"/>
              <w:right w:val="single" w:color="auto" w:sz="4" w:space="0"/>
            </w:tcBorders>
            <w:vAlign w:val="center"/>
          </w:tcPr>
          <w:p w14:paraId="5EAF0C48">
            <w:pPr>
              <w:pStyle w:val="59"/>
              <w:jc w:val="center"/>
              <w:rPr>
                <w:highlight w:val="none"/>
              </w:rPr>
            </w:pPr>
          </w:p>
        </w:tc>
        <w:tc>
          <w:tcPr>
            <w:tcW w:w="1529" w:type="dxa"/>
            <w:tcBorders>
              <w:top w:val="single" w:color="auto" w:sz="4" w:space="0"/>
              <w:left w:val="single" w:color="auto" w:sz="4" w:space="0"/>
              <w:bottom w:val="single" w:color="auto" w:sz="4" w:space="0"/>
              <w:right w:val="single" w:color="auto" w:sz="4" w:space="0"/>
            </w:tcBorders>
            <w:vAlign w:val="center"/>
          </w:tcPr>
          <w:p w14:paraId="68CBA66F">
            <w:pPr>
              <w:pStyle w:val="59"/>
              <w:jc w:val="center"/>
              <w:rPr>
                <w:highlight w:val="none"/>
              </w:rPr>
            </w:pPr>
          </w:p>
        </w:tc>
      </w:tr>
      <w:tr w14:paraId="5B4A72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752" w:type="dxa"/>
            <w:tcBorders>
              <w:top w:val="single" w:color="auto" w:sz="4" w:space="0"/>
              <w:left w:val="single" w:color="auto" w:sz="4" w:space="0"/>
              <w:bottom w:val="single" w:color="auto" w:sz="4" w:space="0"/>
              <w:right w:val="single" w:color="auto" w:sz="4" w:space="0"/>
            </w:tcBorders>
            <w:vAlign w:val="center"/>
          </w:tcPr>
          <w:p w14:paraId="637D1616">
            <w:pPr>
              <w:pStyle w:val="59"/>
              <w:jc w:val="center"/>
              <w:rPr>
                <w:highlight w:val="none"/>
              </w:rPr>
            </w:pPr>
          </w:p>
        </w:tc>
        <w:tc>
          <w:tcPr>
            <w:tcW w:w="1480" w:type="dxa"/>
            <w:tcBorders>
              <w:top w:val="single" w:color="auto" w:sz="4" w:space="0"/>
              <w:left w:val="single" w:color="auto" w:sz="4" w:space="0"/>
              <w:bottom w:val="single" w:color="auto" w:sz="4" w:space="0"/>
              <w:right w:val="single" w:color="auto" w:sz="4" w:space="0"/>
            </w:tcBorders>
            <w:vAlign w:val="center"/>
          </w:tcPr>
          <w:p w14:paraId="0C2F10BF">
            <w:pPr>
              <w:pStyle w:val="59"/>
              <w:jc w:val="center"/>
              <w:rPr>
                <w:highlight w:val="none"/>
              </w:rPr>
            </w:pPr>
          </w:p>
        </w:tc>
        <w:tc>
          <w:tcPr>
            <w:tcW w:w="1648" w:type="dxa"/>
            <w:tcBorders>
              <w:top w:val="single" w:color="auto" w:sz="4" w:space="0"/>
              <w:left w:val="single" w:color="auto" w:sz="4" w:space="0"/>
              <w:bottom w:val="single" w:color="auto" w:sz="4" w:space="0"/>
              <w:right w:val="single" w:color="auto" w:sz="4" w:space="0"/>
            </w:tcBorders>
            <w:vAlign w:val="center"/>
          </w:tcPr>
          <w:p w14:paraId="3FC65C16">
            <w:pPr>
              <w:pStyle w:val="59"/>
              <w:jc w:val="center"/>
              <w:rPr>
                <w:highlight w:val="none"/>
              </w:rPr>
            </w:pPr>
          </w:p>
        </w:tc>
        <w:tc>
          <w:tcPr>
            <w:tcW w:w="967" w:type="dxa"/>
            <w:tcBorders>
              <w:top w:val="single" w:color="auto" w:sz="4" w:space="0"/>
              <w:left w:val="single" w:color="auto" w:sz="4" w:space="0"/>
              <w:bottom w:val="single" w:color="auto" w:sz="4" w:space="0"/>
              <w:right w:val="single" w:color="auto" w:sz="4" w:space="0"/>
            </w:tcBorders>
            <w:vAlign w:val="center"/>
          </w:tcPr>
          <w:p w14:paraId="56A5A4F6">
            <w:pPr>
              <w:pStyle w:val="59"/>
              <w:jc w:val="center"/>
              <w:rPr>
                <w:highlight w:val="none"/>
              </w:rPr>
            </w:pPr>
          </w:p>
        </w:tc>
        <w:tc>
          <w:tcPr>
            <w:tcW w:w="797" w:type="dxa"/>
            <w:tcBorders>
              <w:top w:val="single" w:color="auto" w:sz="4" w:space="0"/>
              <w:left w:val="single" w:color="auto" w:sz="4" w:space="0"/>
              <w:bottom w:val="single" w:color="auto" w:sz="4" w:space="0"/>
              <w:right w:val="single" w:color="auto" w:sz="4" w:space="0"/>
            </w:tcBorders>
            <w:vAlign w:val="center"/>
          </w:tcPr>
          <w:p w14:paraId="4377E676">
            <w:pPr>
              <w:pStyle w:val="59"/>
              <w:jc w:val="center"/>
              <w:rPr>
                <w:highlight w:val="none"/>
              </w:rPr>
            </w:pPr>
          </w:p>
        </w:tc>
        <w:tc>
          <w:tcPr>
            <w:tcW w:w="880" w:type="dxa"/>
            <w:tcBorders>
              <w:top w:val="single" w:color="auto" w:sz="4" w:space="0"/>
              <w:left w:val="single" w:color="auto" w:sz="4" w:space="0"/>
              <w:bottom w:val="single" w:color="auto" w:sz="4" w:space="0"/>
              <w:right w:val="single" w:color="auto" w:sz="4" w:space="0"/>
            </w:tcBorders>
            <w:vAlign w:val="center"/>
          </w:tcPr>
          <w:p w14:paraId="4CB6D7FD">
            <w:pPr>
              <w:pStyle w:val="59"/>
              <w:jc w:val="center"/>
              <w:rPr>
                <w:highlight w:val="none"/>
              </w:rPr>
            </w:pPr>
          </w:p>
        </w:tc>
        <w:tc>
          <w:tcPr>
            <w:tcW w:w="1234" w:type="dxa"/>
            <w:tcBorders>
              <w:top w:val="single" w:color="auto" w:sz="4" w:space="0"/>
              <w:left w:val="single" w:color="auto" w:sz="4" w:space="0"/>
              <w:bottom w:val="single" w:color="auto" w:sz="4" w:space="0"/>
              <w:right w:val="single" w:color="auto" w:sz="4" w:space="0"/>
            </w:tcBorders>
            <w:vAlign w:val="center"/>
          </w:tcPr>
          <w:p w14:paraId="5AA2761B">
            <w:pPr>
              <w:pStyle w:val="59"/>
              <w:jc w:val="center"/>
              <w:rPr>
                <w:highlight w:val="none"/>
              </w:rPr>
            </w:pPr>
          </w:p>
        </w:tc>
        <w:tc>
          <w:tcPr>
            <w:tcW w:w="1529" w:type="dxa"/>
            <w:tcBorders>
              <w:top w:val="single" w:color="auto" w:sz="4" w:space="0"/>
              <w:left w:val="single" w:color="auto" w:sz="4" w:space="0"/>
              <w:bottom w:val="single" w:color="auto" w:sz="4" w:space="0"/>
              <w:right w:val="single" w:color="auto" w:sz="4" w:space="0"/>
            </w:tcBorders>
            <w:vAlign w:val="center"/>
          </w:tcPr>
          <w:p w14:paraId="3264566C">
            <w:pPr>
              <w:pStyle w:val="59"/>
              <w:jc w:val="center"/>
              <w:rPr>
                <w:highlight w:val="none"/>
              </w:rPr>
            </w:pPr>
          </w:p>
        </w:tc>
      </w:tr>
    </w:tbl>
    <w:p w14:paraId="3A62B80F">
      <w:pPr>
        <w:ind w:firstLine="420"/>
        <w:rPr>
          <w:highlight w:val="none"/>
        </w:rPr>
      </w:pPr>
      <w:r>
        <w:rPr>
          <w:rFonts w:hint="eastAsia"/>
          <w:highlight w:val="none"/>
        </w:rPr>
        <w:t>我方承诺：</w:t>
      </w:r>
      <w:r>
        <w:rPr>
          <w:rFonts w:hint="eastAsia"/>
          <w:color w:val="FF0000"/>
          <w:highlight w:val="none"/>
          <w:u w:val="single"/>
        </w:rPr>
        <w:t>采购人更换配件价格不超过统一报价的70%（即采购人更换配件价格不超过上表价格的70%）</w:t>
      </w:r>
      <w:r>
        <w:rPr>
          <w:rFonts w:hint="eastAsia"/>
          <w:highlight w:val="none"/>
        </w:rPr>
        <w:t>。</w:t>
      </w:r>
    </w:p>
    <w:p w14:paraId="225F481A">
      <w:pPr>
        <w:ind w:firstLine="3091" w:firstLineChars="1104"/>
        <w:rPr>
          <w:snapToGrid w:val="0"/>
          <w:sz w:val="28"/>
          <w:szCs w:val="28"/>
          <w:highlight w:val="none"/>
          <w:lang w:val="zh-CN"/>
        </w:rPr>
      </w:pPr>
    </w:p>
    <w:p w14:paraId="2BD0DE78">
      <w:pPr>
        <w:jc w:val="center"/>
        <w:rPr>
          <w:snapToGrid w:val="0"/>
          <w:sz w:val="28"/>
          <w:szCs w:val="28"/>
          <w:highlight w:val="none"/>
          <w:lang w:val="zh-CN"/>
        </w:rPr>
      </w:pPr>
      <w:r>
        <w:rPr>
          <w:rFonts w:hint="eastAsia"/>
          <w:snapToGrid w:val="0"/>
          <w:sz w:val="28"/>
          <w:szCs w:val="28"/>
          <w:highlight w:val="none"/>
          <w:lang w:val="en-US" w:eastAsia="zh-CN"/>
        </w:rPr>
        <w:t xml:space="preserve">         </w:t>
      </w:r>
      <w:r>
        <w:rPr>
          <w:rFonts w:hint="eastAsia"/>
          <w:snapToGrid w:val="0"/>
          <w:sz w:val="28"/>
          <w:szCs w:val="28"/>
          <w:highlight w:val="none"/>
          <w:lang w:val="zh-CN"/>
        </w:rPr>
        <w:t>报价</w:t>
      </w:r>
      <w:r>
        <w:rPr>
          <w:snapToGrid w:val="0"/>
          <w:sz w:val="28"/>
          <w:szCs w:val="28"/>
          <w:highlight w:val="none"/>
          <w:lang w:val="zh-CN"/>
        </w:rPr>
        <w:t>供应商全称：（盖章）</w:t>
      </w:r>
    </w:p>
    <w:p w14:paraId="55316848">
      <w:pPr>
        <w:jc w:val="center"/>
        <w:rPr>
          <w:snapToGrid w:val="0"/>
          <w:sz w:val="28"/>
          <w:szCs w:val="28"/>
          <w:highlight w:val="none"/>
          <w:lang w:val="zh-CN"/>
        </w:rPr>
      </w:pPr>
      <w:r>
        <w:rPr>
          <w:snapToGrid w:val="0"/>
          <w:sz w:val="28"/>
          <w:szCs w:val="28"/>
          <w:highlight w:val="none"/>
          <w:lang w:val="zh-CN"/>
        </w:rPr>
        <w:t xml:space="preserve">              </w:t>
      </w:r>
      <w:r>
        <w:rPr>
          <w:rFonts w:hint="eastAsia"/>
          <w:snapToGrid w:val="0"/>
          <w:sz w:val="28"/>
          <w:szCs w:val="28"/>
          <w:highlight w:val="none"/>
          <w:lang w:val="en-US" w:eastAsia="zh-CN"/>
        </w:rPr>
        <w:t xml:space="preserve">    </w:t>
      </w:r>
      <w:r>
        <w:rPr>
          <w:snapToGrid w:val="0"/>
          <w:sz w:val="28"/>
          <w:szCs w:val="28"/>
          <w:highlight w:val="none"/>
          <w:lang w:val="zh-CN"/>
        </w:rPr>
        <w:t>法定代表人（或授权代表）：（签字）</w:t>
      </w:r>
    </w:p>
    <w:p w14:paraId="52AF25C2">
      <w:pPr>
        <w:jc w:val="center"/>
        <w:rPr>
          <w:rFonts w:hint="eastAsia"/>
          <w:snapToGrid w:val="0"/>
          <w:sz w:val="28"/>
          <w:szCs w:val="28"/>
          <w:highlight w:val="none"/>
          <w:lang w:val="zh-CN"/>
        </w:rPr>
        <w:sectPr>
          <w:pgSz w:w="11906" w:h="16838"/>
          <w:pgMar w:top="1418" w:right="1134" w:bottom="1418" w:left="1418" w:header="851" w:footer="851" w:gutter="0"/>
          <w:pgNumType w:fmt="decimal"/>
          <w:cols w:space="720" w:num="1"/>
          <w:docGrid w:linePitch="388" w:charSpace="-1260"/>
        </w:sectPr>
      </w:pPr>
      <w:r>
        <w:rPr>
          <w:snapToGrid w:val="0"/>
          <w:sz w:val="28"/>
          <w:szCs w:val="28"/>
          <w:highlight w:val="none"/>
          <w:lang w:val="zh-CN"/>
        </w:rPr>
        <w:t xml:space="preserve">                               </w:t>
      </w:r>
      <w:r>
        <w:rPr>
          <w:rFonts w:hint="eastAsia"/>
          <w:sz w:val="28"/>
          <w:szCs w:val="28"/>
          <w:highlight w:val="none"/>
          <w:u w:val="single"/>
        </w:rPr>
        <w:t xml:space="preserve">    </w:t>
      </w:r>
      <w:r>
        <w:rPr>
          <w:sz w:val="28"/>
          <w:szCs w:val="28"/>
          <w:highlight w:val="none"/>
        </w:rPr>
        <w:t>年</w:t>
      </w:r>
      <w:r>
        <w:rPr>
          <w:rFonts w:hint="eastAsia"/>
          <w:sz w:val="28"/>
          <w:szCs w:val="28"/>
          <w:highlight w:val="none"/>
          <w:u w:val="single"/>
        </w:rPr>
        <w:t xml:space="preserve"> </w:t>
      </w:r>
      <w:r>
        <w:rPr>
          <w:sz w:val="28"/>
          <w:szCs w:val="28"/>
          <w:highlight w:val="none"/>
          <w:u w:val="single"/>
        </w:rPr>
        <w:t xml:space="preserve">  </w:t>
      </w:r>
      <w:r>
        <w:rPr>
          <w:sz w:val="28"/>
          <w:szCs w:val="28"/>
          <w:highlight w:val="none"/>
        </w:rPr>
        <w:t>月</w:t>
      </w:r>
      <w:r>
        <w:rPr>
          <w:rFonts w:hint="eastAsia"/>
          <w:sz w:val="28"/>
          <w:szCs w:val="28"/>
          <w:highlight w:val="none"/>
          <w:u w:val="single"/>
        </w:rPr>
        <w:t xml:space="preserve"> </w:t>
      </w:r>
      <w:r>
        <w:rPr>
          <w:sz w:val="28"/>
          <w:szCs w:val="28"/>
          <w:highlight w:val="none"/>
          <w:u w:val="single"/>
        </w:rPr>
        <w:t xml:space="preserve"> </w:t>
      </w:r>
      <w:r>
        <w:rPr>
          <w:rFonts w:hint="eastAsia"/>
          <w:sz w:val="28"/>
          <w:szCs w:val="28"/>
          <w:highlight w:val="none"/>
          <w:u w:val="single"/>
        </w:rPr>
        <w:t xml:space="preserve"> </w:t>
      </w:r>
      <w:r>
        <w:rPr>
          <w:sz w:val="28"/>
          <w:szCs w:val="28"/>
          <w:highlight w:val="none"/>
        </w:rPr>
        <w:t>日</w:t>
      </w:r>
    </w:p>
    <w:p w14:paraId="2D3DD899">
      <w:pPr>
        <w:pStyle w:val="6"/>
        <w:spacing w:before="120" w:beforeLines="50" w:after="120" w:afterLines="50" w:line="560" w:lineRule="exact"/>
        <w:rPr>
          <w:b w:val="0"/>
          <w:highlight w:val="none"/>
        </w:rPr>
      </w:pPr>
      <w:r>
        <w:rPr>
          <w:rFonts w:hint="eastAsia"/>
          <w:b w:val="0"/>
          <w:highlight w:val="none"/>
        </w:rPr>
        <w:t>附件2-1</w:t>
      </w:r>
      <w:r>
        <w:rPr>
          <w:rFonts w:hint="eastAsia"/>
          <w:b w:val="0"/>
          <w:highlight w:val="none"/>
          <w:lang w:val="en-US" w:eastAsia="zh-CN"/>
        </w:rPr>
        <w:t>6</w:t>
      </w:r>
      <w:r>
        <w:rPr>
          <w:b w:val="0"/>
          <w:highlight w:val="none"/>
        </w:rPr>
        <w:t xml:space="preserve"> </w:t>
      </w:r>
      <w:r>
        <w:rPr>
          <w:rFonts w:hint="eastAsia"/>
          <w:b w:val="0"/>
          <w:highlight w:val="none"/>
        </w:rPr>
        <w:t>其他</w:t>
      </w:r>
      <w:bookmarkEnd w:id="668"/>
      <w:bookmarkEnd w:id="669"/>
      <w:bookmarkEnd w:id="670"/>
      <w:bookmarkEnd w:id="671"/>
      <w:bookmarkEnd w:id="672"/>
      <w:r>
        <w:rPr>
          <w:rFonts w:hint="eastAsia"/>
          <w:b w:val="0"/>
          <w:highlight w:val="none"/>
        </w:rPr>
        <w:t>材料</w:t>
      </w:r>
      <w:bookmarkEnd w:id="673"/>
    </w:p>
    <w:p w14:paraId="4631ACE1">
      <w:pPr>
        <w:spacing w:before="120" w:beforeLines="50" w:after="120" w:afterLines="50" w:line="560" w:lineRule="exact"/>
        <w:jc w:val="center"/>
        <w:rPr>
          <w:rFonts w:ascii="黑体" w:hAnsi="黑体" w:eastAsia="黑体" w:cs="黑体"/>
          <w:bCs/>
          <w:sz w:val="36"/>
          <w:szCs w:val="36"/>
          <w:highlight w:val="none"/>
        </w:rPr>
      </w:pPr>
      <w:r>
        <w:rPr>
          <w:rFonts w:hint="eastAsia" w:ascii="黑体" w:hAnsi="黑体" w:eastAsia="黑体" w:cs="黑体"/>
          <w:bCs/>
          <w:sz w:val="36"/>
          <w:szCs w:val="36"/>
          <w:highlight w:val="none"/>
        </w:rPr>
        <w:t>其他材料</w:t>
      </w:r>
    </w:p>
    <w:p w14:paraId="772DC2D0">
      <w:pPr>
        <w:jc w:val="center"/>
        <w:rPr>
          <w:bCs/>
          <w:sz w:val="36"/>
          <w:szCs w:val="36"/>
          <w:highlight w:val="none"/>
        </w:rPr>
      </w:pPr>
      <w:r>
        <w:rPr>
          <w:rFonts w:hint="eastAsia"/>
          <w:bCs/>
          <w:sz w:val="28"/>
          <w:szCs w:val="28"/>
          <w:highlight w:val="none"/>
        </w:rPr>
        <w:t>（报价供应商根据评审内容，自行添加其他资料）</w:t>
      </w:r>
    </w:p>
    <w:p w14:paraId="05003478">
      <w:pPr>
        <w:widowControl/>
        <w:jc w:val="left"/>
        <w:rPr>
          <w:bCs/>
          <w:sz w:val="36"/>
          <w:szCs w:val="36"/>
          <w:highlight w:val="none"/>
        </w:rPr>
      </w:pPr>
      <w:r>
        <w:rPr>
          <w:bCs/>
          <w:sz w:val="36"/>
          <w:szCs w:val="36"/>
          <w:highlight w:val="none"/>
        </w:rPr>
        <w:br w:type="page"/>
      </w:r>
    </w:p>
    <w:p w14:paraId="24D07BE8">
      <w:pPr>
        <w:spacing w:before="600" w:beforeLines="250" w:after="960" w:afterLines="400" w:line="360" w:lineRule="auto"/>
        <w:jc w:val="center"/>
        <w:rPr>
          <w:rFonts w:ascii="方正小标宋简体" w:eastAsia="方正小标宋简体"/>
          <w:bCs/>
          <w:sz w:val="48"/>
          <w:szCs w:val="48"/>
          <w:highlight w:val="none"/>
        </w:rPr>
      </w:pPr>
    </w:p>
    <w:p w14:paraId="11C1A960">
      <w:pPr>
        <w:spacing w:before="600" w:beforeLines="250" w:line="480" w:lineRule="auto"/>
        <w:jc w:val="center"/>
        <w:rPr>
          <w:rFonts w:ascii="方正小标宋简体" w:eastAsia="方正小标宋简体"/>
          <w:bCs/>
          <w:sz w:val="44"/>
          <w:szCs w:val="44"/>
          <w:highlight w:val="none"/>
        </w:rPr>
      </w:pPr>
      <w:r>
        <w:rPr>
          <w:rFonts w:hint="eastAsia" w:ascii="方正小标宋简体" w:eastAsia="方正小标宋简体"/>
          <w:bCs/>
          <w:sz w:val="48"/>
          <w:szCs w:val="48"/>
          <w:highlight w:val="none"/>
        </w:rPr>
        <w:t>军队物资类项目竞争性谈判</w:t>
      </w:r>
    </w:p>
    <w:p w14:paraId="5F473079">
      <w:pPr>
        <w:spacing w:after="480" w:afterLines="200"/>
        <w:jc w:val="center"/>
        <w:rPr>
          <w:rFonts w:ascii="方正小标宋简体" w:eastAsia="方正小标宋简体"/>
          <w:bCs/>
          <w:highlight w:val="none"/>
        </w:rPr>
      </w:pPr>
      <w:r>
        <w:rPr>
          <w:rFonts w:hint="eastAsia" w:ascii="方正小标宋简体" w:eastAsia="方正小标宋简体"/>
          <w:bCs/>
          <w:sz w:val="84"/>
          <w:szCs w:val="84"/>
          <w:highlight w:val="none"/>
        </w:rPr>
        <w:t>报 价 文 件</w:t>
      </w:r>
    </w:p>
    <w:p w14:paraId="3DE30C2F">
      <w:pPr>
        <w:keepNext/>
        <w:keepLines/>
        <w:spacing w:before="260" w:after="260" w:line="416" w:lineRule="auto"/>
        <w:jc w:val="center"/>
        <w:outlineLvl w:val="2"/>
        <w:rPr>
          <w:rFonts w:ascii="方正小标宋简体" w:eastAsia="方正小标宋简体"/>
          <w:bCs/>
          <w:sz w:val="52"/>
          <w:szCs w:val="52"/>
          <w:highlight w:val="none"/>
        </w:rPr>
      </w:pPr>
      <w:bookmarkStart w:id="674" w:name="_Toc21887"/>
      <w:bookmarkStart w:id="675" w:name="_Toc20679"/>
      <w:bookmarkStart w:id="676" w:name="_Toc12976"/>
      <w:bookmarkStart w:id="677" w:name="_Toc22253"/>
      <w:bookmarkStart w:id="678" w:name="_Toc152058279"/>
      <w:bookmarkStart w:id="679" w:name="_Toc1190"/>
      <w:bookmarkStart w:id="680" w:name="_Toc5495"/>
      <w:r>
        <w:rPr>
          <w:rFonts w:hint="eastAsia" w:ascii="方正小标宋简体" w:eastAsia="方正小标宋简体"/>
          <w:bCs/>
          <w:sz w:val="52"/>
          <w:szCs w:val="52"/>
          <w:highlight w:val="none"/>
        </w:rPr>
        <w:t>三、资格证明文件</w:t>
      </w:r>
      <w:bookmarkEnd w:id="674"/>
      <w:bookmarkEnd w:id="675"/>
      <w:bookmarkEnd w:id="676"/>
      <w:bookmarkEnd w:id="677"/>
      <w:bookmarkEnd w:id="678"/>
      <w:bookmarkEnd w:id="679"/>
      <w:bookmarkEnd w:id="680"/>
    </w:p>
    <w:p w14:paraId="16B2C62A">
      <w:pPr>
        <w:adjustRightInd w:val="0"/>
        <w:snapToGrid w:val="0"/>
        <w:spacing w:line="360" w:lineRule="auto"/>
        <w:rPr>
          <w:rFonts w:ascii="方正小标宋简体" w:hAnsi="黑体" w:eastAsia="方正小标宋简体"/>
          <w:bCs/>
          <w:sz w:val="32"/>
          <w:szCs w:val="32"/>
          <w:highlight w:val="none"/>
        </w:rPr>
      </w:pPr>
    </w:p>
    <w:p w14:paraId="558F10E1">
      <w:pPr>
        <w:spacing w:line="560" w:lineRule="exact"/>
        <w:ind w:firstLine="2160" w:firstLineChars="600"/>
        <w:rPr>
          <w:rFonts w:ascii="方正小标宋简体" w:eastAsia="方正小标宋简体"/>
          <w:bCs/>
          <w:sz w:val="36"/>
          <w:szCs w:val="36"/>
          <w:highlight w:val="none"/>
        </w:rPr>
      </w:pPr>
      <w:r>
        <w:rPr>
          <w:rFonts w:hint="eastAsia" w:ascii="方正小标宋简体" w:eastAsia="方正小标宋简体"/>
          <w:bCs/>
          <w:sz w:val="36"/>
          <w:szCs w:val="36"/>
          <w:highlight w:val="none"/>
        </w:rPr>
        <w:t>项目名称：</w:t>
      </w:r>
      <w:r>
        <w:rPr>
          <w:rFonts w:hint="eastAsia" w:ascii="方正小标宋简体" w:eastAsia="方正小标宋简体"/>
          <w:bCs/>
          <w:sz w:val="36"/>
          <w:szCs w:val="36"/>
          <w:highlight w:val="none"/>
          <w:u w:val="single"/>
        </w:rPr>
        <w:t xml:space="preserve">                </w:t>
      </w:r>
    </w:p>
    <w:p w14:paraId="18C6D8D1">
      <w:pPr>
        <w:spacing w:line="560" w:lineRule="exact"/>
        <w:ind w:firstLine="2160" w:firstLineChars="600"/>
        <w:rPr>
          <w:rFonts w:ascii="方正小标宋简体" w:eastAsia="方正小标宋简体"/>
          <w:bCs/>
          <w:sz w:val="36"/>
          <w:szCs w:val="36"/>
          <w:highlight w:val="none"/>
        </w:rPr>
      </w:pPr>
      <w:r>
        <w:rPr>
          <w:rFonts w:hint="eastAsia" w:ascii="方正小标宋简体" w:eastAsia="方正小标宋简体"/>
          <w:bCs/>
          <w:sz w:val="36"/>
          <w:szCs w:val="36"/>
          <w:highlight w:val="none"/>
        </w:rPr>
        <w:t>项目编号：</w:t>
      </w:r>
      <w:r>
        <w:rPr>
          <w:rFonts w:hint="eastAsia" w:ascii="方正小标宋简体" w:eastAsia="方正小标宋简体"/>
          <w:bCs/>
          <w:sz w:val="36"/>
          <w:szCs w:val="36"/>
          <w:highlight w:val="none"/>
          <w:u w:val="single"/>
        </w:rPr>
        <w:t xml:space="preserve">                </w:t>
      </w:r>
    </w:p>
    <w:p w14:paraId="5EB469E1">
      <w:pPr>
        <w:spacing w:line="560" w:lineRule="exact"/>
        <w:ind w:firstLine="2160" w:firstLineChars="600"/>
        <w:rPr>
          <w:rFonts w:ascii="方正小标宋简体" w:eastAsia="方正小标宋简体"/>
          <w:bCs/>
          <w:sz w:val="36"/>
          <w:szCs w:val="36"/>
          <w:highlight w:val="none"/>
        </w:rPr>
      </w:pPr>
      <w:r>
        <w:rPr>
          <w:rFonts w:hint="eastAsia" w:ascii="方正小标宋简体" w:eastAsia="方正小标宋简体"/>
          <w:bCs/>
          <w:sz w:val="36"/>
          <w:szCs w:val="36"/>
          <w:highlight w:val="none"/>
        </w:rPr>
        <w:t xml:space="preserve">包 </w:t>
      </w:r>
      <w:r>
        <w:rPr>
          <w:rFonts w:ascii="方正小标宋简体" w:eastAsia="方正小标宋简体"/>
          <w:bCs/>
          <w:sz w:val="36"/>
          <w:szCs w:val="36"/>
          <w:highlight w:val="none"/>
        </w:rPr>
        <w:t xml:space="preserve">   </w:t>
      </w:r>
      <w:r>
        <w:rPr>
          <w:rFonts w:hint="eastAsia" w:ascii="方正小标宋简体" w:eastAsia="方正小标宋简体"/>
          <w:bCs/>
          <w:sz w:val="36"/>
          <w:szCs w:val="36"/>
          <w:highlight w:val="none"/>
        </w:rPr>
        <w:t>号：</w:t>
      </w:r>
      <w:r>
        <w:rPr>
          <w:rFonts w:hint="eastAsia" w:ascii="方正小标宋简体" w:eastAsia="方正小标宋简体"/>
          <w:bCs/>
          <w:sz w:val="36"/>
          <w:szCs w:val="36"/>
          <w:highlight w:val="none"/>
          <w:u w:val="single"/>
        </w:rPr>
        <w:t xml:space="preserve">                </w:t>
      </w:r>
    </w:p>
    <w:p w14:paraId="6181341A">
      <w:pPr>
        <w:jc w:val="center"/>
        <w:rPr>
          <w:rFonts w:ascii="方正小标宋简体" w:eastAsia="方正小标宋简体"/>
          <w:bCs/>
          <w:sz w:val="36"/>
          <w:szCs w:val="36"/>
          <w:highlight w:val="none"/>
        </w:rPr>
      </w:pPr>
    </w:p>
    <w:p w14:paraId="16520355">
      <w:pPr>
        <w:jc w:val="center"/>
        <w:rPr>
          <w:rFonts w:ascii="方正小标宋简体" w:eastAsia="方正小标宋简体"/>
          <w:bCs/>
          <w:sz w:val="36"/>
          <w:szCs w:val="36"/>
          <w:highlight w:val="none"/>
        </w:rPr>
      </w:pPr>
    </w:p>
    <w:p w14:paraId="32F049C4">
      <w:pPr>
        <w:jc w:val="center"/>
        <w:rPr>
          <w:rFonts w:ascii="方正小标宋简体" w:eastAsia="方正小标宋简体"/>
          <w:bCs/>
          <w:sz w:val="36"/>
          <w:szCs w:val="36"/>
          <w:highlight w:val="none"/>
        </w:rPr>
      </w:pPr>
    </w:p>
    <w:p w14:paraId="558999AD">
      <w:pPr>
        <w:ind w:firstLine="720" w:firstLineChars="200"/>
        <w:jc w:val="center"/>
        <w:rPr>
          <w:rFonts w:ascii="方正小标宋简体" w:eastAsia="方正小标宋简体"/>
          <w:bCs/>
          <w:sz w:val="36"/>
          <w:szCs w:val="36"/>
          <w:highlight w:val="none"/>
        </w:rPr>
      </w:pPr>
      <w:r>
        <w:rPr>
          <w:rFonts w:hint="eastAsia" w:ascii="方正小标宋简体" w:eastAsia="方正小标宋简体"/>
          <w:bCs/>
          <w:sz w:val="36"/>
          <w:szCs w:val="36"/>
          <w:highlight w:val="none"/>
        </w:rPr>
        <w:t>报价供应商：</w:t>
      </w:r>
      <w:r>
        <w:rPr>
          <w:rFonts w:hint="eastAsia" w:ascii="方正小标宋简体" w:eastAsia="方正小标宋简体"/>
          <w:bCs/>
          <w:sz w:val="36"/>
          <w:szCs w:val="36"/>
          <w:highlight w:val="none"/>
          <w:u w:val="single"/>
        </w:rPr>
        <w:t xml:space="preserve">                   </w:t>
      </w:r>
      <w:r>
        <w:rPr>
          <w:rFonts w:hint="eastAsia" w:ascii="方正小标宋简体" w:eastAsia="方正小标宋简体"/>
          <w:bCs/>
          <w:sz w:val="36"/>
          <w:szCs w:val="36"/>
          <w:highlight w:val="none"/>
        </w:rPr>
        <w:t>（盖章）</w:t>
      </w:r>
    </w:p>
    <w:p w14:paraId="503E798D">
      <w:pPr>
        <w:spacing w:before="240" w:beforeLines="100"/>
        <w:jc w:val="center"/>
        <w:rPr>
          <w:rFonts w:ascii="方正小标宋简体" w:hAnsi="宋体" w:eastAsia="方正小标宋简体"/>
          <w:bCs/>
          <w:highlight w:val="none"/>
        </w:rPr>
      </w:pPr>
      <w:r>
        <w:rPr>
          <w:rFonts w:hint="eastAsia" w:ascii="方正小标宋简体" w:eastAsia="方正小标宋简体"/>
          <w:bCs/>
          <w:sz w:val="36"/>
          <w:szCs w:val="36"/>
          <w:highlight w:val="none"/>
          <w:u w:val="single"/>
        </w:rPr>
        <w:t xml:space="preserve">    </w:t>
      </w:r>
      <w:r>
        <w:rPr>
          <w:rFonts w:hint="eastAsia" w:ascii="方正小标宋简体" w:eastAsia="方正小标宋简体"/>
          <w:bCs/>
          <w:sz w:val="36"/>
          <w:szCs w:val="36"/>
          <w:highlight w:val="none"/>
        </w:rPr>
        <w:t>年</w:t>
      </w:r>
      <w:r>
        <w:rPr>
          <w:rFonts w:hint="eastAsia" w:ascii="方正小标宋简体" w:eastAsia="方正小标宋简体"/>
          <w:bCs/>
          <w:sz w:val="36"/>
          <w:szCs w:val="36"/>
          <w:highlight w:val="none"/>
          <w:u w:val="single"/>
        </w:rPr>
        <w:t xml:space="preserve">   </w:t>
      </w:r>
      <w:r>
        <w:rPr>
          <w:rFonts w:hint="eastAsia" w:ascii="方正小标宋简体" w:eastAsia="方正小标宋简体"/>
          <w:bCs/>
          <w:sz w:val="36"/>
          <w:szCs w:val="36"/>
          <w:highlight w:val="none"/>
        </w:rPr>
        <w:t>月</w:t>
      </w:r>
      <w:r>
        <w:rPr>
          <w:rFonts w:hint="eastAsia" w:ascii="方正小标宋简体" w:eastAsia="方正小标宋简体"/>
          <w:bCs/>
          <w:sz w:val="36"/>
          <w:szCs w:val="36"/>
          <w:highlight w:val="none"/>
          <w:u w:val="single"/>
        </w:rPr>
        <w:t xml:space="preserve">   </w:t>
      </w:r>
      <w:r>
        <w:rPr>
          <w:rFonts w:hint="eastAsia" w:ascii="方正小标宋简体" w:eastAsia="方正小标宋简体"/>
          <w:bCs/>
          <w:sz w:val="36"/>
          <w:szCs w:val="36"/>
          <w:highlight w:val="none"/>
        </w:rPr>
        <w:t>日</w:t>
      </w:r>
    </w:p>
    <w:p w14:paraId="0071A84D">
      <w:pPr>
        <w:spacing w:before="240" w:beforeLines="100"/>
        <w:ind w:firstLine="720" w:firstLineChars="200"/>
        <w:jc w:val="center"/>
        <w:rPr>
          <w:rFonts w:ascii="方正小标宋简体" w:eastAsia="方正小标宋简体"/>
          <w:bCs/>
          <w:sz w:val="36"/>
          <w:szCs w:val="36"/>
          <w:highlight w:val="none"/>
        </w:rPr>
      </w:pPr>
    </w:p>
    <w:p w14:paraId="52590C6C">
      <w:pPr>
        <w:pStyle w:val="6"/>
        <w:spacing w:before="120" w:beforeLines="50" w:after="120" w:afterLines="50" w:line="560" w:lineRule="exact"/>
        <w:rPr>
          <w:b w:val="0"/>
          <w:highlight w:val="none"/>
          <w:lang w:val="zh-CN"/>
        </w:rPr>
      </w:pPr>
      <w:bookmarkStart w:id="681" w:name="_Toc24104"/>
      <w:bookmarkStart w:id="682" w:name="_Toc5235"/>
      <w:bookmarkStart w:id="683" w:name="_Toc7783"/>
      <w:bookmarkStart w:id="684" w:name="_Toc6383"/>
      <w:bookmarkStart w:id="685" w:name="_Toc917"/>
      <w:bookmarkStart w:id="686" w:name="_Toc112768478"/>
      <w:r>
        <w:rPr>
          <w:rFonts w:hint="eastAsia"/>
          <w:b w:val="0"/>
          <w:highlight w:val="none"/>
        </w:rPr>
        <w:t>附件</w:t>
      </w:r>
      <w:r>
        <w:rPr>
          <w:b w:val="0"/>
          <w:highlight w:val="none"/>
        </w:rPr>
        <w:t xml:space="preserve">3-1 </w:t>
      </w:r>
      <w:r>
        <w:rPr>
          <w:rFonts w:hint="eastAsia"/>
          <w:b w:val="0"/>
          <w:highlight w:val="none"/>
        </w:rPr>
        <w:t>资格证明文件索引表</w:t>
      </w:r>
      <w:bookmarkEnd w:id="681"/>
      <w:bookmarkEnd w:id="682"/>
      <w:bookmarkEnd w:id="683"/>
      <w:bookmarkEnd w:id="684"/>
      <w:bookmarkEnd w:id="685"/>
      <w:bookmarkEnd w:id="686"/>
    </w:p>
    <w:p w14:paraId="2055E1AA">
      <w:pPr>
        <w:spacing w:before="120" w:beforeLines="50" w:after="120" w:afterLines="50" w:line="560" w:lineRule="exact"/>
        <w:jc w:val="center"/>
        <w:rPr>
          <w:rFonts w:ascii="方正小标宋简体" w:hAnsi="宋体" w:eastAsia="方正小标宋简体"/>
          <w:bCs/>
          <w:sz w:val="36"/>
          <w:szCs w:val="36"/>
          <w:highlight w:val="none"/>
        </w:rPr>
      </w:pPr>
      <w:r>
        <w:rPr>
          <w:rFonts w:hint="eastAsia" w:ascii="黑体" w:hAnsi="黑体" w:eastAsia="黑体" w:cs="黑体"/>
          <w:bCs/>
          <w:sz w:val="36"/>
          <w:szCs w:val="36"/>
          <w:highlight w:val="none"/>
        </w:rPr>
        <w:t>资格证明文件</w:t>
      </w:r>
      <w:bookmarkStart w:id="687" w:name="_Hlk112700834"/>
      <w:r>
        <w:rPr>
          <w:rFonts w:hint="eastAsia" w:ascii="黑体" w:hAnsi="黑体" w:eastAsia="黑体" w:cs="黑体"/>
          <w:bCs/>
          <w:sz w:val="36"/>
          <w:szCs w:val="36"/>
          <w:highlight w:val="none"/>
        </w:rPr>
        <w:t>索引表</w:t>
      </w:r>
      <w:bookmarkEnd w:id="687"/>
    </w:p>
    <w:p w14:paraId="5EDF7DD8">
      <w:pPr>
        <w:spacing w:line="400" w:lineRule="exact"/>
        <w:rPr>
          <w:rFonts w:ascii="黑体" w:hAnsi="黑体" w:eastAsia="黑体"/>
          <w:bCs/>
          <w:sz w:val="28"/>
          <w:szCs w:val="28"/>
          <w:highlight w:val="none"/>
        </w:rPr>
      </w:pPr>
      <w:r>
        <w:rPr>
          <w:rFonts w:hint="eastAsia" w:ascii="黑体" w:hAnsi="黑体" w:eastAsia="黑体"/>
          <w:bCs/>
          <w:sz w:val="28"/>
          <w:szCs w:val="28"/>
          <w:highlight w:val="none"/>
        </w:rPr>
        <w:t>报价供应商务必在资格证明文件正文前制作本索引表。</w:t>
      </w:r>
    </w:p>
    <w:tbl>
      <w:tblPr>
        <w:tblStyle w:val="42"/>
        <w:tblW w:w="5000" w:type="pct"/>
        <w:jc w:val="center"/>
        <w:tblLayout w:type="fixed"/>
        <w:tblCellMar>
          <w:top w:w="0" w:type="dxa"/>
          <w:left w:w="108" w:type="dxa"/>
          <w:bottom w:w="0" w:type="dxa"/>
          <w:right w:w="108" w:type="dxa"/>
        </w:tblCellMar>
      </w:tblPr>
      <w:tblGrid>
        <w:gridCol w:w="959"/>
        <w:gridCol w:w="6804"/>
        <w:gridCol w:w="1807"/>
      </w:tblGrid>
      <w:tr w14:paraId="5786C464">
        <w:tblPrEx>
          <w:tblCellMar>
            <w:top w:w="0" w:type="dxa"/>
            <w:left w:w="108" w:type="dxa"/>
            <w:bottom w:w="0" w:type="dxa"/>
            <w:right w:w="108" w:type="dxa"/>
          </w:tblCellMar>
        </w:tblPrEx>
        <w:trPr>
          <w:trHeight w:val="549" w:hRule="atLeast"/>
          <w:jc w:val="center"/>
        </w:trPr>
        <w:tc>
          <w:tcPr>
            <w:tcW w:w="501" w:type="pct"/>
            <w:vMerge w:val="restart"/>
            <w:tcBorders>
              <w:top w:val="single" w:color="auto" w:sz="4" w:space="0"/>
              <w:left w:val="single" w:color="auto" w:sz="4" w:space="0"/>
              <w:right w:val="single" w:color="auto" w:sz="4" w:space="0"/>
            </w:tcBorders>
            <w:vAlign w:val="center"/>
          </w:tcPr>
          <w:p w14:paraId="48767BF5">
            <w:pPr>
              <w:jc w:val="center"/>
              <w:rPr>
                <w:rFonts w:ascii="宋体" w:hAnsi="宋体" w:cs="宋体"/>
                <w:bCs/>
                <w:sz w:val="24"/>
                <w:highlight w:val="none"/>
              </w:rPr>
            </w:pPr>
            <w:r>
              <w:rPr>
                <w:rFonts w:hint="eastAsia" w:ascii="宋体" w:hAnsi="宋体" w:cs="宋体"/>
                <w:bCs/>
                <w:sz w:val="24"/>
                <w:highlight w:val="none"/>
              </w:rPr>
              <w:t>序号</w:t>
            </w:r>
          </w:p>
        </w:tc>
        <w:tc>
          <w:tcPr>
            <w:tcW w:w="3554" w:type="pct"/>
            <w:vMerge w:val="restart"/>
            <w:tcBorders>
              <w:top w:val="single" w:color="auto" w:sz="4" w:space="0"/>
              <w:left w:val="nil"/>
              <w:right w:val="single" w:color="auto" w:sz="4" w:space="0"/>
            </w:tcBorders>
            <w:vAlign w:val="center"/>
          </w:tcPr>
          <w:p w14:paraId="146A0F92">
            <w:pPr>
              <w:jc w:val="center"/>
              <w:rPr>
                <w:rFonts w:ascii="宋体" w:hAnsi="宋体" w:cs="宋体"/>
                <w:bCs/>
                <w:sz w:val="24"/>
                <w:highlight w:val="none"/>
              </w:rPr>
            </w:pPr>
            <w:r>
              <w:rPr>
                <w:rFonts w:hint="eastAsia"/>
                <w:bCs/>
                <w:sz w:val="24"/>
                <w:highlight w:val="none"/>
              </w:rPr>
              <w:t>资格性审查</w:t>
            </w:r>
            <w:r>
              <w:rPr>
                <w:rFonts w:hint="eastAsia" w:ascii="宋体" w:hAnsi="宋体" w:cs="宋体"/>
                <w:bCs/>
                <w:sz w:val="24"/>
                <w:highlight w:val="none"/>
              </w:rPr>
              <w:t>项目</w:t>
            </w:r>
          </w:p>
        </w:tc>
        <w:tc>
          <w:tcPr>
            <w:tcW w:w="944" w:type="pct"/>
            <w:vMerge w:val="restart"/>
            <w:tcBorders>
              <w:top w:val="single" w:color="auto" w:sz="4" w:space="0"/>
              <w:left w:val="nil"/>
              <w:right w:val="single" w:color="auto" w:sz="4" w:space="0"/>
            </w:tcBorders>
            <w:vAlign w:val="center"/>
          </w:tcPr>
          <w:p w14:paraId="7C0A4DDE">
            <w:pPr>
              <w:jc w:val="center"/>
              <w:rPr>
                <w:rFonts w:ascii="宋体" w:hAnsi="宋体" w:cs="宋体"/>
                <w:bCs/>
                <w:sz w:val="24"/>
                <w:highlight w:val="none"/>
              </w:rPr>
            </w:pPr>
            <w:r>
              <w:rPr>
                <w:rFonts w:hint="eastAsia" w:ascii="宋体" w:hAnsi="宋体" w:cs="宋体"/>
                <w:bCs/>
                <w:sz w:val="24"/>
                <w:highlight w:val="none"/>
              </w:rPr>
              <w:t>资格证明文件位置页码</w:t>
            </w:r>
          </w:p>
        </w:tc>
      </w:tr>
      <w:tr w14:paraId="596ECA64">
        <w:tblPrEx>
          <w:tblCellMar>
            <w:top w:w="0" w:type="dxa"/>
            <w:left w:w="108" w:type="dxa"/>
            <w:bottom w:w="0" w:type="dxa"/>
            <w:right w:w="108" w:type="dxa"/>
          </w:tblCellMar>
        </w:tblPrEx>
        <w:trPr>
          <w:trHeight w:val="367" w:hRule="atLeast"/>
          <w:jc w:val="center"/>
        </w:trPr>
        <w:tc>
          <w:tcPr>
            <w:tcW w:w="501" w:type="pct"/>
            <w:vMerge w:val="continue"/>
            <w:tcBorders>
              <w:left w:val="single" w:color="auto" w:sz="4" w:space="0"/>
              <w:bottom w:val="single" w:color="auto" w:sz="4" w:space="0"/>
              <w:right w:val="single" w:color="auto" w:sz="4" w:space="0"/>
            </w:tcBorders>
            <w:vAlign w:val="center"/>
          </w:tcPr>
          <w:p w14:paraId="1566F19D">
            <w:pPr>
              <w:jc w:val="center"/>
              <w:rPr>
                <w:rFonts w:ascii="宋体" w:hAnsi="宋体" w:cs="宋体"/>
                <w:bCs/>
                <w:sz w:val="24"/>
                <w:highlight w:val="none"/>
              </w:rPr>
            </w:pPr>
          </w:p>
        </w:tc>
        <w:tc>
          <w:tcPr>
            <w:tcW w:w="3554" w:type="pct"/>
            <w:vMerge w:val="continue"/>
            <w:tcBorders>
              <w:left w:val="nil"/>
              <w:bottom w:val="single" w:color="auto" w:sz="4" w:space="0"/>
              <w:right w:val="single" w:color="auto" w:sz="4" w:space="0"/>
            </w:tcBorders>
            <w:vAlign w:val="center"/>
          </w:tcPr>
          <w:p w14:paraId="6F8CF107">
            <w:pPr>
              <w:jc w:val="center"/>
              <w:rPr>
                <w:rFonts w:ascii="宋体" w:hAnsi="宋体" w:cs="宋体"/>
                <w:bCs/>
                <w:sz w:val="24"/>
                <w:highlight w:val="none"/>
              </w:rPr>
            </w:pPr>
          </w:p>
        </w:tc>
        <w:tc>
          <w:tcPr>
            <w:tcW w:w="944" w:type="pct"/>
            <w:vMerge w:val="continue"/>
            <w:tcBorders>
              <w:left w:val="nil"/>
              <w:bottom w:val="single" w:color="auto" w:sz="4" w:space="0"/>
              <w:right w:val="single" w:color="auto" w:sz="4" w:space="0"/>
            </w:tcBorders>
            <w:vAlign w:val="center"/>
          </w:tcPr>
          <w:p w14:paraId="534E3B9E">
            <w:pPr>
              <w:jc w:val="center"/>
              <w:rPr>
                <w:rFonts w:ascii="宋体" w:hAnsi="宋体" w:cs="宋体"/>
                <w:bCs/>
                <w:sz w:val="24"/>
                <w:highlight w:val="none"/>
              </w:rPr>
            </w:pPr>
          </w:p>
        </w:tc>
      </w:tr>
      <w:tr w14:paraId="74F616E3">
        <w:tblPrEx>
          <w:tblCellMar>
            <w:top w:w="0" w:type="dxa"/>
            <w:left w:w="108" w:type="dxa"/>
            <w:bottom w:w="0" w:type="dxa"/>
            <w:right w:w="108" w:type="dxa"/>
          </w:tblCellMar>
        </w:tblPrEx>
        <w:trPr>
          <w:trHeight w:val="836" w:hRule="exact"/>
          <w:jc w:val="center"/>
        </w:trPr>
        <w:tc>
          <w:tcPr>
            <w:tcW w:w="501" w:type="pct"/>
            <w:tcBorders>
              <w:top w:val="nil"/>
              <w:left w:val="single" w:color="auto" w:sz="4" w:space="0"/>
              <w:bottom w:val="single" w:color="auto" w:sz="4" w:space="0"/>
              <w:right w:val="single" w:color="auto" w:sz="4" w:space="0"/>
            </w:tcBorders>
            <w:vAlign w:val="center"/>
          </w:tcPr>
          <w:p w14:paraId="39B0DDA8">
            <w:pPr>
              <w:jc w:val="center"/>
              <w:rPr>
                <w:bCs/>
                <w:sz w:val="24"/>
                <w:highlight w:val="none"/>
              </w:rPr>
            </w:pPr>
            <w:r>
              <w:rPr>
                <w:rFonts w:hint="eastAsia"/>
                <w:bCs/>
                <w:sz w:val="24"/>
                <w:highlight w:val="none"/>
              </w:rPr>
              <w:t>一</w:t>
            </w:r>
          </w:p>
        </w:tc>
        <w:tc>
          <w:tcPr>
            <w:tcW w:w="3554" w:type="pct"/>
            <w:tcBorders>
              <w:top w:val="nil"/>
              <w:left w:val="nil"/>
              <w:bottom w:val="single" w:color="auto" w:sz="4" w:space="0"/>
              <w:right w:val="single" w:color="auto" w:sz="4" w:space="0"/>
            </w:tcBorders>
            <w:vAlign w:val="center"/>
          </w:tcPr>
          <w:p w14:paraId="18A25C45">
            <w:pPr>
              <w:jc w:val="center"/>
              <w:rPr>
                <w:bCs/>
                <w:sz w:val="24"/>
                <w:highlight w:val="none"/>
              </w:rPr>
            </w:pPr>
            <w:r>
              <w:rPr>
                <w:rFonts w:hint="eastAsia"/>
                <w:bCs/>
                <w:sz w:val="24"/>
                <w:highlight w:val="none"/>
              </w:rPr>
              <w:t>一般资格性审查内容</w:t>
            </w:r>
          </w:p>
        </w:tc>
        <w:tc>
          <w:tcPr>
            <w:tcW w:w="944" w:type="pct"/>
            <w:tcBorders>
              <w:top w:val="nil"/>
              <w:left w:val="nil"/>
              <w:bottom w:val="single" w:color="auto" w:sz="4" w:space="0"/>
              <w:right w:val="single" w:color="auto" w:sz="4" w:space="0"/>
            </w:tcBorders>
            <w:vAlign w:val="center"/>
          </w:tcPr>
          <w:p w14:paraId="6B2AF35D">
            <w:pPr>
              <w:jc w:val="center"/>
              <w:rPr>
                <w:bCs/>
                <w:sz w:val="24"/>
                <w:highlight w:val="none"/>
              </w:rPr>
            </w:pPr>
            <w:r>
              <w:rPr>
                <w:bCs/>
                <w:sz w:val="24"/>
                <w:highlight w:val="none"/>
              </w:rPr>
              <w:t xml:space="preserve"> </w:t>
            </w:r>
          </w:p>
        </w:tc>
      </w:tr>
      <w:tr w14:paraId="69F4A90E">
        <w:tblPrEx>
          <w:tblCellMar>
            <w:top w:w="0" w:type="dxa"/>
            <w:left w:w="108" w:type="dxa"/>
            <w:bottom w:w="0" w:type="dxa"/>
            <w:right w:w="108" w:type="dxa"/>
          </w:tblCellMar>
        </w:tblPrEx>
        <w:trPr>
          <w:trHeight w:val="836" w:hRule="exact"/>
          <w:jc w:val="center"/>
        </w:trPr>
        <w:tc>
          <w:tcPr>
            <w:tcW w:w="501" w:type="pct"/>
            <w:tcBorders>
              <w:top w:val="nil"/>
              <w:left w:val="single" w:color="auto" w:sz="4" w:space="0"/>
              <w:bottom w:val="single" w:color="auto" w:sz="4" w:space="0"/>
              <w:right w:val="single" w:color="auto" w:sz="4" w:space="0"/>
            </w:tcBorders>
            <w:vAlign w:val="center"/>
          </w:tcPr>
          <w:p w14:paraId="075FB14D">
            <w:pPr>
              <w:jc w:val="center"/>
              <w:rPr>
                <w:rFonts w:ascii="宋体" w:hAnsi="宋体"/>
                <w:bCs/>
                <w:sz w:val="24"/>
                <w:highlight w:val="none"/>
              </w:rPr>
            </w:pPr>
            <w:r>
              <w:rPr>
                <w:rFonts w:ascii="宋体" w:hAnsi="宋体"/>
                <w:bCs/>
                <w:sz w:val="24"/>
                <w:highlight w:val="none"/>
              </w:rPr>
              <w:t>1</w:t>
            </w:r>
          </w:p>
        </w:tc>
        <w:tc>
          <w:tcPr>
            <w:tcW w:w="3554" w:type="pct"/>
            <w:tcBorders>
              <w:top w:val="nil"/>
              <w:left w:val="nil"/>
              <w:bottom w:val="single" w:color="auto" w:sz="4" w:space="0"/>
              <w:right w:val="single" w:color="auto" w:sz="4" w:space="0"/>
            </w:tcBorders>
            <w:vAlign w:val="center"/>
          </w:tcPr>
          <w:p w14:paraId="3D701EE0">
            <w:pPr>
              <w:jc w:val="center"/>
              <w:rPr>
                <w:bCs/>
                <w:sz w:val="24"/>
                <w:highlight w:val="none"/>
              </w:rPr>
            </w:pPr>
          </w:p>
        </w:tc>
        <w:tc>
          <w:tcPr>
            <w:tcW w:w="944" w:type="pct"/>
            <w:tcBorders>
              <w:top w:val="nil"/>
              <w:left w:val="nil"/>
              <w:bottom w:val="single" w:color="auto" w:sz="4" w:space="0"/>
              <w:right w:val="single" w:color="auto" w:sz="4" w:space="0"/>
            </w:tcBorders>
            <w:vAlign w:val="center"/>
          </w:tcPr>
          <w:p w14:paraId="058AB454">
            <w:pPr>
              <w:jc w:val="center"/>
              <w:rPr>
                <w:bCs/>
                <w:sz w:val="24"/>
                <w:highlight w:val="none"/>
              </w:rPr>
            </w:pPr>
            <w:r>
              <w:rPr>
                <w:bCs/>
                <w:sz w:val="24"/>
                <w:highlight w:val="none"/>
              </w:rPr>
              <w:t xml:space="preserve"> </w:t>
            </w:r>
          </w:p>
        </w:tc>
      </w:tr>
      <w:tr w14:paraId="7AB96D7D">
        <w:tblPrEx>
          <w:tblCellMar>
            <w:top w:w="0" w:type="dxa"/>
            <w:left w:w="108" w:type="dxa"/>
            <w:bottom w:w="0" w:type="dxa"/>
            <w:right w:w="108" w:type="dxa"/>
          </w:tblCellMar>
        </w:tblPrEx>
        <w:trPr>
          <w:trHeight w:val="836" w:hRule="exact"/>
          <w:jc w:val="center"/>
        </w:trPr>
        <w:tc>
          <w:tcPr>
            <w:tcW w:w="501" w:type="pct"/>
            <w:tcBorders>
              <w:top w:val="nil"/>
              <w:left w:val="single" w:color="auto" w:sz="4" w:space="0"/>
              <w:bottom w:val="single" w:color="auto" w:sz="4" w:space="0"/>
              <w:right w:val="single" w:color="auto" w:sz="4" w:space="0"/>
            </w:tcBorders>
            <w:vAlign w:val="center"/>
          </w:tcPr>
          <w:p w14:paraId="45065614">
            <w:pPr>
              <w:jc w:val="center"/>
              <w:rPr>
                <w:rFonts w:ascii="宋体" w:hAnsi="宋体"/>
                <w:bCs/>
                <w:sz w:val="24"/>
                <w:highlight w:val="none"/>
              </w:rPr>
            </w:pPr>
            <w:r>
              <w:rPr>
                <w:rFonts w:ascii="宋体" w:hAnsi="宋体"/>
                <w:bCs/>
                <w:sz w:val="24"/>
                <w:highlight w:val="none"/>
              </w:rPr>
              <w:t>2</w:t>
            </w:r>
          </w:p>
        </w:tc>
        <w:tc>
          <w:tcPr>
            <w:tcW w:w="3554" w:type="pct"/>
            <w:tcBorders>
              <w:top w:val="nil"/>
              <w:left w:val="nil"/>
              <w:bottom w:val="single" w:color="auto" w:sz="4" w:space="0"/>
              <w:right w:val="single" w:color="auto" w:sz="4" w:space="0"/>
            </w:tcBorders>
            <w:vAlign w:val="center"/>
          </w:tcPr>
          <w:p w14:paraId="1EFB18D5">
            <w:pPr>
              <w:jc w:val="center"/>
              <w:rPr>
                <w:bCs/>
                <w:sz w:val="24"/>
                <w:highlight w:val="none"/>
              </w:rPr>
            </w:pPr>
          </w:p>
        </w:tc>
        <w:tc>
          <w:tcPr>
            <w:tcW w:w="944" w:type="pct"/>
            <w:tcBorders>
              <w:top w:val="nil"/>
              <w:left w:val="nil"/>
              <w:bottom w:val="single" w:color="auto" w:sz="4" w:space="0"/>
              <w:right w:val="single" w:color="auto" w:sz="4" w:space="0"/>
            </w:tcBorders>
            <w:vAlign w:val="center"/>
          </w:tcPr>
          <w:p w14:paraId="1523F023">
            <w:pPr>
              <w:jc w:val="center"/>
              <w:rPr>
                <w:bCs/>
                <w:sz w:val="24"/>
                <w:highlight w:val="none"/>
              </w:rPr>
            </w:pPr>
            <w:r>
              <w:rPr>
                <w:bCs/>
                <w:sz w:val="24"/>
                <w:highlight w:val="none"/>
              </w:rPr>
              <w:t xml:space="preserve"> </w:t>
            </w:r>
          </w:p>
        </w:tc>
      </w:tr>
      <w:tr w14:paraId="31013FB6">
        <w:tblPrEx>
          <w:tblCellMar>
            <w:top w:w="0" w:type="dxa"/>
            <w:left w:w="108" w:type="dxa"/>
            <w:bottom w:w="0" w:type="dxa"/>
            <w:right w:w="108" w:type="dxa"/>
          </w:tblCellMar>
        </w:tblPrEx>
        <w:trPr>
          <w:trHeight w:val="836" w:hRule="exact"/>
          <w:jc w:val="center"/>
        </w:trPr>
        <w:tc>
          <w:tcPr>
            <w:tcW w:w="501" w:type="pct"/>
            <w:tcBorders>
              <w:top w:val="nil"/>
              <w:left w:val="single" w:color="auto" w:sz="4" w:space="0"/>
              <w:bottom w:val="single" w:color="auto" w:sz="4" w:space="0"/>
              <w:right w:val="single" w:color="auto" w:sz="4" w:space="0"/>
            </w:tcBorders>
            <w:vAlign w:val="center"/>
          </w:tcPr>
          <w:p w14:paraId="44398AF3">
            <w:pPr>
              <w:jc w:val="center"/>
              <w:rPr>
                <w:rFonts w:ascii="宋体" w:hAnsi="宋体"/>
                <w:bCs/>
                <w:sz w:val="24"/>
                <w:highlight w:val="none"/>
              </w:rPr>
            </w:pPr>
            <w:r>
              <w:rPr>
                <w:rFonts w:ascii="宋体" w:hAnsi="宋体"/>
                <w:bCs/>
                <w:sz w:val="24"/>
                <w:highlight w:val="none"/>
              </w:rPr>
              <w:t>3</w:t>
            </w:r>
          </w:p>
        </w:tc>
        <w:tc>
          <w:tcPr>
            <w:tcW w:w="3554" w:type="pct"/>
            <w:tcBorders>
              <w:top w:val="nil"/>
              <w:left w:val="nil"/>
              <w:bottom w:val="single" w:color="auto" w:sz="4" w:space="0"/>
              <w:right w:val="single" w:color="auto" w:sz="4" w:space="0"/>
            </w:tcBorders>
            <w:vAlign w:val="center"/>
          </w:tcPr>
          <w:p w14:paraId="5A89C279">
            <w:pPr>
              <w:jc w:val="center"/>
              <w:rPr>
                <w:bCs/>
                <w:sz w:val="24"/>
                <w:highlight w:val="none"/>
              </w:rPr>
            </w:pPr>
          </w:p>
        </w:tc>
        <w:tc>
          <w:tcPr>
            <w:tcW w:w="944" w:type="pct"/>
            <w:tcBorders>
              <w:top w:val="nil"/>
              <w:left w:val="nil"/>
              <w:bottom w:val="single" w:color="auto" w:sz="4" w:space="0"/>
              <w:right w:val="single" w:color="auto" w:sz="4" w:space="0"/>
            </w:tcBorders>
            <w:vAlign w:val="center"/>
          </w:tcPr>
          <w:p w14:paraId="46271184">
            <w:pPr>
              <w:jc w:val="center"/>
              <w:rPr>
                <w:bCs/>
                <w:sz w:val="24"/>
                <w:highlight w:val="none"/>
              </w:rPr>
            </w:pPr>
            <w:r>
              <w:rPr>
                <w:bCs/>
                <w:sz w:val="24"/>
                <w:highlight w:val="none"/>
              </w:rPr>
              <w:t xml:space="preserve"> </w:t>
            </w:r>
          </w:p>
        </w:tc>
      </w:tr>
      <w:tr w14:paraId="086E3A3D">
        <w:tblPrEx>
          <w:tblCellMar>
            <w:top w:w="0" w:type="dxa"/>
            <w:left w:w="108" w:type="dxa"/>
            <w:bottom w:w="0" w:type="dxa"/>
            <w:right w:w="108" w:type="dxa"/>
          </w:tblCellMar>
        </w:tblPrEx>
        <w:trPr>
          <w:trHeight w:val="836" w:hRule="exact"/>
          <w:jc w:val="center"/>
        </w:trPr>
        <w:tc>
          <w:tcPr>
            <w:tcW w:w="501" w:type="pct"/>
            <w:tcBorders>
              <w:top w:val="nil"/>
              <w:left w:val="single" w:color="auto" w:sz="4" w:space="0"/>
              <w:bottom w:val="single" w:color="auto" w:sz="4" w:space="0"/>
              <w:right w:val="single" w:color="auto" w:sz="4" w:space="0"/>
            </w:tcBorders>
            <w:vAlign w:val="center"/>
          </w:tcPr>
          <w:p w14:paraId="360183C5">
            <w:pPr>
              <w:jc w:val="center"/>
              <w:rPr>
                <w:bCs/>
                <w:sz w:val="24"/>
                <w:highlight w:val="none"/>
              </w:rPr>
            </w:pPr>
            <w:r>
              <w:rPr>
                <w:bCs/>
                <w:sz w:val="24"/>
                <w:highlight w:val="none"/>
              </w:rPr>
              <w:t xml:space="preserve">   </w:t>
            </w:r>
          </w:p>
        </w:tc>
        <w:tc>
          <w:tcPr>
            <w:tcW w:w="3554" w:type="pct"/>
            <w:tcBorders>
              <w:top w:val="nil"/>
              <w:left w:val="nil"/>
              <w:bottom w:val="single" w:color="auto" w:sz="4" w:space="0"/>
              <w:right w:val="single" w:color="auto" w:sz="4" w:space="0"/>
            </w:tcBorders>
            <w:vAlign w:val="center"/>
          </w:tcPr>
          <w:p w14:paraId="1B113AE0">
            <w:pPr>
              <w:jc w:val="center"/>
              <w:rPr>
                <w:bCs/>
                <w:sz w:val="24"/>
                <w:highlight w:val="none"/>
              </w:rPr>
            </w:pPr>
            <w:r>
              <w:rPr>
                <w:rFonts w:hint="eastAsia"/>
                <w:bCs/>
                <w:sz w:val="24"/>
                <w:highlight w:val="none"/>
              </w:rPr>
              <w:t>……</w:t>
            </w:r>
          </w:p>
        </w:tc>
        <w:tc>
          <w:tcPr>
            <w:tcW w:w="944" w:type="pct"/>
            <w:tcBorders>
              <w:top w:val="nil"/>
              <w:left w:val="nil"/>
              <w:bottom w:val="single" w:color="auto" w:sz="4" w:space="0"/>
              <w:right w:val="single" w:color="auto" w:sz="4" w:space="0"/>
            </w:tcBorders>
            <w:vAlign w:val="center"/>
          </w:tcPr>
          <w:p w14:paraId="54E36BCA">
            <w:pPr>
              <w:jc w:val="center"/>
              <w:rPr>
                <w:bCs/>
                <w:sz w:val="24"/>
                <w:highlight w:val="none"/>
              </w:rPr>
            </w:pPr>
          </w:p>
        </w:tc>
      </w:tr>
      <w:tr w14:paraId="3574B239">
        <w:tblPrEx>
          <w:tblCellMar>
            <w:top w:w="0" w:type="dxa"/>
            <w:left w:w="108" w:type="dxa"/>
            <w:bottom w:w="0" w:type="dxa"/>
            <w:right w:w="108" w:type="dxa"/>
          </w:tblCellMar>
        </w:tblPrEx>
        <w:trPr>
          <w:trHeight w:val="1153" w:hRule="exact"/>
          <w:jc w:val="center"/>
        </w:trPr>
        <w:tc>
          <w:tcPr>
            <w:tcW w:w="5000" w:type="pct"/>
            <w:gridSpan w:val="3"/>
            <w:tcBorders>
              <w:top w:val="single" w:color="auto" w:sz="4" w:space="0"/>
              <w:left w:val="single" w:color="auto" w:sz="4" w:space="0"/>
              <w:bottom w:val="single" w:color="auto" w:sz="4" w:space="0"/>
              <w:right w:val="single" w:color="auto" w:sz="4" w:space="0"/>
            </w:tcBorders>
            <w:vAlign w:val="center"/>
          </w:tcPr>
          <w:p w14:paraId="407953E2">
            <w:pPr>
              <w:spacing w:line="276" w:lineRule="auto"/>
              <w:jc w:val="left"/>
              <w:rPr>
                <w:bCs/>
                <w:sz w:val="24"/>
                <w:highlight w:val="none"/>
              </w:rPr>
            </w:pPr>
            <w:r>
              <w:rPr>
                <w:rFonts w:hint="eastAsia"/>
                <w:bCs/>
                <w:sz w:val="24"/>
                <w:highlight w:val="none"/>
              </w:rPr>
              <w:t>备注：报价供应商按照《资格性审查表》编制此表。报价供应商应当根据本单位实际情况和报价文件内容填写，并标注相关证明材料在资格证明文件的位置页码。“密封满足谈判文件要求”可以不填写。报价供应商不得虚报、瞒报、漏报或虚假承诺。</w:t>
            </w:r>
          </w:p>
        </w:tc>
      </w:tr>
    </w:tbl>
    <w:p w14:paraId="24B3F25B">
      <w:pPr>
        <w:ind w:firstLine="420" w:firstLineChars="200"/>
        <w:rPr>
          <w:bCs/>
          <w:highlight w:val="none"/>
          <w:lang w:val="zh-CN"/>
        </w:rPr>
      </w:pPr>
      <w:r>
        <w:rPr>
          <w:bCs/>
          <w:highlight w:val="none"/>
          <w:lang w:val="zh-CN"/>
        </w:rPr>
        <w:br w:type="page"/>
      </w:r>
    </w:p>
    <w:p w14:paraId="7F194BAE">
      <w:pPr>
        <w:pStyle w:val="6"/>
        <w:spacing w:before="120" w:beforeLines="50" w:after="120" w:afterLines="50" w:line="560" w:lineRule="exact"/>
        <w:rPr>
          <w:b w:val="0"/>
          <w:highlight w:val="none"/>
          <w:lang w:val="zh-CN"/>
        </w:rPr>
      </w:pPr>
      <w:bookmarkStart w:id="688" w:name="_Toc19518"/>
      <w:bookmarkStart w:id="689" w:name="_Toc28654"/>
      <w:bookmarkStart w:id="690" w:name="_Toc15491"/>
      <w:bookmarkStart w:id="691" w:name="_Toc12871"/>
      <w:bookmarkStart w:id="692" w:name="_Toc8998"/>
      <w:bookmarkStart w:id="693" w:name="_Toc112768479"/>
      <w:bookmarkStart w:id="694" w:name="_Toc10581"/>
      <w:bookmarkStart w:id="695" w:name="_Toc17703"/>
      <w:bookmarkStart w:id="696" w:name="_Toc17617"/>
      <w:r>
        <w:rPr>
          <w:rFonts w:hint="eastAsia"/>
          <w:b w:val="0"/>
          <w:highlight w:val="none"/>
          <w:lang w:val="zh-CN"/>
        </w:rPr>
        <w:t>附件</w:t>
      </w:r>
      <w:r>
        <w:rPr>
          <w:b w:val="0"/>
          <w:highlight w:val="none"/>
          <w:lang w:val="zh-CN"/>
        </w:rPr>
        <w:t xml:space="preserve">3-2 </w:t>
      </w:r>
      <w:r>
        <w:rPr>
          <w:rFonts w:hint="eastAsia"/>
          <w:b w:val="0"/>
          <w:highlight w:val="none"/>
          <w:lang w:val="zh-CN"/>
        </w:rPr>
        <w:t>工商营业执照、组织机构代码证、税务登记证</w:t>
      </w:r>
      <w:bookmarkEnd w:id="688"/>
      <w:bookmarkEnd w:id="689"/>
      <w:bookmarkEnd w:id="690"/>
      <w:bookmarkEnd w:id="691"/>
      <w:bookmarkEnd w:id="692"/>
    </w:p>
    <w:p w14:paraId="3E06C47C">
      <w:pPr>
        <w:spacing w:before="120" w:beforeLines="50" w:after="120" w:afterLines="50" w:line="560" w:lineRule="exact"/>
        <w:jc w:val="center"/>
        <w:rPr>
          <w:rFonts w:ascii="黑体" w:hAnsi="黑体" w:eastAsia="黑体" w:cs="黑体"/>
          <w:bCs/>
          <w:sz w:val="36"/>
          <w:szCs w:val="36"/>
          <w:highlight w:val="none"/>
          <w:lang w:val="zh-CN"/>
        </w:rPr>
      </w:pPr>
      <w:r>
        <w:rPr>
          <w:rFonts w:hint="eastAsia" w:ascii="黑体" w:hAnsi="黑体" w:eastAsia="黑体" w:cs="黑体"/>
          <w:bCs/>
          <w:sz w:val="36"/>
          <w:szCs w:val="36"/>
          <w:highlight w:val="none"/>
          <w:lang w:val="zh-CN"/>
        </w:rPr>
        <w:t>工商营业执照、组织机构代码证、税务登记证</w:t>
      </w:r>
    </w:p>
    <w:bookmarkEnd w:id="693"/>
    <w:bookmarkEnd w:id="694"/>
    <w:bookmarkEnd w:id="695"/>
    <w:bookmarkEnd w:id="696"/>
    <w:p w14:paraId="31FA7113">
      <w:pPr>
        <w:widowControl/>
        <w:ind w:firstLine="420" w:firstLineChars="200"/>
        <w:jc w:val="left"/>
        <w:rPr>
          <w:rFonts w:ascii="Arial" w:hAnsi="Arial" w:eastAsia="黑体"/>
          <w:bCs/>
          <w:sz w:val="28"/>
          <w:szCs w:val="28"/>
          <w:highlight w:val="none"/>
        </w:rPr>
      </w:pPr>
      <w:r>
        <w:rPr>
          <w:bCs/>
          <w:highlight w:val="none"/>
        </w:rPr>
        <w:br w:type="page"/>
      </w:r>
    </w:p>
    <w:p w14:paraId="790C2D89">
      <w:pPr>
        <w:pStyle w:val="6"/>
        <w:spacing w:before="120" w:beforeLines="50" w:after="120" w:afterLines="50" w:line="560" w:lineRule="exact"/>
        <w:rPr>
          <w:b w:val="0"/>
          <w:highlight w:val="none"/>
        </w:rPr>
      </w:pPr>
      <w:bookmarkStart w:id="697" w:name="_Toc14325"/>
      <w:bookmarkStart w:id="698" w:name="_Toc112768480"/>
      <w:bookmarkStart w:id="699" w:name="_Toc16005"/>
      <w:bookmarkStart w:id="700" w:name="_Toc32660"/>
      <w:bookmarkStart w:id="701" w:name="_Toc4517"/>
      <w:bookmarkStart w:id="702" w:name="_Toc2338"/>
      <w:r>
        <w:rPr>
          <w:rFonts w:hint="eastAsia"/>
          <w:b w:val="0"/>
          <w:highlight w:val="none"/>
        </w:rPr>
        <w:t>附件</w:t>
      </w:r>
      <w:r>
        <w:rPr>
          <w:b w:val="0"/>
          <w:highlight w:val="none"/>
        </w:rPr>
        <w:t xml:space="preserve">3-3 </w:t>
      </w:r>
      <w:r>
        <w:rPr>
          <w:rFonts w:hint="eastAsia"/>
          <w:b w:val="0"/>
          <w:highlight w:val="none"/>
        </w:rPr>
        <w:t>法定代表人资格证明书</w:t>
      </w:r>
      <w:bookmarkEnd w:id="697"/>
      <w:bookmarkEnd w:id="698"/>
      <w:bookmarkEnd w:id="699"/>
      <w:bookmarkEnd w:id="700"/>
      <w:bookmarkEnd w:id="701"/>
      <w:bookmarkEnd w:id="702"/>
    </w:p>
    <w:p w14:paraId="7C605EA1">
      <w:pPr>
        <w:spacing w:before="120" w:beforeLines="50" w:after="120" w:afterLines="50" w:line="560" w:lineRule="exact"/>
        <w:jc w:val="center"/>
        <w:rPr>
          <w:rFonts w:ascii="黑体" w:hAnsi="黑体" w:eastAsia="黑体"/>
          <w:bCs/>
          <w:sz w:val="36"/>
          <w:szCs w:val="36"/>
          <w:highlight w:val="none"/>
        </w:rPr>
      </w:pPr>
      <w:r>
        <w:rPr>
          <w:rFonts w:hint="eastAsia" w:ascii="黑体" w:hAnsi="黑体" w:eastAsia="黑体"/>
          <w:bCs/>
          <w:sz w:val="36"/>
          <w:szCs w:val="36"/>
          <w:highlight w:val="none"/>
        </w:rPr>
        <w:t>法定代表人资格证明书</w:t>
      </w:r>
    </w:p>
    <w:p w14:paraId="30CDD3C6">
      <w:pPr>
        <w:rPr>
          <w:rFonts w:eastAsia="楷体_GB2312"/>
          <w:bCs/>
          <w:sz w:val="28"/>
          <w:szCs w:val="28"/>
          <w:highlight w:val="none"/>
        </w:rPr>
      </w:pPr>
    </w:p>
    <w:p w14:paraId="6DF82D96">
      <w:pPr>
        <w:ind w:firstLine="560" w:firstLineChars="200"/>
        <w:rPr>
          <w:bCs/>
          <w:sz w:val="28"/>
          <w:szCs w:val="28"/>
          <w:highlight w:val="none"/>
        </w:rPr>
      </w:pPr>
      <w:r>
        <w:rPr>
          <w:rFonts w:hint="eastAsia"/>
          <w:bCs/>
          <w:sz w:val="28"/>
          <w:szCs w:val="28"/>
          <w:highlight w:val="none"/>
          <w:u w:val="single"/>
        </w:rPr>
        <w:t>（法定代表人姓名）</w:t>
      </w:r>
      <w:r>
        <w:rPr>
          <w:rFonts w:hint="eastAsia"/>
          <w:bCs/>
          <w:sz w:val="28"/>
          <w:szCs w:val="28"/>
          <w:highlight w:val="none"/>
        </w:rPr>
        <w:t>系</w:t>
      </w:r>
      <w:r>
        <w:rPr>
          <w:rFonts w:hint="eastAsia"/>
          <w:bCs/>
          <w:sz w:val="28"/>
          <w:szCs w:val="28"/>
          <w:highlight w:val="none"/>
          <w:u w:val="single"/>
        </w:rPr>
        <w:t>（报价供应商全称）</w:t>
      </w:r>
      <w:r>
        <w:rPr>
          <w:rFonts w:hint="eastAsia"/>
          <w:bCs/>
          <w:sz w:val="28"/>
          <w:szCs w:val="28"/>
          <w:highlight w:val="none"/>
        </w:rPr>
        <w:t>的法定代表人。</w:t>
      </w:r>
    </w:p>
    <w:p w14:paraId="38794D6E">
      <w:pPr>
        <w:ind w:firstLine="560" w:firstLineChars="200"/>
        <w:rPr>
          <w:bCs/>
          <w:sz w:val="28"/>
          <w:szCs w:val="28"/>
          <w:highlight w:val="none"/>
        </w:rPr>
      </w:pPr>
    </w:p>
    <w:p w14:paraId="5059DAC4">
      <w:pPr>
        <w:ind w:firstLine="560" w:firstLineChars="200"/>
        <w:rPr>
          <w:bCs/>
          <w:sz w:val="28"/>
          <w:szCs w:val="28"/>
          <w:highlight w:val="none"/>
        </w:rPr>
      </w:pPr>
      <w:r>
        <w:rPr>
          <w:rFonts w:hint="eastAsia"/>
          <w:bCs/>
          <w:sz w:val="28"/>
          <w:szCs w:val="28"/>
          <w:highlight w:val="none"/>
        </w:rPr>
        <w:t>特此证明</w:t>
      </w:r>
    </w:p>
    <w:p w14:paraId="59345952">
      <w:pPr>
        <w:ind w:firstLine="560" w:firstLineChars="200"/>
        <w:rPr>
          <w:bCs/>
          <w:sz w:val="28"/>
          <w:szCs w:val="28"/>
          <w:highlight w:val="none"/>
        </w:rPr>
      </w:pPr>
      <w:r>
        <w:rPr>
          <w:bCs/>
          <w:sz w:val="28"/>
          <w:szCs w:val="28"/>
          <w:highlight w:val="none"/>
        </w:rPr>
        <mc:AlternateContent>
          <mc:Choice Requires="wps">
            <w:drawing>
              <wp:anchor distT="0" distB="0" distL="114300" distR="114300" simplePos="0" relativeHeight="251662336" behindDoc="0" locked="0" layoutInCell="1" allowOverlap="1">
                <wp:simplePos x="0" y="0"/>
                <wp:positionH relativeFrom="column">
                  <wp:posOffset>2899410</wp:posOffset>
                </wp:positionH>
                <wp:positionV relativeFrom="paragraph">
                  <wp:posOffset>61595</wp:posOffset>
                </wp:positionV>
                <wp:extent cx="2189480" cy="1125855"/>
                <wp:effectExtent l="0" t="0" r="20320" b="17145"/>
                <wp:wrapNone/>
                <wp:docPr id="3" name="文本框 3"/>
                <wp:cNvGraphicFramePr/>
                <a:graphic xmlns:a="http://schemas.openxmlformats.org/drawingml/2006/main">
                  <a:graphicData uri="http://schemas.microsoft.com/office/word/2010/wordprocessingShape">
                    <wps:wsp>
                      <wps:cNvSpPr txBox="1">
                        <a:spLocks noChangeArrowheads="1"/>
                      </wps:cNvSpPr>
                      <wps:spPr bwMode="auto">
                        <a:xfrm>
                          <a:off x="0" y="0"/>
                          <a:ext cx="2189480" cy="1125855"/>
                        </a:xfrm>
                        <a:prstGeom prst="rect">
                          <a:avLst/>
                        </a:prstGeom>
                        <a:solidFill>
                          <a:srgbClr val="FFFFFF"/>
                        </a:solidFill>
                        <a:ln w="9525">
                          <a:solidFill>
                            <a:srgbClr val="000000"/>
                          </a:solidFill>
                          <a:prstDash val="dash"/>
                          <a:miter lim="800000"/>
                        </a:ln>
                      </wps:spPr>
                      <wps:txbx>
                        <w:txbxContent>
                          <w:p w14:paraId="78F43D2D">
                            <w:pPr>
                              <w:jc w:val="center"/>
                              <w:rPr>
                                <w:rFonts w:ascii="宋体"/>
                              </w:rPr>
                            </w:pPr>
                          </w:p>
                          <w:p w14:paraId="0D8441E6">
                            <w:pPr>
                              <w:jc w:val="center"/>
                              <w:rPr>
                                <w:rFonts w:ascii="宋体" w:hAnsi="宋体"/>
                                <w:sz w:val="28"/>
                                <w:szCs w:val="28"/>
                              </w:rPr>
                            </w:pPr>
                            <w:r>
                              <w:rPr>
                                <w:rFonts w:hint="eastAsia" w:ascii="宋体" w:hAnsi="宋体"/>
                                <w:sz w:val="28"/>
                                <w:szCs w:val="28"/>
                              </w:rPr>
                              <w:t>法定代表人身份证复印件</w:t>
                            </w:r>
                          </w:p>
                          <w:p w14:paraId="673B27AA">
                            <w:pPr>
                              <w:jc w:val="center"/>
                              <w:rPr>
                                <w:sz w:val="28"/>
                                <w:szCs w:val="28"/>
                              </w:rPr>
                            </w:pPr>
                            <w:r>
                              <w:rPr>
                                <w:rFonts w:hint="eastAsia" w:ascii="宋体" w:hAnsi="宋体"/>
                                <w:sz w:val="28"/>
                                <w:szCs w:val="28"/>
                              </w:rPr>
                              <w:t>（反面）</w:t>
                            </w:r>
                          </w:p>
                        </w:txbxContent>
                      </wps:txbx>
                      <wps:bodyPr rot="0" vert="horz" wrap="square" lIns="91440" tIns="45720" rIns="91440" bIns="45720" anchor="ctr" anchorCtr="0" upright="1">
                        <a:noAutofit/>
                      </wps:bodyPr>
                    </wps:wsp>
                  </a:graphicData>
                </a:graphic>
              </wp:anchor>
            </w:drawing>
          </mc:Choice>
          <mc:Fallback>
            <w:pict>
              <v:shape id="_x0000_s1026" o:spid="_x0000_s1026" o:spt="202" type="#_x0000_t202" style="position:absolute;left:0pt;margin-left:228.3pt;margin-top:4.85pt;height:88.65pt;width:172.4pt;z-index:251662336;v-text-anchor:middle;mso-width-relative:page;mso-height-relative:page;" fillcolor="#FFFFFF" filled="t" stroked="t" coordsize="21600,21600" o:gfxdata="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">
                <v:fill on="t" focussize="0,0"/>
                <v:stroke color="#000000" miterlimit="8" joinstyle="miter" dashstyle="dash"/>
                <v:imagedata o:title=""/>
                <o:lock v:ext="edit" aspectratio="f"/>
                <v:textbox>
                  <w:txbxContent>
                    <w:p w14:paraId="78F43D2D">
                      <w:pPr>
                        <w:jc w:val="center"/>
                        <w:rPr>
                          <w:rFonts w:ascii="宋体"/>
                        </w:rPr>
                      </w:pPr>
                    </w:p>
                    <w:p w14:paraId="0D8441E6">
                      <w:pPr>
                        <w:jc w:val="center"/>
                        <w:rPr>
                          <w:rFonts w:ascii="宋体" w:hAnsi="宋体"/>
                          <w:sz w:val="28"/>
                          <w:szCs w:val="28"/>
                        </w:rPr>
                      </w:pPr>
                      <w:r>
                        <w:rPr>
                          <w:rFonts w:hint="eastAsia" w:ascii="宋体" w:hAnsi="宋体"/>
                          <w:sz w:val="28"/>
                          <w:szCs w:val="28"/>
                        </w:rPr>
                        <w:t>法定代表人身份证复印件</w:t>
                      </w:r>
                    </w:p>
                    <w:p w14:paraId="673B27AA">
                      <w:pPr>
                        <w:jc w:val="center"/>
                        <w:rPr>
                          <w:sz w:val="28"/>
                          <w:szCs w:val="28"/>
                        </w:rPr>
                      </w:pPr>
                      <w:r>
                        <w:rPr>
                          <w:rFonts w:hint="eastAsia" w:ascii="宋体" w:hAnsi="宋体"/>
                          <w:sz w:val="28"/>
                          <w:szCs w:val="28"/>
                        </w:rPr>
                        <w:t>（反面）</w:t>
                      </w:r>
                    </w:p>
                  </w:txbxContent>
                </v:textbox>
              </v:shape>
            </w:pict>
          </mc:Fallback>
        </mc:AlternateContent>
      </w:r>
      <w:r>
        <w:rPr>
          <w:bCs/>
          <w:highlight w:val="none"/>
        </w:rPr>
        <mc:AlternateContent>
          <mc:Choice Requires="wps">
            <w:drawing>
              <wp:anchor distT="0" distB="0" distL="114300" distR="114300" simplePos="0" relativeHeight="251659264" behindDoc="0" locked="0" layoutInCell="1" allowOverlap="1">
                <wp:simplePos x="0" y="0"/>
                <wp:positionH relativeFrom="column">
                  <wp:posOffset>349885</wp:posOffset>
                </wp:positionH>
                <wp:positionV relativeFrom="paragraph">
                  <wp:posOffset>71755</wp:posOffset>
                </wp:positionV>
                <wp:extent cx="2240915" cy="1125855"/>
                <wp:effectExtent l="12065" t="13970" r="13970" b="12700"/>
                <wp:wrapNone/>
                <wp:docPr id="4" name="文本框 4"/>
                <wp:cNvGraphicFramePr/>
                <a:graphic xmlns:a="http://schemas.openxmlformats.org/drawingml/2006/main">
                  <a:graphicData uri="http://schemas.microsoft.com/office/word/2010/wordprocessingShape">
                    <wps:wsp>
                      <wps:cNvSpPr txBox="1">
                        <a:spLocks noChangeArrowheads="1"/>
                      </wps:cNvSpPr>
                      <wps:spPr bwMode="auto">
                        <a:xfrm>
                          <a:off x="0" y="0"/>
                          <a:ext cx="2240915" cy="1125855"/>
                        </a:xfrm>
                        <a:prstGeom prst="rect">
                          <a:avLst/>
                        </a:prstGeom>
                        <a:solidFill>
                          <a:srgbClr val="FFFFFF"/>
                        </a:solidFill>
                        <a:ln w="9525">
                          <a:solidFill>
                            <a:srgbClr val="000000"/>
                          </a:solidFill>
                          <a:prstDash val="dash"/>
                          <a:miter lim="800000"/>
                        </a:ln>
                      </wps:spPr>
                      <wps:txbx>
                        <w:txbxContent>
                          <w:p w14:paraId="33676CA3">
                            <w:pPr>
                              <w:jc w:val="center"/>
                              <w:rPr>
                                <w:rFonts w:ascii="宋体"/>
                              </w:rPr>
                            </w:pPr>
                          </w:p>
                          <w:p w14:paraId="04B6245C">
                            <w:pPr>
                              <w:jc w:val="center"/>
                              <w:rPr>
                                <w:rFonts w:ascii="宋体" w:hAnsi="宋体"/>
                                <w:sz w:val="28"/>
                                <w:szCs w:val="28"/>
                              </w:rPr>
                            </w:pPr>
                            <w:r>
                              <w:rPr>
                                <w:rFonts w:hint="eastAsia" w:ascii="宋体" w:hAnsi="宋体"/>
                                <w:sz w:val="28"/>
                                <w:szCs w:val="28"/>
                              </w:rPr>
                              <w:t>法定代表人身份证复印件</w:t>
                            </w:r>
                          </w:p>
                          <w:p w14:paraId="25A6DFA1">
                            <w:pPr>
                              <w:jc w:val="center"/>
                              <w:rPr>
                                <w:rFonts w:ascii="宋体" w:hAnsi="宋体"/>
                                <w:sz w:val="28"/>
                                <w:szCs w:val="28"/>
                              </w:rPr>
                            </w:pPr>
                            <w:r>
                              <w:rPr>
                                <w:rFonts w:hint="eastAsia" w:ascii="宋体" w:hAnsi="宋体"/>
                                <w:sz w:val="28"/>
                                <w:szCs w:val="28"/>
                              </w:rPr>
                              <w:t>（正面）</w:t>
                            </w:r>
                          </w:p>
                        </w:txbxContent>
                      </wps:txbx>
                      <wps:bodyPr rot="0" vert="horz" wrap="square" lIns="91440" tIns="45720" rIns="91440" bIns="45720" anchor="ctr" anchorCtr="0" upright="1">
                        <a:noAutofit/>
                      </wps:bodyPr>
                    </wps:wsp>
                  </a:graphicData>
                </a:graphic>
              </wp:anchor>
            </w:drawing>
          </mc:Choice>
          <mc:Fallback>
            <w:pict>
              <v:shape id="_x0000_s1026" o:spid="_x0000_s1026" o:spt="202" type="#_x0000_t202" style="position:absolute;left:0pt;margin-left:27.55pt;margin-top:5.65pt;height:88.65pt;width:176.45pt;z-index:251659264;v-text-anchor:middle;mso-width-relative:page;mso-height-relative:page;" fillcolor="#FFFFFF" filled="t" stroked="t" coordsize="21600,21600" o:gfxdata="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">
                <v:fill on="t" focussize="0,0"/>
                <v:stroke color="#000000" miterlimit="8" joinstyle="miter" dashstyle="dash"/>
                <v:imagedata o:title=""/>
                <o:lock v:ext="edit" aspectratio="f"/>
                <v:textbox>
                  <w:txbxContent>
                    <w:p w14:paraId="33676CA3">
                      <w:pPr>
                        <w:jc w:val="center"/>
                        <w:rPr>
                          <w:rFonts w:ascii="宋体"/>
                        </w:rPr>
                      </w:pPr>
                    </w:p>
                    <w:p w14:paraId="04B6245C">
                      <w:pPr>
                        <w:jc w:val="center"/>
                        <w:rPr>
                          <w:rFonts w:ascii="宋体" w:hAnsi="宋体"/>
                          <w:sz w:val="28"/>
                          <w:szCs w:val="28"/>
                        </w:rPr>
                      </w:pPr>
                      <w:r>
                        <w:rPr>
                          <w:rFonts w:hint="eastAsia" w:ascii="宋体" w:hAnsi="宋体"/>
                          <w:sz w:val="28"/>
                          <w:szCs w:val="28"/>
                        </w:rPr>
                        <w:t>法定代表人身份证复印件</w:t>
                      </w:r>
                    </w:p>
                    <w:p w14:paraId="25A6DFA1">
                      <w:pPr>
                        <w:jc w:val="center"/>
                        <w:rPr>
                          <w:rFonts w:ascii="宋体" w:hAnsi="宋体"/>
                          <w:sz w:val="28"/>
                          <w:szCs w:val="28"/>
                        </w:rPr>
                      </w:pPr>
                      <w:r>
                        <w:rPr>
                          <w:rFonts w:hint="eastAsia" w:ascii="宋体" w:hAnsi="宋体"/>
                          <w:sz w:val="28"/>
                          <w:szCs w:val="28"/>
                        </w:rPr>
                        <w:t>（正面）</w:t>
                      </w:r>
                    </w:p>
                  </w:txbxContent>
                </v:textbox>
              </v:shape>
            </w:pict>
          </mc:Fallback>
        </mc:AlternateContent>
      </w:r>
    </w:p>
    <w:p w14:paraId="716B3A3C">
      <w:pPr>
        <w:rPr>
          <w:bCs/>
          <w:sz w:val="28"/>
          <w:szCs w:val="28"/>
          <w:highlight w:val="none"/>
        </w:rPr>
      </w:pPr>
    </w:p>
    <w:p w14:paraId="3BF5A9A0">
      <w:pPr>
        <w:rPr>
          <w:bCs/>
          <w:sz w:val="28"/>
          <w:szCs w:val="28"/>
          <w:highlight w:val="none"/>
        </w:rPr>
      </w:pPr>
    </w:p>
    <w:p w14:paraId="2BB9D80F">
      <w:pPr>
        <w:rPr>
          <w:bCs/>
          <w:sz w:val="28"/>
          <w:szCs w:val="28"/>
          <w:highlight w:val="none"/>
        </w:rPr>
      </w:pPr>
    </w:p>
    <w:p w14:paraId="2CEF30E6">
      <w:pPr>
        <w:rPr>
          <w:bCs/>
          <w:sz w:val="28"/>
          <w:szCs w:val="28"/>
          <w:highlight w:val="none"/>
        </w:rPr>
      </w:pPr>
    </w:p>
    <w:p w14:paraId="67C7D7A3">
      <w:pPr>
        <w:rPr>
          <w:bCs/>
          <w:sz w:val="28"/>
          <w:szCs w:val="28"/>
          <w:highlight w:val="none"/>
        </w:rPr>
      </w:pPr>
    </w:p>
    <w:p w14:paraId="59775D01">
      <w:pPr>
        <w:rPr>
          <w:bCs/>
          <w:sz w:val="28"/>
          <w:szCs w:val="28"/>
          <w:highlight w:val="none"/>
        </w:rPr>
      </w:pPr>
    </w:p>
    <w:p w14:paraId="311D7B53">
      <w:pPr>
        <w:ind w:firstLine="560" w:firstLineChars="200"/>
        <w:rPr>
          <w:bCs/>
          <w:sz w:val="28"/>
          <w:szCs w:val="28"/>
          <w:highlight w:val="none"/>
        </w:rPr>
      </w:pPr>
      <w:r>
        <w:rPr>
          <w:rFonts w:hint="eastAsia"/>
          <w:bCs/>
          <w:sz w:val="28"/>
          <w:szCs w:val="28"/>
          <w:highlight w:val="none"/>
        </w:rPr>
        <w:t>身份证关键信息应当清晰可辨，否则视为无效报价。</w:t>
      </w:r>
    </w:p>
    <w:p w14:paraId="374CE4CD">
      <w:pPr>
        <w:ind w:firstLine="4900" w:firstLineChars="1750"/>
        <w:rPr>
          <w:bCs/>
          <w:sz w:val="28"/>
          <w:szCs w:val="28"/>
          <w:highlight w:val="none"/>
        </w:rPr>
      </w:pPr>
    </w:p>
    <w:p w14:paraId="4843E54D">
      <w:pPr>
        <w:ind w:firstLine="4900" w:firstLineChars="1750"/>
        <w:rPr>
          <w:bCs/>
          <w:sz w:val="28"/>
          <w:szCs w:val="28"/>
          <w:highlight w:val="none"/>
        </w:rPr>
      </w:pPr>
    </w:p>
    <w:p w14:paraId="4ACC0284">
      <w:pPr>
        <w:rPr>
          <w:bCs/>
          <w:sz w:val="28"/>
          <w:szCs w:val="28"/>
          <w:highlight w:val="none"/>
        </w:rPr>
      </w:pPr>
    </w:p>
    <w:p w14:paraId="6C758ED7">
      <w:pPr>
        <w:ind w:firstLine="560" w:firstLineChars="200"/>
        <w:jc w:val="center"/>
        <w:rPr>
          <w:bCs/>
          <w:sz w:val="28"/>
          <w:szCs w:val="28"/>
          <w:highlight w:val="none"/>
        </w:rPr>
      </w:pPr>
      <w:r>
        <w:rPr>
          <w:rFonts w:hint="eastAsia"/>
          <w:bCs/>
          <w:sz w:val="28"/>
          <w:szCs w:val="28"/>
          <w:highlight w:val="none"/>
        </w:rPr>
        <w:t xml:space="preserve">                   报价供应商全称：（盖章）</w:t>
      </w:r>
    </w:p>
    <w:p w14:paraId="42D29579">
      <w:pPr>
        <w:jc w:val="left"/>
        <w:rPr>
          <w:bCs/>
          <w:sz w:val="28"/>
          <w:szCs w:val="28"/>
          <w:highlight w:val="none"/>
        </w:rPr>
      </w:pPr>
    </w:p>
    <w:p w14:paraId="481E63D7">
      <w:pPr>
        <w:ind w:firstLine="560" w:firstLineChars="200"/>
        <w:jc w:val="center"/>
        <w:rPr>
          <w:bCs/>
          <w:sz w:val="28"/>
          <w:szCs w:val="28"/>
          <w:highlight w:val="none"/>
        </w:rPr>
      </w:pPr>
      <w:r>
        <w:rPr>
          <w:bCs/>
          <w:sz w:val="28"/>
          <w:szCs w:val="28"/>
          <w:highlight w:val="none"/>
        </w:rPr>
        <w:t xml:space="preserve">                         </w:t>
      </w:r>
      <w:r>
        <w:rPr>
          <w:bCs/>
          <w:sz w:val="28"/>
          <w:szCs w:val="28"/>
          <w:highlight w:val="none"/>
          <w:u w:val="single"/>
        </w:rPr>
        <w:t xml:space="preserve">   </w:t>
      </w:r>
      <w:r>
        <w:rPr>
          <w:rFonts w:hint="eastAsia"/>
          <w:bCs/>
          <w:sz w:val="28"/>
          <w:szCs w:val="28"/>
          <w:highlight w:val="none"/>
        </w:rPr>
        <w:t>年</w:t>
      </w:r>
      <w:r>
        <w:rPr>
          <w:bCs/>
          <w:sz w:val="28"/>
          <w:szCs w:val="28"/>
          <w:highlight w:val="none"/>
          <w:u w:val="single"/>
        </w:rPr>
        <w:t xml:space="preserve">   </w:t>
      </w:r>
      <w:r>
        <w:rPr>
          <w:rFonts w:hint="eastAsia"/>
          <w:bCs/>
          <w:sz w:val="28"/>
          <w:szCs w:val="28"/>
          <w:highlight w:val="none"/>
        </w:rPr>
        <w:t>月</w:t>
      </w:r>
      <w:r>
        <w:rPr>
          <w:bCs/>
          <w:sz w:val="28"/>
          <w:szCs w:val="28"/>
          <w:highlight w:val="none"/>
          <w:u w:val="single"/>
        </w:rPr>
        <w:t xml:space="preserve">   </w:t>
      </w:r>
      <w:r>
        <w:rPr>
          <w:rFonts w:hint="eastAsia"/>
          <w:bCs/>
          <w:sz w:val="28"/>
          <w:szCs w:val="28"/>
          <w:highlight w:val="none"/>
        </w:rPr>
        <w:t>日</w:t>
      </w:r>
    </w:p>
    <w:p w14:paraId="4E8667ED">
      <w:pPr>
        <w:widowControl/>
        <w:ind w:firstLine="420" w:firstLineChars="200"/>
        <w:jc w:val="left"/>
        <w:rPr>
          <w:rFonts w:ascii="Arial" w:hAnsi="Arial" w:eastAsia="黑体"/>
          <w:bCs/>
          <w:sz w:val="28"/>
          <w:szCs w:val="28"/>
          <w:highlight w:val="none"/>
          <w:lang w:val="zh-CN"/>
        </w:rPr>
      </w:pPr>
      <w:r>
        <w:rPr>
          <w:bCs/>
          <w:highlight w:val="none"/>
          <w:lang w:val="zh-CN"/>
        </w:rPr>
        <w:br w:type="page"/>
      </w:r>
    </w:p>
    <w:p w14:paraId="0DBA6208">
      <w:pPr>
        <w:pStyle w:val="6"/>
        <w:spacing w:before="120" w:beforeLines="50" w:after="120" w:afterLines="50" w:line="560" w:lineRule="exact"/>
        <w:rPr>
          <w:b w:val="0"/>
          <w:highlight w:val="none"/>
        </w:rPr>
      </w:pPr>
      <w:bookmarkStart w:id="703" w:name="_Toc28922"/>
      <w:bookmarkStart w:id="704" w:name="_Toc31612"/>
      <w:bookmarkStart w:id="705" w:name="_Toc112768481"/>
      <w:bookmarkStart w:id="706" w:name="_Toc13950"/>
      <w:bookmarkStart w:id="707" w:name="_Toc1880"/>
      <w:bookmarkStart w:id="708" w:name="_Toc28875"/>
      <w:r>
        <w:rPr>
          <w:rFonts w:hint="eastAsia"/>
          <w:b w:val="0"/>
          <w:highlight w:val="none"/>
        </w:rPr>
        <w:t>附件</w:t>
      </w:r>
      <w:r>
        <w:rPr>
          <w:b w:val="0"/>
          <w:highlight w:val="none"/>
        </w:rPr>
        <w:t xml:space="preserve">3-4 </w:t>
      </w:r>
      <w:r>
        <w:rPr>
          <w:rFonts w:hint="eastAsia"/>
          <w:b w:val="0"/>
          <w:highlight w:val="none"/>
        </w:rPr>
        <w:t>法定代表人授权书</w:t>
      </w:r>
      <w:bookmarkEnd w:id="703"/>
      <w:bookmarkEnd w:id="704"/>
      <w:bookmarkEnd w:id="705"/>
      <w:bookmarkEnd w:id="706"/>
      <w:bookmarkEnd w:id="707"/>
      <w:bookmarkEnd w:id="708"/>
    </w:p>
    <w:p w14:paraId="7EEE5270">
      <w:pPr>
        <w:spacing w:before="120" w:beforeLines="50" w:after="120" w:afterLines="50" w:line="560" w:lineRule="exact"/>
        <w:jc w:val="center"/>
        <w:rPr>
          <w:bCs/>
          <w:sz w:val="28"/>
          <w:szCs w:val="28"/>
          <w:highlight w:val="none"/>
        </w:rPr>
      </w:pPr>
      <w:r>
        <w:rPr>
          <w:rFonts w:hint="eastAsia" w:ascii="黑体" w:hAnsi="黑体" w:eastAsia="黑体" w:cs="黑体"/>
          <w:bCs/>
          <w:sz w:val="36"/>
          <w:szCs w:val="36"/>
          <w:highlight w:val="none"/>
        </w:rPr>
        <w:t>法定代表人授权书</w:t>
      </w:r>
    </w:p>
    <w:p w14:paraId="1773EAC9">
      <w:pPr>
        <w:spacing w:line="560" w:lineRule="exact"/>
        <w:rPr>
          <w:rFonts w:ascii="宋体" w:hAnsi="宋体" w:cs="宋体"/>
          <w:bCs/>
          <w:sz w:val="28"/>
          <w:szCs w:val="28"/>
          <w:highlight w:val="none"/>
        </w:rPr>
      </w:pPr>
      <w:r>
        <w:rPr>
          <w:rFonts w:hint="eastAsia" w:ascii="宋体" w:hAnsi="宋体" w:cs="宋体"/>
          <w:bCs/>
          <w:sz w:val="28"/>
          <w:szCs w:val="28"/>
          <w:highlight w:val="none"/>
          <w:u w:val="single"/>
        </w:rPr>
        <w:t>（采购机构名称）</w:t>
      </w:r>
      <w:r>
        <w:rPr>
          <w:rFonts w:hint="eastAsia" w:ascii="宋体" w:hAnsi="宋体" w:cs="宋体"/>
          <w:bCs/>
          <w:sz w:val="28"/>
          <w:szCs w:val="28"/>
          <w:highlight w:val="none"/>
        </w:rPr>
        <w:t>：</w:t>
      </w:r>
    </w:p>
    <w:p w14:paraId="5ECC14AC">
      <w:pPr>
        <w:spacing w:line="560" w:lineRule="exact"/>
        <w:ind w:firstLine="560" w:firstLineChars="200"/>
        <w:rPr>
          <w:rFonts w:ascii="宋体" w:hAnsi="宋体" w:cs="宋体"/>
          <w:bCs/>
          <w:sz w:val="28"/>
          <w:szCs w:val="28"/>
          <w:highlight w:val="none"/>
        </w:rPr>
      </w:pPr>
      <w:r>
        <w:rPr>
          <w:rFonts w:hint="eastAsia" w:ascii="宋体" w:hAnsi="宋体" w:cs="宋体"/>
          <w:bCs/>
          <w:sz w:val="28"/>
          <w:szCs w:val="28"/>
          <w:highlight w:val="none"/>
          <w:u w:val="single"/>
        </w:rPr>
        <w:t>（报价供应商全称）</w:t>
      </w:r>
      <w:r>
        <w:rPr>
          <w:rFonts w:hint="eastAsia" w:ascii="宋体" w:hAnsi="宋体" w:cs="宋体"/>
          <w:bCs/>
          <w:sz w:val="28"/>
          <w:szCs w:val="28"/>
          <w:highlight w:val="none"/>
        </w:rPr>
        <w:t>法定代表人</w:t>
      </w:r>
      <w:r>
        <w:rPr>
          <w:rFonts w:hint="eastAsia" w:ascii="宋体" w:hAnsi="宋体" w:cs="宋体"/>
          <w:bCs/>
          <w:sz w:val="28"/>
          <w:szCs w:val="28"/>
          <w:highlight w:val="none"/>
          <w:u w:val="single"/>
        </w:rPr>
        <w:t>（姓名、职务）</w:t>
      </w:r>
      <w:r>
        <w:rPr>
          <w:rFonts w:hint="eastAsia" w:ascii="宋体" w:hAnsi="宋体" w:cs="宋体"/>
          <w:bCs/>
          <w:sz w:val="28"/>
          <w:szCs w:val="28"/>
          <w:highlight w:val="none"/>
        </w:rPr>
        <w:t>授权</w:t>
      </w:r>
      <w:r>
        <w:rPr>
          <w:rFonts w:hint="eastAsia" w:ascii="宋体" w:hAnsi="宋体" w:cs="宋体"/>
          <w:bCs/>
          <w:sz w:val="28"/>
          <w:szCs w:val="28"/>
          <w:highlight w:val="none"/>
          <w:u w:val="single"/>
        </w:rPr>
        <w:t>（授权代表姓名、职务）</w:t>
      </w:r>
      <w:r>
        <w:rPr>
          <w:rFonts w:hint="eastAsia" w:ascii="宋体" w:hAnsi="宋体" w:cs="宋体"/>
          <w:bCs/>
          <w:sz w:val="28"/>
          <w:szCs w:val="28"/>
          <w:highlight w:val="none"/>
        </w:rPr>
        <w:t>为全权代表，参加贵部组织的项目编号为</w:t>
      </w:r>
      <w:r>
        <w:rPr>
          <w:rFonts w:hint="eastAsia" w:ascii="宋体" w:hAnsi="宋体" w:cs="宋体"/>
          <w:bCs/>
          <w:sz w:val="28"/>
          <w:szCs w:val="28"/>
          <w:highlight w:val="none"/>
          <w:u w:val="single"/>
        </w:rPr>
        <w:t>（项目编号）</w:t>
      </w:r>
      <w:r>
        <w:rPr>
          <w:rFonts w:hint="eastAsia" w:ascii="宋体" w:hAnsi="宋体" w:cs="宋体"/>
          <w:bCs/>
          <w:sz w:val="28"/>
          <w:szCs w:val="28"/>
          <w:highlight w:val="none"/>
        </w:rPr>
        <w:t>的</w:t>
      </w:r>
      <w:r>
        <w:rPr>
          <w:rFonts w:hint="eastAsia" w:ascii="宋体" w:hAnsi="宋体" w:cs="宋体"/>
          <w:bCs/>
          <w:sz w:val="28"/>
          <w:szCs w:val="28"/>
          <w:highlight w:val="none"/>
          <w:u w:val="single"/>
        </w:rPr>
        <w:t>（项目名称）</w:t>
      </w:r>
      <w:r>
        <w:rPr>
          <w:rFonts w:hint="eastAsia" w:ascii="宋体" w:hAnsi="宋体" w:cs="宋体"/>
          <w:bCs/>
          <w:sz w:val="28"/>
          <w:szCs w:val="28"/>
          <w:highlight w:val="none"/>
        </w:rPr>
        <w:t>采购活动，全权处理采购活动中的一切事宜。</w:t>
      </w:r>
    </w:p>
    <w:p w14:paraId="7873E413">
      <w:pPr>
        <w:spacing w:line="560" w:lineRule="exact"/>
        <w:ind w:firstLine="600"/>
        <w:rPr>
          <w:rFonts w:ascii="宋体" w:hAnsi="宋体" w:cs="宋体"/>
          <w:bCs/>
          <w:sz w:val="28"/>
          <w:szCs w:val="28"/>
          <w:highlight w:val="none"/>
        </w:rPr>
      </w:pPr>
    </w:p>
    <w:p w14:paraId="5585238E">
      <w:pPr>
        <w:spacing w:line="560" w:lineRule="exact"/>
        <w:ind w:left="-2" w:leftChars="-1" w:firstLine="4200" w:firstLineChars="1500"/>
        <w:rPr>
          <w:rFonts w:ascii="宋体" w:hAnsi="宋体" w:cs="宋体"/>
          <w:bCs/>
          <w:sz w:val="28"/>
          <w:szCs w:val="28"/>
          <w:highlight w:val="none"/>
        </w:rPr>
      </w:pPr>
      <w:r>
        <w:rPr>
          <w:rFonts w:hint="eastAsia" w:ascii="宋体" w:hAnsi="宋体" w:cs="宋体"/>
          <w:bCs/>
          <w:sz w:val="28"/>
          <w:szCs w:val="28"/>
          <w:highlight w:val="none"/>
        </w:rPr>
        <w:t xml:space="preserve">报价供应商全称：（盖章）                            </w:t>
      </w:r>
    </w:p>
    <w:p w14:paraId="3E4E548F">
      <w:pPr>
        <w:spacing w:line="560" w:lineRule="exact"/>
        <w:ind w:firstLine="4200" w:firstLineChars="1500"/>
        <w:rPr>
          <w:rFonts w:ascii="宋体" w:hAnsi="宋体" w:cs="宋体"/>
          <w:bCs/>
          <w:sz w:val="28"/>
          <w:szCs w:val="28"/>
          <w:highlight w:val="none"/>
        </w:rPr>
      </w:pPr>
      <w:r>
        <w:rPr>
          <w:rFonts w:hint="eastAsia" w:ascii="宋体" w:hAnsi="宋体" w:cs="宋体"/>
          <w:bCs/>
          <w:sz w:val="28"/>
          <w:szCs w:val="28"/>
          <w:highlight w:val="none"/>
        </w:rPr>
        <w:t>法定代表人：（签字）</w:t>
      </w:r>
    </w:p>
    <w:p w14:paraId="1819F5C3">
      <w:pPr>
        <w:spacing w:line="560" w:lineRule="exact"/>
        <w:ind w:left="2967" w:leftChars="1413" w:firstLine="560" w:firstLineChars="200"/>
        <w:rPr>
          <w:rFonts w:ascii="宋体" w:hAnsi="宋体" w:cs="宋体"/>
          <w:bCs/>
          <w:sz w:val="28"/>
          <w:szCs w:val="28"/>
          <w:highlight w:val="none"/>
        </w:rPr>
      </w:pPr>
      <w:r>
        <w:rPr>
          <w:rFonts w:hint="eastAsia" w:ascii="宋体" w:hAnsi="宋体" w:cs="宋体"/>
          <w:bCs/>
          <w:sz w:val="28"/>
          <w:szCs w:val="28"/>
          <w:highlight w:val="none"/>
        </w:rPr>
        <w:t xml:space="preserve">              </w:t>
      </w:r>
      <w:r>
        <w:rPr>
          <w:rFonts w:ascii="宋体" w:hAnsi="宋体" w:cs="宋体"/>
          <w:bCs/>
          <w:sz w:val="28"/>
          <w:szCs w:val="28"/>
          <w:highlight w:val="none"/>
        </w:rPr>
        <w:t xml:space="preserve">       </w:t>
      </w:r>
      <w:r>
        <w:rPr>
          <w:rFonts w:hint="eastAsia" w:ascii="宋体" w:hAnsi="宋体" w:cs="宋体"/>
          <w:bCs/>
          <w:sz w:val="28"/>
          <w:szCs w:val="28"/>
          <w:highlight w:val="none"/>
        </w:rPr>
        <w:t xml:space="preserve"> </w:t>
      </w:r>
      <w:r>
        <w:rPr>
          <w:rFonts w:hint="eastAsia" w:ascii="宋体" w:hAnsi="宋体" w:cs="宋体"/>
          <w:bCs/>
          <w:sz w:val="28"/>
          <w:szCs w:val="28"/>
          <w:highlight w:val="none"/>
          <w:u w:val="single"/>
        </w:rPr>
        <w:t xml:space="preserve">   </w:t>
      </w:r>
      <w:r>
        <w:rPr>
          <w:rFonts w:hint="eastAsia" w:ascii="宋体" w:hAnsi="宋体" w:cs="宋体"/>
          <w:bCs/>
          <w:sz w:val="28"/>
          <w:szCs w:val="28"/>
          <w:highlight w:val="none"/>
        </w:rPr>
        <w:t>年</w:t>
      </w:r>
      <w:r>
        <w:rPr>
          <w:rFonts w:hint="eastAsia" w:ascii="宋体" w:hAnsi="宋体" w:cs="宋体"/>
          <w:bCs/>
          <w:sz w:val="28"/>
          <w:szCs w:val="28"/>
          <w:highlight w:val="none"/>
          <w:u w:val="single"/>
        </w:rPr>
        <w:t xml:space="preserve">   </w:t>
      </w:r>
      <w:r>
        <w:rPr>
          <w:rFonts w:hint="eastAsia" w:ascii="宋体" w:hAnsi="宋体" w:cs="宋体"/>
          <w:bCs/>
          <w:sz w:val="28"/>
          <w:szCs w:val="28"/>
          <w:highlight w:val="none"/>
        </w:rPr>
        <w:t>月</w:t>
      </w:r>
      <w:r>
        <w:rPr>
          <w:rFonts w:hint="eastAsia" w:ascii="宋体" w:hAnsi="宋体" w:cs="宋体"/>
          <w:bCs/>
          <w:sz w:val="28"/>
          <w:szCs w:val="28"/>
          <w:highlight w:val="none"/>
          <w:u w:val="single"/>
        </w:rPr>
        <w:t xml:space="preserve">   </w:t>
      </w:r>
      <w:r>
        <w:rPr>
          <w:rFonts w:hint="eastAsia" w:ascii="宋体" w:hAnsi="宋体" w:cs="宋体"/>
          <w:bCs/>
          <w:sz w:val="28"/>
          <w:szCs w:val="28"/>
          <w:highlight w:val="none"/>
        </w:rPr>
        <w:t>日</w:t>
      </w:r>
    </w:p>
    <w:p w14:paraId="7B343C5F">
      <w:pPr>
        <w:spacing w:line="560" w:lineRule="exact"/>
        <w:ind w:firstLine="560" w:firstLineChars="200"/>
        <w:rPr>
          <w:rFonts w:ascii="宋体" w:hAnsi="宋体" w:cs="宋体"/>
          <w:bCs/>
          <w:sz w:val="28"/>
          <w:szCs w:val="28"/>
          <w:highlight w:val="none"/>
        </w:rPr>
      </w:pPr>
      <w:r>
        <w:rPr>
          <w:rFonts w:hint="eastAsia" w:ascii="宋体" w:hAnsi="宋体" w:cs="宋体"/>
          <w:bCs/>
          <w:sz w:val="28"/>
          <w:szCs w:val="28"/>
          <w:highlight w:val="none"/>
        </w:rPr>
        <w:t>附：</w:t>
      </w:r>
    </w:p>
    <w:p w14:paraId="12F41A7A">
      <w:pPr>
        <w:spacing w:line="560" w:lineRule="exact"/>
        <w:ind w:firstLine="560" w:firstLineChars="200"/>
        <w:rPr>
          <w:rFonts w:ascii="宋体" w:hAnsi="宋体" w:cs="宋体"/>
          <w:bCs/>
          <w:sz w:val="28"/>
          <w:szCs w:val="28"/>
          <w:highlight w:val="none"/>
        </w:rPr>
      </w:pPr>
      <w:r>
        <w:rPr>
          <w:rFonts w:hint="eastAsia" w:ascii="宋体" w:hAnsi="宋体" w:cs="宋体"/>
          <w:bCs/>
          <w:sz w:val="28"/>
          <w:szCs w:val="28"/>
          <w:highlight w:val="none"/>
        </w:rPr>
        <w:t>授权代表姓名：</w:t>
      </w:r>
      <w:r>
        <w:rPr>
          <w:rFonts w:hint="eastAsia" w:ascii="宋体" w:hAnsi="宋体" w:cs="宋体"/>
          <w:bCs/>
          <w:sz w:val="28"/>
          <w:szCs w:val="28"/>
          <w:highlight w:val="none"/>
          <w:u w:val="single"/>
        </w:rPr>
        <w:t xml:space="preserve">         </w:t>
      </w:r>
      <w:r>
        <w:rPr>
          <w:rFonts w:hint="eastAsia" w:ascii="宋体" w:hAnsi="宋体" w:cs="宋体"/>
          <w:bCs/>
          <w:sz w:val="28"/>
          <w:szCs w:val="28"/>
          <w:highlight w:val="none"/>
        </w:rPr>
        <w:t xml:space="preserve">     </w:t>
      </w:r>
    </w:p>
    <w:p w14:paraId="3814C1F3">
      <w:pPr>
        <w:spacing w:line="560" w:lineRule="exact"/>
        <w:ind w:firstLine="560" w:firstLineChars="200"/>
        <w:rPr>
          <w:rFonts w:ascii="宋体" w:hAnsi="宋体" w:cs="宋体"/>
          <w:bCs/>
          <w:sz w:val="28"/>
          <w:szCs w:val="28"/>
          <w:highlight w:val="none"/>
        </w:rPr>
      </w:pPr>
      <w:r>
        <w:rPr>
          <w:rFonts w:hint="eastAsia" w:ascii="宋体" w:hAnsi="宋体" w:cs="宋体"/>
          <w:bCs/>
          <w:sz w:val="28"/>
          <w:szCs w:val="28"/>
          <w:highlight w:val="none"/>
        </w:rPr>
        <w:t>职    务：</w:t>
      </w:r>
      <w:r>
        <w:rPr>
          <w:rFonts w:hint="eastAsia" w:ascii="宋体" w:hAnsi="宋体" w:cs="宋体"/>
          <w:bCs/>
          <w:sz w:val="28"/>
          <w:szCs w:val="28"/>
          <w:highlight w:val="none"/>
          <w:u w:val="single"/>
        </w:rPr>
        <w:t xml:space="preserve">             </w:t>
      </w:r>
      <w:r>
        <w:rPr>
          <w:rFonts w:hint="eastAsia" w:ascii="宋体" w:hAnsi="宋体" w:cs="宋体"/>
          <w:bCs/>
          <w:sz w:val="28"/>
          <w:szCs w:val="28"/>
          <w:highlight w:val="none"/>
        </w:rPr>
        <w:t xml:space="preserve">         移动电话：</w:t>
      </w:r>
      <w:r>
        <w:rPr>
          <w:rFonts w:hint="eastAsia" w:ascii="宋体" w:hAnsi="宋体" w:cs="宋体"/>
          <w:bCs/>
          <w:sz w:val="28"/>
          <w:szCs w:val="28"/>
          <w:highlight w:val="none"/>
          <w:u w:val="single"/>
        </w:rPr>
        <w:t xml:space="preserve">           </w:t>
      </w:r>
    </w:p>
    <w:p w14:paraId="0B3D863E">
      <w:pPr>
        <w:spacing w:line="560" w:lineRule="exact"/>
        <w:ind w:firstLine="560" w:firstLineChars="200"/>
        <w:rPr>
          <w:rFonts w:ascii="宋体" w:hAnsi="宋体" w:cs="宋体"/>
          <w:bCs/>
          <w:sz w:val="28"/>
          <w:szCs w:val="28"/>
          <w:highlight w:val="none"/>
        </w:rPr>
      </w:pPr>
      <w:r>
        <w:rPr>
          <w:rFonts w:hint="eastAsia" w:ascii="宋体" w:hAnsi="宋体" w:cs="宋体"/>
          <w:bCs/>
          <w:sz w:val="28"/>
          <w:szCs w:val="28"/>
          <w:highlight w:val="none"/>
        </w:rPr>
        <w:t>传    真：</w:t>
      </w:r>
      <w:r>
        <w:rPr>
          <w:rFonts w:hint="eastAsia" w:ascii="宋体" w:hAnsi="宋体" w:cs="宋体"/>
          <w:bCs/>
          <w:sz w:val="28"/>
          <w:szCs w:val="28"/>
          <w:highlight w:val="none"/>
          <w:u w:val="single"/>
        </w:rPr>
        <w:t xml:space="preserve">             </w:t>
      </w:r>
      <w:r>
        <w:rPr>
          <w:rFonts w:hint="eastAsia" w:ascii="宋体" w:hAnsi="宋体" w:cs="宋体"/>
          <w:bCs/>
          <w:sz w:val="28"/>
          <w:szCs w:val="28"/>
          <w:highlight w:val="none"/>
        </w:rPr>
        <w:t xml:space="preserve">         邮    编：</w:t>
      </w:r>
      <w:r>
        <w:rPr>
          <w:rFonts w:hint="eastAsia" w:ascii="宋体" w:hAnsi="宋体" w:cs="宋体"/>
          <w:bCs/>
          <w:sz w:val="28"/>
          <w:szCs w:val="28"/>
          <w:highlight w:val="none"/>
          <w:u w:val="single"/>
        </w:rPr>
        <w:t xml:space="preserve">           </w:t>
      </w:r>
    </w:p>
    <w:p w14:paraId="7D070D4D">
      <w:pPr>
        <w:spacing w:line="560" w:lineRule="exact"/>
        <w:ind w:firstLine="560" w:firstLineChars="200"/>
        <w:rPr>
          <w:rFonts w:ascii="宋体" w:hAnsi="宋体" w:cs="宋体"/>
          <w:bCs/>
          <w:sz w:val="28"/>
          <w:szCs w:val="28"/>
          <w:highlight w:val="none"/>
        </w:rPr>
      </w:pPr>
      <w:r>
        <w:rPr>
          <w:rFonts w:hint="eastAsia" w:ascii="宋体" w:hAnsi="宋体" w:cs="宋体"/>
          <w:bCs/>
          <w:sz w:val="28"/>
          <w:szCs w:val="28"/>
          <w:highlight w:val="none"/>
        </w:rPr>
        <w:t>通讯地址：</w:t>
      </w:r>
      <w:r>
        <w:rPr>
          <w:rFonts w:hint="eastAsia" w:ascii="宋体" w:hAnsi="宋体" w:cs="宋体"/>
          <w:bCs/>
          <w:sz w:val="28"/>
          <w:szCs w:val="28"/>
          <w:highlight w:val="none"/>
          <w:u w:val="single"/>
        </w:rPr>
        <w:t xml:space="preserve">             </w:t>
      </w:r>
    </w:p>
    <w:p w14:paraId="0F6A10A1">
      <w:pPr>
        <w:spacing w:line="560" w:lineRule="exact"/>
        <w:ind w:firstLine="560" w:firstLineChars="200"/>
        <w:rPr>
          <w:rFonts w:ascii="宋体" w:hAnsi="宋体" w:cs="宋体"/>
          <w:bCs/>
          <w:sz w:val="28"/>
          <w:szCs w:val="28"/>
          <w:highlight w:val="none"/>
        </w:rPr>
      </w:pPr>
      <w:r>
        <w:rPr>
          <w:rFonts w:hint="eastAsia" w:ascii="宋体" w:hAnsi="宋体" w:cs="宋体"/>
          <w:bCs/>
          <w:sz w:val="28"/>
          <w:szCs w:val="28"/>
          <w:highlight w:val="none"/>
        </w:rPr>
        <mc:AlternateContent>
          <mc:Choice Requires="wps">
            <w:drawing>
              <wp:anchor distT="0" distB="0" distL="114300" distR="114300" simplePos="0" relativeHeight="251664384" behindDoc="0" locked="0" layoutInCell="1" allowOverlap="1">
                <wp:simplePos x="0" y="0"/>
                <wp:positionH relativeFrom="column">
                  <wp:posOffset>2879090</wp:posOffset>
                </wp:positionH>
                <wp:positionV relativeFrom="paragraph">
                  <wp:posOffset>115570</wp:posOffset>
                </wp:positionV>
                <wp:extent cx="2240915" cy="1081405"/>
                <wp:effectExtent l="0" t="0" r="26035" b="23495"/>
                <wp:wrapNone/>
                <wp:docPr id="2" name="文本框 2"/>
                <wp:cNvGraphicFramePr/>
                <a:graphic xmlns:a="http://schemas.openxmlformats.org/drawingml/2006/main">
                  <a:graphicData uri="http://schemas.microsoft.com/office/word/2010/wordprocessingShape">
                    <wps:wsp>
                      <wps:cNvSpPr txBox="1">
                        <a:spLocks noChangeArrowheads="1"/>
                      </wps:cNvSpPr>
                      <wps:spPr bwMode="auto">
                        <a:xfrm>
                          <a:off x="0" y="0"/>
                          <a:ext cx="2240915" cy="1081405"/>
                        </a:xfrm>
                        <a:prstGeom prst="rect">
                          <a:avLst/>
                        </a:prstGeom>
                        <a:solidFill>
                          <a:srgbClr val="FFFFFF"/>
                        </a:solidFill>
                        <a:ln w="9525">
                          <a:solidFill>
                            <a:srgbClr val="000000"/>
                          </a:solidFill>
                          <a:prstDash val="dash"/>
                          <a:miter lim="800000"/>
                        </a:ln>
                      </wps:spPr>
                      <wps:txbx>
                        <w:txbxContent>
                          <w:p w14:paraId="6E506A38">
                            <w:pPr>
                              <w:jc w:val="center"/>
                              <w:rPr>
                                <w:rFonts w:ascii="宋体"/>
                              </w:rPr>
                            </w:pPr>
                          </w:p>
                          <w:p w14:paraId="1B1C06EC">
                            <w:pPr>
                              <w:jc w:val="center"/>
                              <w:rPr>
                                <w:rFonts w:ascii="宋体" w:hAnsi="宋体"/>
                                <w:sz w:val="28"/>
                                <w:szCs w:val="28"/>
                              </w:rPr>
                            </w:pPr>
                            <w:r>
                              <w:rPr>
                                <w:rFonts w:hint="eastAsia" w:ascii="宋体" w:hAnsi="宋体"/>
                                <w:sz w:val="28"/>
                                <w:szCs w:val="28"/>
                              </w:rPr>
                              <w:t>授权代表身份证复印件</w:t>
                            </w:r>
                          </w:p>
                          <w:p w14:paraId="7E939AE2">
                            <w:pPr>
                              <w:jc w:val="center"/>
                              <w:rPr>
                                <w:sz w:val="28"/>
                                <w:szCs w:val="28"/>
                              </w:rPr>
                            </w:pPr>
                            <w:r>
                              <w:rPr>
                                <w:rFonts w:hint="eastAsia" w:ascii="宋体" w:hAnsi="宋体"/>
                                <w:sz w:val="28"/>
                                <w:szCs w:val="28"/>
                              </w:rPr>
                              <w:t>（反面）</w:t>
                            </w:r>
                          </w:p>
                        </w:txbxContent>
                      </wps:txbx>
                      <wps:bodyPr rot="0" vert="horz" wrap="square" lIns="91440" tIns="45720" rIns="91440" bIns="45720" anchor="ctr" anchorCtr="0" upright="1">
                        <a:noAutofit/>
                      </wps:bodyPr>
                    </wps:wsp>
                  </a:graphicData>
                </a:graphic>
              </wp:anchor>
            </w:drawing>
          </mc:Choice>
          <mc:Fallback>
            <w:pict>
              <v:shape id="_x0000_s1026" o:spid="_x0000_s1026" o:spt="202" type="#_x0000_t202" style="position:absolute;left:0pt;margin-left:226.7pt;margin-top:9.1pt;height:85.15pt;width:176.45pt;z-index:251664384;v-text-anchor:middle;mso-width-relative:page;mso-height-relative:page;" fillcolor="#FFFFFF" filled="t" stroked="t" coordsize="21600,21600" o:gfxdata="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">
                <v:fill on="t" focussize="0,0"/>
                <v:stroke color="#000000" miterlimit="8" joinstyle="miter" dashstyle="dash"/>
                <v:imagedata o:title=""/>
                <o:lock v:ext="edit" aspectratio="f"/>
                <v:textbox>
                  <w:txbxContent>
                    <w:p w14:paraId="6E506A38">
                      <w:pPr>
                        <w:jc w:val="center"/>
                        <w:rPr>
                          <w:rFonts w:ascii="宋体"/>
                        </w:rPr>
                      </w:pPr>
                    </w:p>
                    <w:p w14:paraId="1B1C06EC">
                      <w:pPr>
                        <w:jc w:val="center"/>
                        <w:rPr>
                          <w:rFonts w:ascii="宋体" w:hAnsi="宋体"/>
                          <w:sz w:val="28"/>
                          <w:szCs w:val="28"/>
                        </w:rPr>
                      </w:pPr>
                      <w:r>
                        <w:rPr>
                          <w:rFonts w:hint="eastAsia" w:ascii="宋体" w:hAnsi="宋体"/>
                          <w:sz w:val="28"/>
                          <w:szCs w:val="28"/>
                        </w:rPr>
                        <w:t>授权代表身份证复印件</w:t>
                      </w:r>
                    </w:p>
                    <w:p w14:paraId="7E939AE2">
                      <w:pPr>
                        <w:jc w:val="center"/>
                        <w:rPr>
                          <w:sz w:val="28"/>
                          <w:szCs w:val="28"/>
                        </w:rPr>
                      </w:pPr>
                      <w:r>
                        <w:rPr>
                          <w:rFonts w:hint="eastAsia" w:ascii="宋体" w:hAnsi="宋体"/>
                          <w:sz w:val="28"/>
                          <w:szCs w:val="28"/>
                        </w:rPr>
                        <w:t>（反面）</w:t>
                      </w:r>
                    </w:p>
                  </w:txbxContent>
                </v:textbox>
              </v:shape>
            </w:pict>
          </mc:Fallback>
        </mc:AlternateContent>
      </w:r>
      <w:r>
        <w:rPr>
          <w:rFonts w:hint="eastAsia" w:ascii="宋体" w:hAnsi="宋体" w:cs="宋体"/>
          <w:bCs/>
          <w:sz w:val="28"/>
          <w:szCs w:val="28"/>
          <w:highlight w:val="none"/>
        </w:rPr>
        <mc:AlternateContent>
          <mc:Choice Requires="wps">
            <w:drawing>
              <wp:anchor distT="0" distB="0" distL="114300" distR="114300" simplePos="0" relativeHeight="251663360" behindDoc="0" locked="0" layoutInCell="1" allowOverlap="1">
                <wp:simplePos x="0" y="0"/>
                <wp:positionH relativeFrom="column">
                  <wp:posOffset>392430</wp:posOffset>
                </wp:positionH>
                <wp:positionV relativeFrom="paragraph">
                  <wp:posOffset>116205</wp:posOffset>
                </wp:positionV>
                <wp:extent cx="2240915" cy="1081405"/>
                <wp:effectExtent l="0" t="0" r="26035" b="23495"/>
                <wp:wrapNone/>
                <wp:docPr id="1" name="文本框 1"/>
                <wp:cNvGraphicFramePr/>
                <a:graphic xmlns:a="http://schemas.openxmlformats.org/drawingml/2006/main">
                  <a:graphicData uri="http://schemas.microsoft.com/office/word/2010/wordprocessingShape">
                    <wps:wsp>
                      <wps:cNvSpPr txBox="1">
                        <a:spLocks noChangeArrowheads="1"/>
                      </wps:cNvSpPr>
                      <wps:spPr bwMode="auto">
                        <a:xfrm>
                          <a:off x="0" y="0"/>
                          <a:ext cx="2240915" cy="1081405"/>
                        </a:xfrm>
                        <a:prstGeom prst="rect">
                          <a:avLst/>
                        </a:prstGeom>
                        <a:solidFill>
                          <a:srgbClr val="FFFFFF"/>
                        </a:solidFill>
                        <a:ln w="9525">
                          <a:solidFill>
                            <a:srgbClr val="000000"/>
                          </a:solidFill>
                          <a:prstDash val="dash"/>
                          <a:miter lim="800000"/>
                        </a:ln>
                      </wps:spPr>
                      <wps:txbx>
                        <w:txbxContent>
                          <w:p w14:paraId="4FCB714D">
                            <w:pPr>
                              <w:jc w:val="center"/>
                              <w:rPr>
                                <w:rFonts w:ascii="宋体"/>
                              </w:rPr>
                            </w:pPr>
                          </w:p>
                          <w:p w14:paraId="584DC950">
                            <w:pPr>
                              <w:jc w:val="center"/>
                              <w:rPr>
                                <w:rFonts w:ascii="宋体" w:hAnsi="宋体"/>
                                <w:sz w:val="28"/>
                                <w:szCs w:val="28"/>
                              </w:rPr>
                            </w:pPr>
                            <w:r>
                              <w:rPr>
                                <w:rFonts w:hint="eastAsia" w:ascii="宋体" w:hAnsi="宋体"/>
                                <w:sz w:val="28"/>
                                <w:szCs w:val="28"/>
                              </w:rPr>
                              <w:t>授权代表身份证复印件</w:t>
                            </w:r>
                          </w:p>
                          <w:p w14:paraId="1484E41F">
                            <w:pPr>
                              <w:jc w:val="center"/>
                              <w:rPr>
                                <w:sz w:val="28"/>
                                <w:szCs w:val="28"/>
                              </w:rPr>
                            </w:pPr>
                            <w:r>
                              <w:rPr>
                                <w:rFonts w:hint="eastAsia" w:ascii="宋体" w:hAnsi="宋体"/>
                                <w:sz w:val="28"/>
                                <w:szCs w:val="28"/>
                              </w:rPr>
                              <w:t>（正面）</w:t>
                            </w:r>
                          </w:p>
                        </w:txbxContent>
                      </wps:txbx>
                      <wps:bodyPr rot="0" vert="horz" wrap="square" lIns="91440" tIns="45720" rIns="91440" bIns="45720" anchor="ctr" anchorCtr="0" upright="1">
                        <a:noAutofit/>
                      </wps:bodyPr>
                    </wps:wsp>
                  </a:graphicData>
                </a:graphic>
              </wp:anchor>
            </w:drawing>
          </mc:Choice>
          <mc:Fallback>
            <w:pict>
              <v:shape id="_x0000_s1026" o:spid="_x0000_s1026" o:spt="202" type="#_x0000_t202" style="position:absolute;left:0pt;margin-left:30.9pt;margin-top:9.15pt;height:85.15pt;width:176.45pt;z-index:251663360;v-text-anchor:middle;mso-width-relative:page;mso-height-relative:page;" fillcolor="#FFFFFF" filled="t" stroked="t" coordsize="21600,21600" o:gfxdata="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">
                <v:fill on="t" focussize="0,0"/>
                <v:stroke color="#000000" miterlimit="8" joinstyle="miter" dashstyle="dash"/>
                <v:imagedata o:title=""/>
                <o:lock v:ext="edit" aspectratio="f"/>
                <v:textbox>
                  <w:txbxContent>
                    <w:p w14:paraId="4FCB714D">
                      <w:pPr>
                        <w:jc w:val="center"/>
                        <w:rPr>
                          <w:rFonts w:ascii="宋体"/>
                        </w:rPr>
                      </w:pPr>
                    </w:p>
                    <w:p w14:paraId="584DC950">
                      <w:pPr>
                        <w:jc w:val="center"/>
                        <w:rPr>
                          <w:rFonts w:ascii="宋体" w:hAnsi="宋体"/>
                          <w:sz w:val="28"/>
                          <w:szCs w:val="28"/>
                        </w:rPr>
                      </w:pPr>
                      <w:r>
                        <w:rPr>
                          <w:rFonts w:hint="eastAsia" w:ascii="宋体" w:hAnsi="宋体"/>
                          <w:sz w:val="28"/>
                          <w:szCs w:val="28"/>
                        </w:rPr>
                        <w:t>授权代表身份证复印件</w:t>
                      </w:r>
                    </w:p>
                    <w:p w14:paraId="1484E41F">
                      <w:pPr>
                        <w:jc w:val="center"/>
                        <w:rPr>
                          <w:sz w:val="28"/>
                          <w:szCs w:val="28"/>
                        </w:rPr>
                      </w:pPr>
                      <w:r>
                        <w:rPr>
                          <w:rFonts w:hint="eastAsia" w:ascii="宋体" w:hAnsi="宋体"/>
                          <w:sz w:val="28"/>
                          <w:szCs w:val="28"/>
                        </w:rPr>
                        <w:t>（正面）</w:t>
                      </w:r>
                    </w:p>
                  </w:txbxContent>
                </v:textbox>
              </v:shape>
            </w:pict>
          </mc:Fallback>
        </mc:AlternateContent>
      </w:r>
    </w:p>
    <w:p w14:paraId="71556D15">
      <w:pPr>
        <w:spacing w:line="560" w:lineRule="exact"/>
        <w:ind w:firstLine="573"/>
        <w:rPr>
          <w:rFonts w:ascii="宋体" w:hAnsi="宋体" w:cs="宋体"/>
          <w:bCs/>
          <w:sz w:val="28"/>
          <w:szCs w:val="28"/>
          <w:highlight w:val="none"/>
        </w:rPr>
      </w:pPr>
    </w:p>
    <w:p w14:paraId="1AC0F220">
      <w:pPr>
        <w:spacing w:line="560" w:lineRule="exact"/>
        <w:ind w:firstLine="573"/>
        <w:rPr>
          <w:rFonts w:ascii="宋体" w:hAnsi="宋体" w:cs="宋体"/>
          <w:bCs/>
          <w:sz w:val="28"/>
          <w:szCs w:val="28"/>
          <w:highlight w:val="none"/>
        </w:rPr>
      </w:pPr>
    </w:p>
    <w:p w14:paraId="7296A607">
      <w:pPr>
        <w:ind w:firstLine="420" w:firstLineChars="150"/>
        <w:rPr>
          <w:rFonts w:ascii="宋体" w:hAnsi="宋体" w:cs="宋体"/>
          <w:bCs/>
          <w:sz w:val="28"/>
          <w:szCs w:val="28"/>
          <w:highlight w:val="none"/>
        </w:rPr>
      </w:pPr>
    </w:p>
    <w:p w14:paraId="19BEE392">
      <w:pPr>
        <w:ind w:firstLine="560" w:firstLineChars="200"/>
        <w:rPr>
          <w:rFonts w:ascii="宋体" w:hAnsi="宋体" w:cs="宋体"/>
          <w:bCs/>
          <w:sz w:val="28"/>
          <w:szCs w:val="28"/>
          <w:highlight w:val="none"/>
        </w:rPr>
      </w:pPr>
      <w:r>
        <w:rPr>
          <w:rFonts w:hint="eastAsia" w:ascii="宋体" w:hAnsi="宋体" w:cs="宋体"/>
          <w:bCs/>
          <w:sz w:val="28"/>
          <w:szCs w:val="28"/>
          <w:highlight w:val="none"/>
        </w:rPr>
        <w:t>身份证关键信息应当清晰可辨，否则</w:t>
      </w:r>
      <w:r>
        <w:rPr>
          <w:rFonts w:hint="eastAsia"/>
          <w:bCs/>
          <w:sz w:val="28"/>
          <w:szCs w:val="28"/>
          <w:highlight w:val="none"/>
        </w:rPr>
        <w:t>视为无效</w:t>
      </w:r>
      <w:r>
        <w:rPr>
          <w:rFonts w:hint="eastAsia" w:ascii="宋体" w:hAnsi="宋体" w:cs="宋体"/>
          <w:bCs/>
          <w:sz w:val="28"/>
          <w:szCs w:val="28"/>
          <w:highlight w:val="none"/>
        </w:rPr>
        <w:t>报价。</w:t>
      </w:r>
    </w:p>
    <w:p w14:paraId="134A8197">
      <w:pPr>
        <w:spacing w:line="560" w:lineRule="exact"/>
        <w:ind w:firstLine="560" w:firstLineChars="200"/>
        <w:rPr>
          <w:rFonts w:ascii="黑体" w:hAnsi="黑体" w:eastAsia="黑体" w:cs="宋体"/>
          <w:bCs/>
          <w:sz w:val="28"/>
          <w:szCs w:val="28"/>
          <w:highlight w:val="none"/>
        </w:rPr>
      </w:pPr>
      <w:r>
        <w:rPr>
          <w:rFonts w:hint="eastAsia" w:ascii="黑体" w:hAnsi="黑体" w:eastAsia="黑体" w:cs="宋体"/>
          <w:bCs/>
          <w:sz w:val="28"/>
          <w:szCs w:val="28"/>
          <w:highlight w:val="none"/>
        </w:rPr>
        <w:t>注：授权书后应当附授权代表在投标前</w:t>
      </w:r>
      <w:r>
        <w:rPr>
          <w:rFonts w:ascii="黑体" w:hAnsi="黑体" w:eastAsia="黑体" w:cs="宋体"/>
          <w:bCs/>
          <w:sz w:val="28"/>
          <w:szCs w:val="28"/>
          <w:highlight w:val="none"/>
        </w:rPr>
        <w:t>4个月内</w:t>
      </w:r>
      <w:r>
        <w:rPr>
          <w:rFonts w:hint="eastAsia" w:ascii="黑体" w:hAnsi="黑体" w:eastAsia="黑体" w:cs="宋体"/>
          <w:bCs/>
          <w:sz w:val="28"/>
          <w:szCs w:val="28"/>
          <w:highlight w:val="none"/>
        </w:rPr>
        <w:t>（不含投标当月）</w:t>
      </w:r>
      <w:r>
        <w:rPr>
          <w:rFonts w:ascii="黑体" w:hAnsi="黑体" w:eastAsia="黑体" w:cs="宋体"/>
          <w:bCs/>
          <w:sz w:val="28"/>
          <w:szCs w:val="28"/>
          <w:highlight w:val="none"/>
        </w:rPr>
        <w:t>连续3个月由</w:t>
      </w:r>
      <w:r>
        <w:rPr>
          <w:rFonts w:hint="eastAsia" w:ascii="黑体" w:hAnsi="黑体" w:eastAsia="黑体" w:cs="宋体"/>
          <w:bCs/>
          <w:sz w:val="28"/>
          <w:szCs w:val="28"/>
          <w:highlight w:val="none"/>
          <w:lang w:eastAsia="zh-CN"/>
        </w:rPr>
        <w:t>报价</w:t>
      </w:r>
      <w:r>
        <w:rPr>
          <w:rFonts w:hint="eastAsia" w:ascii="黑体" w:hAnsi="黑体" w:eastAsia="黑体" w:cs="宋体"/>
          <w:bCs/>
          <w:sz w:val="28"/>
          <w:szCs w:val="28"/>
          <w:highlight w:val="none"/>
        </w:rPr>
        <w:t>供应商缴纳社保证明材料</w:t>
      </w:r>
      <w:r>
        <w:rPr>
          <w:rFonts w:hint="eastAsia" w:ascii="黑体" w:hAnsi="黑体" w:eastAsia="黑体" w:cs="宋体"/>
          <w:bCs/>
          <w:sz w:val="28"/>
          <w:szCs w:val="28"/>
          <w:highlight w:val="none"/>
          <w:lang w:eastAsia="zh-CN"/>
        </w:rPr>
        <w:t>，代缴社保证明材料不予认可</w:t>
      </w:r>
      <w:r>
        <w:rPr>
          <w:rFonts w:hint="eastAsia" w:ascii="黑体" w:hAnsi="黑体" w:eastAsia="黑体" w:cs="宋体"/>
          <w:bCs/>
          <w:sz w:val="28"/>
          <w:szCs w:val="28"/>
          <w:highlight w:val="none"/>
        </w:rPr>
        <w:t>。</w:t>
      </w:r>
    </w:p>
    <w:p w14:paraId="51AFECDF">
      <w:pPr>
        <w:jc w:val="center"/>
        <w:rPr>
          <w:bCs/>
          <w:highlight w:val="none"/>
          <w:lang w:val="zh-CN"/>
        </w:rPr>
      </w:pPr>
    </w:p>
    <w:p w14:paraId="29D5682C">
      <w:pPr>
        <w:jc w:val="center"/>
        <w:rPr>
          <w:bCs/>
          <w:highlight w:val="none"/>
          <w:lang w:val="zh-CN"/>
        </w:rPr>
      </w:pPr>
    </w:p>
    <w:p w14:paraId="1AABECB0">
      <w:pPr>
        <w:pStyle w:val="6"/>
        <w:spacing w:before="120" w:beforeLines="50" w:after="120" w:afterLines="50" w:line="560" w:lineRule="exact"/>
        <w:rPr>
          <w:b w:val="0"/>
          <w:highlight w:val="none"/>
        </w:rPr>
      </w:pPr>
      <w:bookmarkStart w:id="709" w:name="_Toc18413"/>
      <w:bookmarkStart w:id="710" w:name="_Toc12516"/>
      <w:bookmarkStart w:id="711" w:name="_Toc29739"/>
      <w:bookmarkStart w:id="712" w:name="_Toc28052"/>
      <w:bookmarkStart w:id="713" w:name="_Toc507"/>
      <w:bookmarkStart w:id="714" w:name="_Toc112768482"/>
      <w:r>
        <w:rPr>
          <w:rFonts w:hint="eastAsia"/>
          <w:b w:val="0"/>
          <w:highlight w:val="none"/>
        </w:rPr>
        <w:t>附件</w:t>
      </w:r>
      <w:r>
        <w:rPr>
          <w:b w:val="0"/>
          <w:highlight w:val="none"/>
        </w:rPr>
        <w:t xml:space="preserve">3-5 </w:t>
      </w:r>
      <w:r>
        <w:rPr>
          <w:rFonts w:hint="eastAsia"/>
          <w:b w:val="0"/>
          <w:highlight w:val="none"/>
        </w:rPr>
        <w:t>供应商承诺声明</w:t>
      </w:r>
      <w:bookmarkEnd w:id="709"/>
      <w:bookmarkEnd w:id="710"/>
      <w:bookmarkEnd w:id="711"/>
      <w:bookmarkEnd w:id="712"/>
      <w:bookmarkEnd w:id="713"/>
      <w:bookmarkEnd w:id="714"/>
    </w:p>
    <w:p w14:paraId="6F0F40B0">
      <w:pPr>
        <w:autoSpaceDE w:val="0"/>
        <w:autoSpaceDN w:val="0"/>
        <w:adjustRightInd w:val="0"/>
        <w:spacing w:before="120" w:beforeLines="50" w:after="120" w:afterLines="50" w:line="560" w:lineRule="exact"/>
        <w:jc w:val="center"/>
        <w:rPr>
          <w:rFonts w:ascii="黑体" w:hAnsi="黑体" w:eastAsia="黑体" w:cs="黑体"/>
          <w:bCs/>
          <w:sz w:val="36"/>
          <w:szCs w:val="36"/>
          <w:highlight w:val="none"/>
          <w:lang w:val="zh-CN"/>
        </w:rPr>
      </w:pPr>
      <w:r>
        <w:rPr>
          <w:rFonts w:hint="eastAsia" w:ascii="黑体" w:hAnsi="黑体" w:eastAsia="黑体" w:cs="黑体"/>
          <w:bCs/>
          <w:sz w:val="36"/>
          <w:szCs w:val="36"/>
          <w:highlight w:val="none"/>
          <w:lang w:val="zh-CN"/>
        </w:rPr>
        <w:t>供应商承诺声明</w:t>
      </w:r>
    </w:p>
    <w:p w14:paraId="2004A89B">
      <w:pPr>
        <w:tabs>
          <w:tab w:val="left" w:pos="771"/>
        </w:tabs>
        <w:spacing w:line="560" w:lineRule="exact"/>
        <w:rPr>
          <w:rFonts w:ascii="宋体" w:hAnsi="宋体"/>
          <w:bCs/>
          <w:sz w:val="28"/>
          <w:szCs w:val="28"/>
          <w:highlight w:val="none"/>
        </w:rPr>
      </w:pPr>
      <w:r>
        <w:rPr>
          <w:rFonts w:ascii="宋体" w:hAnsi="宋体"/>
          <w:bCs/>
          <w:sz w:val="28"/>
          <w:szCs w:val="28"/>
          <w:highlight w:val="none"/>
          <w:u w:val="single"/>
        </w:rPr>
        <w:t>（采购机构名称）</w:t>
      </w:r>
      <w:r>
        <w:rPr>
          <w:rFonts w:ascii="宋体" w:hAnsi="宋体"/>
          <w:bCs/>
          <w:sz w:val="28"/>
          <w:szCs w:val="28"/>
          <w:highlight w:val="none"/>
        </w:rPr>
        <w:t>：</w:t>
      </w:r>
    </w:p>
    <w:p w14:paraId="1C87F990">
      <w:pPr>
        <w:tabs>
          <w:tab w:val="left" w:pos="771"/>
        </w:tabs>
        <w:spacing w:line="560" w:lineRule="exact"/>
        <w:ind w:firstLine="560" w:firstLineChars="200"/>
        <w:rPr>
          <w:rFonts w:ascii="宋体" w:hAnsi="宋体"/>
          <w:bCs/>
          <w:sz w:val="28"/>
          <w:szCs w:val="28"/>
          <w:highlight w:val="none"/>
        </w:rPr>
      </w:pPr>
      <w:r>
        <w:rPr>
          <w:rFonts w:hint="eastAsia" w:ascii="宋体" w:hAnsi="宋体"/>
          <w:bCs/>
          <w:sz w:val="28"/>
          <w:szCs w:val="28"/>
          <w:highlight w:val="none"/>
        </w:rPr>
        <w:t>我单位自愿参加</w:t>
      </w:r>
      <w:r>
        <w:rPr>
          <w:rFonts w:hint="eastAsia"/>
          <w:bCs/>
          <w:sz w:val="28"/>
          <w:szCs w:val="28"/>
          <w:highlight w:val="none"/>
        </w:rPr>
        <w:t>贵部组织的（</w:t>
      </w:r>
      <w:r>
        <w:rPr>
          <w:rFonts w:hint="eastAsia"/>
          <w:bCs/>
          <w:sz w:val="28"/>
          <w:szCs w:val="28"/>
          <w:highlight w:val="none"/>
          <w:u w:val="single"/>
        </w:rPr>
        <w:t>项目名称</w:t>
      </w:r>
      <w:r>
        <w:rPr>
          <w:rFonts w:hint="eastAsia"/>
          <w:bCs/>
          <w:sz w:val="28"/>
          <w:szCs w:val="28"/>
          <w:highlight w:val="none"/>
        </w:rPr>
        <w:t>）、（</w:t>
      </w:r>
      <w:r>
        <w:rPr>
          <w:rFonts w:hint="eastAsia"/>
          <w:bCs/>
          <w:sz w:val="28"/>
          <w:szCs w:val="28"/>
          <w:highlight w:val="none"/>
          <w:u w:val="single"/>
        </w:rPr>
        <w:t>项目编号</w:t>
      </w:r>
      <w:r>
        <w:rPr>
          <w:rFonts w:hint="eastAsia"/>
          <w:bCs/>
          <w:sz w:val="28"/>
          <w:szCs w:val="28"/>
          <w:highlight w:val="none"/>
        </w:rPr>
        <w:t>）采购活动</w:t>
      </w:r>
      <w:r>
        <w:rPr>
          <w:rFonts w:hint="eastAsia" w:ascii="宋体" w:hAnsi="宋体"/>
          <w:bCs/>
          <w:sz w:val="28"/>
          <w:szCs w:val="28"/>
          <w:highlight w:val="none"/>
        </w:rPr>
        <w:t>，承诺声明如下：</w:t>
      </w:r>
    </w:p>
    <w:p w14:paraId="0127CE24">
      <w:pPr>
        <w:tabs>
          <w:tab w:val="left" w:pos="771"/>
        </w:tabs>
        <w:spacing w:line="560" w:lineRule="exact"/>
        <w:ind w:firstLine="560" w:firstLineChars="200"/>
        <w:rPr>
          <w:rFonts w:ascii="黑体" w:hAnsi="黑体" w:eastAsia="黑体"/>
          <w:bCs/>
          <w:sz w:val="28"/>
          <w:szCs w:val="28"/>
          <w:highlight w:val="none"/>
        </w:rPr>
      </w:pPr>
      <w:r>
        <w:rPr>
          <w:rFonts w:hint="eastAsia" w:ascii="黑体" w:hAnsi="黑体" w:eastAsia="黑体"/>
          <w:bCs/>
          <w:sz w:val="28"/>
          <w:szCs w:val="28"/>
          <w:highlight w:val="none"/>
        </w:rPr>
        <w:t>一、供应商诚信承诺</w:t>
      </w:r>
    </w:p>
    <w:p w14:paraId="58F3FC34">
      <w:pPr>
        <w:tabs>
          <w:tab w:val="left" w:pos="771"/>
        </w:tabs>
        <w:spacing w:line="560" w:lineRule="exact"/>
        <w:ind w:firstLine="560" w:firstLineChars="200"/>
        <w:rPr>
          <w:rFonts w:ascii="宋体" w:hAnsi="宋体"/>
          <w:bCs/>
          <w:sz w:val="28"/>
          <w:szCs w:val="28"/>
          <w:highlight w:val="none"/>
        </w:rPr>
      </w:pPr>
      <w:r>
        <w:rPr>
          <w:rFonts w:ascii="宋体" w:hAnsi="宋体"/>
          <w:bCs/>
          <w:sz w:val="28"/>
          <w:szCs w:val="28"/>
          <w:highlight w:val="none"/>
        </w:rPr>
        <w:t>1.如实编写</w:t>
      </w:r>
      <w:r>
        <w:rPr>
          <w:rFonts w:hint="eastAsia" w:ascii="宋体" w:hAnsi="宋体"/>
          <w:bCs/>
          <w:sz w:val="28"/>
          <w:szCs w:val="28"/>
          <w:highlight w:val="none"/>
        </w:rPr>
        <w:t>报价文件，对报价文件中提供的文件材料、图片影像、财务数据、资产情况及相应证明等材料的真实性、完整性、准确性，承担相应的法律责任。</w:t>
      </w:r>
    </w:p>
    <w:p w14:paraId="66AE32E5">
      <w:pPr>
        <w:widowControl/>
        <w:spacing w:line="560" w:lineRule="exact"/>
        <w:ind w:firstLine="560" w:firstLineChars="200"/>
        <w:rPr>
          <w:rFonts w:ascii="宋体" w:hAnsi="宋体"/>
          <w:bCs/>
          <w:sz w:val="28"/>
          <w:szCs w:val="28"/>
          <w:highlight w:val="none"/>
          <w:lang w:val="zh-CN"/>
        </w:rPr>
      </w:pPr>
      <w:r>
        <w:rPr>
          <w:rFonts w:ascii="宋体" w:hAnsi="宋体"/>
          <w:bCs/>
          <w:sz w:val="28"/>
          <w:szCs w:val="28"/>
          <w:highlight w:val="none"/>
        </w:rPr>
        <w:t>2.</w:t>
      </w:r>
      <w:r>
        <w:rPr>
          <w:rFonts w:hint="eastAsia" w:ascii="宋体" w:hAnsi="宋体"/>
          <w:bCs/>
          <w:sz w:val="28"/>
          <w:szCs w:val="28"/>
          <w:highlight w:val="none"/>
        </w:rPr>
        <w:t>因单位转制、兼并、股改等特殊情况，无法提供原始材料、财务数据、资产情况等，造成单位信息难以确认时，自愿放弃参加军队采购活动。</w:t>
      </w:r>
    </w:p>
    <w:p w14:paraId="62C131B5">
      <w:pPr>
        <w:tabs>
          <w:tab w:val="left" w:pos="771"/>
        </w:tabs>
        <w:spacing w:line="560" w:lineRule="exact"/>
        <w:ind w:firstLine="560" w:firstLineChars="200"/>
        <w:rPr>
          <w:rFonts w:ascii="宋体" w:hAnsi="宋体"/>
          <w:bCs/>
          <w:sz w:val="28"/>
          <w:szCs w:val="28"/>
          <w:highlight w:val="none"/>
        </w:rPr>
      </w:pPr>
      <w:r>
        <w:rPr>
          <w:rFonts w:ascii="宋体" w:hAnsi="宋体"/>
          <w:bCs/>
          <w:sz w:val="28"/>
          <w:szCs w:val="28"/>
          <w:highlight w:val="none"/>
          <w:lang w:val="zh-CN"/>
        </w:rPr>
        <w:t>3.</w:t>
      </w:r>
      <w:r>
        <w:rPr>
          <w:rFonts w:hint="eastAsia" w:ascii="宋体" w:hAnsi="宋体"/>
          <w:bCs/>
          <w:sz w:val="28"/>
          <w:szCs w:val="28"/>
          <w:highlight w:val="none"/>
        </w:rPr>
        <w:t>在提供报价文件或现场核查时，如存在伪造文件材料，提供虚假图片影像、业绩合同、材料数据等，造假或篡改相关数据及资产等情况，自愿放弃成交资格并无条件接受相应处罚。</w:t>
      </w:r>
    </w:p>
    <w:p w14:paraId="340C3001">
      <w:pPr>
        <w:tabs>
          <w:tab w:val="left" w:pos="771"/>
        </w:tabs>
        <w:spacing w:line="560" w:lineRule="exact"/>
        <w:ind w:firstLine="560" w:firstLineChars="200"/>
        <w:rPr>
          <w:rFonts w:ascii="宋体" w:hAnsi="宋体"/>
          <w:bCs/>
          <w:sz w:val="28"/>
          <w:szCs w:val="28"/>
          <w:highlight w:val="none"/>
        </w:rPr>
      </w:pPr>
      <w:r>
        <w:rPr>
          <w:rFonts w:hint="eastAsia" w:ascii="黑体" w:hAnsi="黑体" w:eastAsia="黑体"/>
          <w:bCs/>
          <w:sz w:val="28"/>
          <w:szCs w:val="28"/>
          <w:highlight w:val="none"/>
        </w:rPr>
        <w:t>二、保密承诺</w:t>
      </w:r>
    </w:p>
    <w:p w14:paraId="149E8307">
      <w:pPr>
        <w:autoSpaceDE w:val="0"/>
        <w:autoSpaceDN w:val="0"/>
        <w:adjustRightInd w:val="0"/>
        <w:spacing w:line="560" w:lineRule="exact"/>
        <w:ind w:firstLine="560" w:firstLineChars="200"/>
        <w:rPr>
          <w:rFonts w:ascii="宋体" w:hAnsi="宋体"/>
          <w:bCs/>
          <w:sz w:val="28"/>
          <w:szCs w:val="28"/>
          <w:highlight w:val="none"/>
          <w:lang w:val="zh-CN"/>
        </w:rPr>
      </w:pPr>
      <w:r>
        <w:rPr>
          <w:rFonts w:ascii="宋体" w:hAnsi="宋体"/>
          <w:bCs/>
          <w:sz w:val="28"/>
          <w:szCs w:val="28"/>
          <w:highlight w:val="none"/>
          <w:lang w:val="zh-CN"/>
        </w:rPr>
        <w:t>1.严格遵守国家和军队的保密法律法规，履行保密义务。</w:t>
      </w:r>
    </w:p>
    <w:p w14:paraId="45741F3B">
      <w:pPr>
        <w:autoSpaceDE w:val="0"/>
        <w:autoSpaceDN w:val="0"/>
        <w:adjustRightInd w:val="0"/>
        <w:spacing w:line="560" w:lineRule="exact"/>
        <w:ind w:firstLine="560" w:firstLineChars="200"/>
        <w:rPr>
          <w:rFonts w:ascii="宋体" w:hAnsi="宋体"/>
          <w:bCs/>
          <w:sz w:val="28"/>
          <w:szCs w:val="28"/>
          <w:highlight w:val="none"/>
          <w:lang w:val="zh-CN"/>
        </w:rPr>
      </w:pPr>
      <w:r>
        <w:rPr>
          <w:rFonts w:ascii="宋体" w:hAnsi="宋体"/>
          <w:bCs/>
          <w:sz w:val="28"/>
          <w:szCs w:val="28"/>
          <w:highlight w:val="none"/>
          <w:lang w:val="zh-CN"/>
        </w:rPr>
        <w:t>2.不以任何方式泄露或传播本次采购项目相关信息。</w:t>
      </w:r>
    </w:p>
    <w:p w14:paraId="5ECB65BE">
      <w:pPr>
        <w:autoSpaceDE w:val="0"/>
        <w:autoSpaceDN w:val="0"/>
        <w:adjustRightInd w:val="0"/>
        <w:spacing w:line="560" w:lineRule="exact"/>
        <w:ind w:firstLine="560" w:firstLineChars="200"/>
        <w:rPr>
          <w:rFonts w:ascii="宋体" w:hAnsi="宋体"/>
          <w:bCs/>
          <w:sz w:val="28"/>
          <w:szCs w:val="28"/>
          <w:highlight w:val="none"/>
          <w:lang w:val="zh-CN"/>
        </w:rPr>
      </w:pPr>
      <w:r>
        <w:rPr>
          <w:rFonts w:ascii="宋体" w:hAnsi="宋体"/>
          <w:bCs/>
          <w:sz w:val="28"/>
          <w:szCs w:val="28"/>
          <w:highlight w:val="none"/>
          <w:lang w:val="zh-CN"/>
        </w:rPr>
        <w:t>3.不违规记录、存储、复制本次采购项目相关信息。</w:t>
      </w:r>
    </w:p>
    <w:p w14:paraId="2ED78CB9">
      <w:pPr>
        <w:autoSpaceDE w:val="0"/>
        <w:autoSpaceDN w:val="0"/>
        <w:adjustRightInd w:val="0"/>
        <w:spacing w:line="560" w:lineRule="exact"/>
        <w:ind w:firstLine="560" w:firstLineChars="200"/>
        <w:rPr>
          <w:rFonts w:ascii="宋体" w:hAnsi="宋体"/>
          <w:bCs/>
          <w:sz w:val="28"/>
          <w:szCs w:val="28"/>
          <w:highlight w:val="none"/>
          <w:lang w:val="zh-CN"/>
        </w:rPr>
      </w:pPr>
      <w:r>
        <w:rPr>
          <w:rFonts w:ascii="宋体" w:hAnsi="宋体"/>
          <w:bCs/>
          <w:sz w:val="28"/>
          <w:szCs w:val="28"/>
          <w:highlight w:val="none"/>
          <w:lang w:val="zh-CN"/>
        </w:rPr>
        <w:t>4.谈判文件以及相关技术文件专室放置、专盘存储、专人管理。</w:t>
      </w:r>
    </w:p>
    <w:p w14:paraId="49579729">
      <w:pPr>
        <w:tabs>
          <w:tab w:val="left" w:pos="771"/>
        </w:tabs>
        <w:spacing w:line="560" w:lineRule="exact"/>
        <w:ind w:firstLine="560" w:firstLineChars="200"/>
        <w:rPr>
          <w:rFonts w:ascii="宋体" w:hAnsi="宋体"/>
          <w:bCs/>
          <w:sz w:val="28"/>
          <w:szCs w:val="28"/>
          <w:highlight w:val="none"/>
        </w:rPr>
      </w:pPr>
      <w:r>
        <w:rPr>
          <w:rFonts w:ascii="宋体" w:hAnsi="宋体"/>
          <w:bCs/>
          <w:sz w:val="28"/>
          <w:szCs w:val="28"/>
          <w:highlight w:val="none"/>
          <w:lang w:val="zh-CN"/>
        </w:rPr>
        <w:t>5.未经采购机构审查批准，不得擅自在互联网、通讯媒体等发表涉及此次采购项目相关</w:t>
      </w:r>
      <w:r>
        <w:rPr>
          <w:rFonts w:hint="eastAsia" w:ascii="宋体" w:hAnsi="宋体"/>
          <w:bCs/>
          <w:sz w:val="28"/>
          <w:szCs w:val="28"/>
          <w:highlight w:val="none"/>
          <w:lang w:val="zh-CN"/>
        </w:rPr>
        <w:t>信息</w:t>
      </w:r>
      <w:r>
        <w:rPr>
          <w:rFonts w:ascii="宋体" w:hAnsi="宋体"/>
          <w:bCs/>
          <w:sz w:val="28"/>
          <w:szCs w:val="28"/>
          <w:highlight w:val="none"/>
          <w:lang w:val="zh-CN"/>
        </w:rPr>
        <w:t>。</w:t>
      </w:r>
    </w:p>
    <w:p w14:paraId="43ECD501">
      <w:pPr>
        <w:tabs>
          <w:tab w:val="left" w:pos="771"/>
        </w:tabs>
        <w:spacing w:line="560" w:lineRule="exact"/>
        <w:ind w:firstLine="560" w:firstLineChars="200"/>
        <w:rPr>
          <w:rFonts w:ascii="宋体" w:hAnsi="宋体"/>
          <w:bCs/>
          <w:sz w:val="28"/>
          <w:szCs w:val="28"/>
          <w:highlight w:val="none"/>
        </w:rPr>
      </w:pPr>
      <w:r>
        <w:rPr>
          <w:rFonts w:hint="eastAsia" w:ascii="黑体" w:hAnsi="黑体" w:eastAsia="黑体"/>
          <w:bCs/>
          <w:sz w:val="28"/>
          <w:szCs w:val="28"/>
          <w:highlight w:val="none"/>
        </w:rPr>
        <w:t>三、诚信责任保证金承诺</w:t>
      </w:r>
    </w:p>
    <w:p w14:paraId="44B6DBD6">
      <w:pPr>
        <w:widowControl/>
        <w:spacing w:line="560" w:lineRule="exact"/>
        <w:ind w:firstLine="560" w:firstLineChars="200"/>
        <w:rPr>
          <w:rFonts w:ascii="宋体" w:hAnsi="宋体"/>
          <w:bCs/>
          <w:sz w:val="28"/>
          <w:szCs w:val="28"/>
          <w:highlight w:val="none"/>
          <w:lang w:val="zh-CN"/>
        </w:rPr>
      </w:pPr>
      <w:r>
        <w:rPr>
          <w:rFonts w:ascii="宋体" w:hAnsi="宋体"/>
          <w:bCs/>
          <w:sz w:val="28"/>
          <w:szCs w:val="28"/>
          <w:highlight w:val="none"/>
          <w:lang w:val="zh-CN"/>
        </w:rPr>
        <w:t>1.</w:t>
      </w:r>
      <w:r>
        <w:rPr>
          <w:rFonts w:hint="eastAsia" w:ascii="宋体" w:hAnsi="宋体" w:cs="宋体"/>
          <w:bCs/>
          <w:sz w:val="28"/>
          <w:szCs w:val="28"/>
          <w:highlight w:val="none"/>
          <w:lang w:bidi="ar"/>
        </w:rPr>
        <w:t>严格遵守</w:t>
      </w:r>
      <w:r>
        <w:rPr>
          <w:rFonts w:hint="eastAsia" w:cs="宋体"/>
          <w:bCs/>
          <w:sz w:val="28"/>
          <w:szCs w:val="28"/>
          <w:highlight w:val="none"/>
          <w:lang w:bidi="ar"/>
        </w:rPr>
        <w:t>《供应商诚信承诺》</w:t>
      </w:r>
      <w:r>
        <w:rPr>
          <w:rFonts w:hint="eastAsia" w:ascii="宋体" w:hAnsi="宋体" w:cs="宋体"/>
          <w:bCs/>
          <w:sz w:val="28"/>
          <w:szCs w:val="28"/>
          <w:highlight w:val="none"/>
          <w:lang w:bidi="ar"/>
        </w:rPr>
        <w:t>，若受到</w:t>
      </w:r>
      <w:r>
        <w:rPr>
          <w:rFonts w:ascii="宋体" w:hAnsi="宋体" w:cs="宋体"/>
          <w:bCs/>
          <w:sz w:val="28"/>
          <w:szCs w:val="28"/>
          <w:highlight w:val="none"/>
          <w:lang w:bidi="ar"/>
        </w:rPr>
        <w:t>1年、2年、3年禁止参加军队采购活动处理的，同意缴纳本项目采购预算金额1%、1.5%、2%的诚信责任保证金（按照四舍五入原则，取整到千元），最低额度为10万元，最高额度为200万元。</w:t>
      </w:r>
    </w:p>
    <w:p w14:paraId="239E8B7F">
      <w:pPr>
        <w:widowControl/>
        <w:spacing w:line="560" w:lineRule="exact"/>
        <w:ind w:firstLine="560" w:firstLineChars="200"/>
        <w:rPr>
          <w:rFonts w:ascii="宋体" w:hAnsi="宋体"/>
          <w:bCs/>
          <w:sz w:val="28"/>
          <w:szCs w:val="28"/>
          <w:highlight w:val="none"/>
          <w:lang w:val="zh-CN"/>
        </w:rPr>
      </w:pPr>
      <w:r>
        <w:rPr>
          <w:rFonts w:ascii="宋体" w:hAnsi="宋体"/>
          <w:bCs/>
          <w:sz w:val="28"/>
          <w:szCs w:val="28"/>
          <w:highlight w:val="none"/>
          <w:lang w:val="zh-CN"/>
        </w:rPr>
        <w:t>2.</w:t>
      </w:r>
      <w:r>
        <w:rPr>
          <w:rFonts w:hint="eastAsia" w:ascii="宋体" w:hAnsi="宋体" w:cs="宋体"/>
          <w:bCs/>
          <w:sz w:val="28"/>
          <w:szCs w:val="28"/>
          <w:highlight w:val="none"/>
          <w:lang w:bidi="ar"/>
        </w:rPr>
        <w:t>同意至恢复参加军队采购活动资格之日前，缴纳诚信责任保证金。逾期不缴纳的，不予恢复参加军队采购活动资格；自禁止性处理期满之日起超过</w:t>
      </w:r>
      <w:r>
        <w:rPr>
          <w:rFonts w:ascii="宋体" w:hAnsi="宋体" w:cs="宋体"/>
          <w:bCs/>
          <w:sz w:val="28"/>
          <w:szCs w:val="28"/>
          <w:highlight w:val="none"/>
          <w:lang w:bidi="ar"/>
        </w:rPr>
        <w:t>6个月不缴纳的，给予终身禁止处理。如恢复参加军队采购活动资格之日起3年内再次受到1年以上（含）禁止参加军队采购活动处理的，同意前述保证金不予退还，并同意再次按照被处理的采购项目预算金额以及处理年限对应的比例重新缴纳保证金，在未缴纳之前不得参加军队采购活动。</w:t>
      </w:r>
    </w:p>
    <w:p w14:paraId="33A1D109">
      <w:pPr>
        <w:widowControl/>
        <w:spacing w:line="560" w:lineRule="exact"/>
        <w:ind w:firstLine="560" w:firstLineChars="200"/>
        <w:rPr>
          <w:rFonts w:ascii="宋体" w:hAnsi="宋体"/>
          <w:bCs/>
          <w:sz w:val="28"/>
          <w:szCs w:val="28"/>
          <w:highlight w:val="none"/>
          <w:lang w:val="zh-CN"/>
        </w:rPr>
      </w:pPr>
      <w:r>
        <w:rPr>
          <w:rFonts w:ascii="宋体" w:hAnsi="宋体"/>
          <w:bCs/>
          <w:sz w:val="28"/>
          <w:szCs w:val="28"/>
          <w:highlight w:val="none"/>
          <w:lang w:val="zh-CN"/>
        </w:rPr>
        <w:t>3.</w:t>
      </w:r>
      <w:r>
        <w:rPr>
          <w:rFonts w:hint="eastAsia" w:ascii="宋体" w:hAnsi="宋体" w:cs="宋体"/>
          <w:bCs/>
          <w:sz w:val="28"/>
          <w:szCs w:val="28"/>
          <w:highlight w:val="none"/>
          <w:lang w:bidi="ar"/>
        </w:rPr>
        <w:t>若经查实采取串通谈判手段取得成交资格，已进入履约阶段的，同意按照军队采购合同管理和供应商管理有关规定，接受相应处理；需继续履约但存在明显价格风险的，同意扣除利润，按照审定的实际成本结算，审定结果高于合同金额的，按照合同执行，接受相应违规处理；对于已完成履约和结算的，同意根据审价认定的实际成本支出，退还军队超额付款部分，接受相应违规处理。审价所需费用由我方承担。</w:t>
      </w:r>
    </w:p>
    <w:p w14:paraId="77BB09ED">
      <w:pPr>
        <w:widowControl/>
        <w:spacing w:line="560" w:lineRule="exact"/>
        <w:ind w:firstLine="560" w:firstLineChars="200"/>
        <w:rPr>
          <w:rFonts w:ascii="宋体" w:hAnsi="宋体"/>
          <w:bCs/>
          <w:sz w:val="28"/>
          <w:szCs w:val="28"/>
          <w:highlight w:val="none"/>
          <w:lang w:val="zh-CN"/>
        </w:rPr>
      </w:pPr>
      <w:r>
        <w:rPr>
          <w:rFonts w:ascii="宋体" w:hAnsi="宋体" w:cs="宋体"/>
          <w:bCs/>
          <w:sz w:val="28"/>
          <w:szCs w:val="28"/>
          <w:highlight w:val="none"/>
          <w:lang w:bidi="ar"/>
        </w:rPr>
        <w:t>4.给部队造成损失的，同意按照国家法律和合同约定，予以相应经济赔偿。</w:t>
      </w:r>
    </w:p>
    <w:p w14:paraId="67CA3944">
      <w:pPr>
        <w:tabs>
          <w:tab w:val="left" w:pos="771"/>
        </w:tabs>
        <w:spacing w:line="560" w:lineRule="exact"/>
        <w:ind w:firstLine="560" w:firstLineChars="200"/>
        <w:rPr>
          <w:rFonts w:ascii="宋体" w:hAnsi="宋体"/>
          <w:bCs/>
          <w:sz w:val="28"/>
          <w:szCs w:val="28"/>
          <w:highlight w:val="none"/>
        </w:rPr>
      </w:pPr>
      <w:r>
        <w:rPr>
          <w:rFonts w:hint="eastAsia" w:ascii="黑体" w:hAnsi="黑体" w:eastAsia="黑体"/>
          <w:bCs/>
          <w:sz w:val="28"/>
          <w:szCs w:val="28"/>
          <w:highlight w:val="none"/>
        </w:rPr>
        <w:t>四、未被列入违法失信名单承诺</w:t>
      </w:r>
    </w:p>
    <w:p w14:paraId="753D2F34">
      <w:pPr>
        <w:tabs>
          <w:tab w:val="left" w:pos="771"/>
        </w:tabs>
        <w:spacing w:line="560" w:lineRule="exact"/>
        <w:ind w:firstLine="560" w:firstLineChars="200"/>
        <w:rPr>
          <w:rFonts w:ascii="宋体" w:hAnsi="宋体"/>
          <w:bCs/>
          <w:sz w:val="28"/>
          <w:szCs w:val="28"/>
          <w:highlight w:val="none"/>
        </w:rPr>
      </w:pPr>
      <w:r>
        <w:rPr>
          <w:rFonts w:hint="eastAsia" w:ascii="宋体" w:hAnsi="宋体"/>
          <w:sz w:val="28"/>
          <w:szCs w:val="28"/>
          <w:highlight w:val="none"/>
        </w:rPr>
        <w:t>未被中国政府采购网（</w:t>
      </w:r>
      <w:r>
        <w:rPr>
          <w:rFonts w:ascii="宋体" w:hAnsi="宋体"/>
          <w:sz w:val="28"/>
          <w:szCs w:val="28"/>
          <w:highlight w:val="none"/>
        </w:rPr>
        <w:t>www.ccgp.gov.cn</w:t>
      </w:r>
      <w:r>
        <w:rPr>
          <w:rFonts w:hint="eastAsia" w:ascii="宋体" w:hAnsi="宋体"/>
          <w:sz w:val="28"/>
          <w:szCs w:val="28"/>
          <w:highlight w:val="none"/>
        </w:rPr>
        <w:t>）列入政府采购严重违法失信行为记录名单，未在军队采购网（</w:t>
      </w:r>
      <w:r>
        <w:rPr>
          <w:rFonts w:ascii="宋体" w:hAnsi="宋体"/>
          <w:sz w:val="28"/>
          <w:szCs w:val="28"/>
          <w:highlight w:val="none"/>
        </w:rPr>
        <w:t>www.plap.mil.cn</w:t>
      </w:r>
      <w:r>
        <w:rPr>
          <w:rFonts w:hint="eastAsia" w:ascii="宋体" w:hAnsi="宋体"/>
          <w:sz w:val="28"/>
          <w:szCs w:val="28"/>
          <w:highlight w:val="none"/>
        </w:rPr>
        <w:t>）军队采购暂停名单处罚范围内或军队采购失信名单禁入处罚期</w:t>
      </w:r>
      <w:r>
        <w:rPr>
          <w:rFonts w:hint="eastAsia" w:ascii="宋体" w:hAnsi="宋体" w:cs="宋体"/>
          <w:bCs/>
          <w:sz w:val="28"/>
          <w:szCs w:val="28"/>
          <w:highlight w:val="none"/>
        </w:rPr>
        <w:t>和处罚范围</w:t>
      </w:r>
      <w:r>
        <w:rPr>
          <w:rFonts w:hint="eastAsia" w:ascii="宋体" w:hAnsi="宋体"/>
          <w:sz w:val="28"/>
          <w:szCs w:val="28"/>
          <w:highlight w:val="none"/>
        </w:rPr>
        <w:t>内，以及未被“信用中国”（</w:t>
      </w:r>
      <w:r>
        <w:rPr>
          <w:rFonts w:ascii="宋体" w:hAnsi="宋体"/>
          <w:sz w:val="28"/>
          <w:szCs w:val="28"/>
          <w:highlight w:val="none"/>
        </w:rPr>
        <w:t>www.creditchina.gov.cn</w:t>
      </w:r>
      <w:r>
        <w:rPr>
          <w:rFonts w:hint="eastAsia" w:ascii="宋体" w:hAnsi="宋体"/>
          <w:sz w:val="28"/>
          <w:szCs w:val="28"/>
          <w:highlight w:val="none"/>
        </w:rPr>
        <w:t>）列入严重失信主体名单或国家企业信用信息公示系统（</w:t>
      </w:r>
      <w:r>
        <w:rPr>
          <w:rFonts w:ascii="宋体" w:hAnsi="宋体"/>
          <w:sz w:val="28"/>
          <w:szCs w:val="28"/>
          <w:highlight w:val="none"/>
        </w:rPr>
        <w:t>www.gsxt.gov.cn</w:t>
      </w:r>
      <w:r>
        <w:rPr>
          <w:rFonts w:hint="eastAsia" w:ascii="宋体" w:hAnsi="宋体"/>
          <w:sz w:val="28"/>
          <w:szCs w:val="28"/>
          <w:highlight w:val="none"/>
        </w:rPr>
        <w:t>）列入严重违法失信名单（处罚期内）。</w:t>
      </w:r>
    </w:p>
    <w:p w14:paraId="0BAAB0B0">
      <w:pPr>
        <w:tabs>
          <w:tab w:val="left" w:pos="771"/>
        </w:tabs>
        <w:spacing w:line="560" w:lineRule="exact"/>
        <w:ind w:firstLine="560" w:firstLineChars="200"/>
        <w:rPr>
          <w:rFonts w:ascii="宋体" w:hAnsi="宋体"/>
          <w:bCs/>
          <w:sz w:val="28"/>
          <w:szCs w:val="28"/>
          <w:highlight w:val="none"/>
        </w:rPr>
      </w:pPr>
      <w:r>
        <w:rPr>
          <w:rFonts w:hint="eastAsia" w:ascii="黑体" w:hAnsi="黑体" w:eastAsia="黑体"/>
          <w:bCs/>
          <w:sz w:val="28"/>
          <w:szCs w:val="28"/>
          <w:highlight w:val="none"/>
        </w:rPr>
        <w:t>五、</w:t>
      </w:r>
      <w:r>
        <w:rPr>
          <w:rFonts w:hint="eastAsia" w:ascii="黑体" w:hAnsi="黑体" w:eastAsia="黑体" w:cs="宋体"/>
          <w:bCs/>
          <w:sz w:val="28"/>
          <w:szCs w:val="28"/>
          <w:highlight w:val="none"/>
        </w:rPr>
        <w:t>关联</w:t>
      </w:r>
      <w:r>
        <w:rPr>
          <w:rFonts w:hint="eastAsia" w:ascii="黑体" w:hAnsi="黑体" w:eastAsia="黑体"/>
          <w:bCs/>
          <w:sz w:val="28"/>
          <w:szCs w:val="28"/>
          <w:highlight w:val="none"/>
        </w:rPr>
        <w:t>关系企业不参与采购活动承诺</w:t>
      </w:r>
    </w:p>
    <w:p w14:paraId="7249A257">
      <w:pPr>
        <w:spacing w:line="560" w:lineRule="exact"/>
        <w:ind w:firstLine="560" w:firstLineChars="200"/>
        <w:rPr>
          <w:rFonts w:ascii="宋体" w:hAnsi="宋体"/>
          <w:bCs/>
          <w:sz w:val="28"/>
          <w:szCs w:val="28"/>
          <w:highlight w:val="none"/>
        </w:rPr>
      </w:pPr>
      <w:r>
        <w:rPr>
          <w:rFonts w:hint="eastAsia" w:ascii="宋体" w:hAnsi="宋体"/>
          <w:bCs/>
          <w:sz w:val="28"/>
          <w:szCs w:val="28"/>
          <w:highlight w:val="none"/>
        </w:rPr>
        <w:t>与我</w:t>
      </w:r>
      <w:r>
        <w:rPr>
          <w:rFonts w:ascii="宋体" w:hAnsi="宋体"/>
          <w:bCs/>
          <w:sz w:val="28"/>
          <w:szCs w:val="28"/>
          <w:highlight w:val="none"/>
        </w:rPr>
        <w:t>单位负责人为同一人或存在直接控股</w:t>
      </w:r>
      <w:r>
        <w:rPr>
          <w:rFonts w:hint="eastAsia" w:ascii="宋体" w:hAnsi="宋体"/>
          <w:bCs/>
          <w:sz w:val="28"/>
          <w:szCs w:val="28"/>
          <w:highlight w:val="none"/>
        </w:rPr>
        <w:t>或</w:t>
      </w:r>
      <w:r>
        <w:rPr>
          <w:rFonts w:ascii="宋体" w:hAnsi="宋体"/>
          <w:bCs/>
          <w:sz w:val="28"/>
          <w:szCs w:val="28"/>
          <w:highlight w:val="none"/>
        </w:rPr>
        <w:t>管理关系的不同供应商，</w:t>
      </w:r>
      <w:r>
        <w:rPr>
          <w:rFonts w:hint="eastAsia" w:ascii="宋体" w:hAnsi="宋体"/>
          <w:bCs/>
          <w:sz w:val="28"/>
          <w:szCs w:val="28"/>
          <w:highlight w:val="none"/>
        </w:rPr>
        <w:t>未参加同一包</w:t>
      </w:r>
      <w:r>
        <w:rPr>
          <w:rFonts w:ascii="宋体" w:hAnsi="宋体"/>
          <w:bCs/>
          <w:sz w:val="28"/>
          <w:szCs w:val="28"/>
          <w:highlight w:val="none"/>
        </w:rPr>
        <w:t>采购活动。</w:t>
      </w:r>
    </w:p>
    <w:p w14:paraId="5DE7C0FF">
      <w:pPr>
        <w:spacing w:line="560" w:lineRule="exact"/>
        <w:ind w:firstLine="560" w:firstLineChars="200"/>
        <w:rPr>
          <w:sz w:val="28"/>
          <w:szCs w:val="28"/>
          <w:highlight w:val="none"/>
        </w:rPr>
      </w:pPr>
      <w:r>
        <w:rPr>
          <w:rFonts w:hint="eastAsia" w:ascii="宋体" w:hAnsi="宋体" w:cs="宋体"/>
          <w:bCs/>
          <w:sz w:val="28"/>
          <w:szCs w:val="28"/>
          <w:highlight w:val="none"/>
        </w:rPr>
        <w:t>我单位为生产型企业的，与我单位</w:t>
      </w:r>
      <w:r>
        <w:rPr>
          <w:rFonts w:hint="eastAsia" w:ascii="宋体" w:hAnsi="宋体"/>
          <w:bCs/>
          <w:sz w:val="28"/>
          <w:szCs w:val="28"/>
          <w:highlight w:val="none"/>
        </w:rPr>
        <w:t>生产场经营地址或注册登记地址为同一地址的其他生产型企业，未参加同一包</w:t>
      </w:r>
      <w:r>
        <w:rPr>
          <w:rFonts w:ascii="宋体" w:hAnsi="宋体"/>
          <w:bCs/>
          <w:sz w:val="28"/>
          <w:szCs w:val="28"/>
          <w:highlight w:val="none"/>
        </w:rPr>
        <w:t>采购活动。</w:t>
      </w:r>
    </w:p>
    <w:p w14:paraId="5009DDE6">
      <w:pPr>
        <w:tabs>
          <w:tab w:val="left" w:pos="771"/>
        </w:tabs>
        <w:spacing w:line="560" w:lineRule="exact"/>
        <w:ind w:firstLine="560" w:firstLineChars="200"/>
        <w:rPr>
          <w:rFonts w:ascii="宋体" w:hAnsi="宋体"/>
          <w:bCs/>
          <w:sz w:val="28"/>
          <w:szCs w:val="28"/>
          <w:highlight w:val="none"/>
        </w:rPr>
      </w:pPr>
      <w:r>
        <w:rPr>
          <w:rFonts w:hint="eastAsia" w:ascii="宋体" w:hAnsi="宋体" w:cs="宋体"/>
          <w:bCs/>
          <w:sz w:val="28"/>
          <w:szCs w:val="28"/>
          <w:highlight w:val="none"/>
        </w:rPr>
        <w:t>我单位为非</w:t>
      </w:r>
      <w:r>
        <w:rPr>
          <w:rFonts w:hint="eastAsia" w:ascii="宋体" w:hAnsi="宋体" w:cs="宋体"/>
          <w:bCs/>
          <w:sz w:val="28"/>
          <w:szCs w:val="28"/>
          <w:highlight w:val="none"/>
          <w:lang w:bidi="ar"/>
        </w:rPr>
        <w:t>国有销售型企业的，</w:t>
      </w:r>
      <w:r>
        <w:rPr>
          <w:rFonts w:hint="eastAsia" w:ascii="宋体" w:hAnsi="宋体" w:cs="宋体"/>
          <w:bCs/>
          <w:sz w:val="28"/>
          <w:szCs w:val="28"/>
          <w:highlight w:val="none"/>
        </w:rPr>
        <w:t>与我单位以及</w:t>
      </w:r>
      <w:r>
        <w:rPr>
          <w:rFonts w:hint="eastAsia" w:ascii="宋体" w:hAnsi="宋体" w:cs="宋体"/>
          <w:bCs/>
          <w:sz w:val="28"/>
          <w:szCs w:val="28"/>
          <w:highlight w:val="none"/>
          <w:lang w:bidi="ar"/>
        </w:rPr>
        <w:t>股东和管理人员（法定代表人、董事或监事）之间存在近亲属（</w:t>
      </w:r>
      <w:r>
        <w:rPr>
          <w:rFonts w:ascii="宋体" w:hAnsi="宋体"/>
          <w:bCs/>
          <w:sz w:val="28"/>
          <w:szCs w:val="28"/>
          <w:highlight w:val="none"/>
        </w:rPr>
        <w:t>指</w:t>
      </w:r>
      <w:r>
        <w:rPr>
          <w:rFonts w:hint="eastAsia" w:ascii="宋体" w:hAnsi="宋体"/>
          <w:bCs/>
          <w:sz w:val="28"/>
          <w:szCs w:val="28"/>
          <w:highlight w:val="none"/>
        </w:rPr>
        <w:t>夫妻</w:t>
      </w:r>
      <w:r>
        <w:rPr>
          <w:rFonts w:ascii="宋体" w:hAnsi="宋体"/>
          <w:bCs/>
          <w:sz w:val="28"/>
          <w:szCs w:val="28"/>
          <w:highlight w:val="none"/>
        </w:rPr>
        <w:t>、直系血亲、三代以内旁系血亲或</w:t>
      </w:r>
      <w:r>
        <w:rPr>
          <w:rFonts w:hint="eastAsia" w:ascii="宋体" w:hAnsi="宋体"/>
          <w:bCs/>
          <w:sz w:val="28"/>
          <w:szCs w:val="28"/>
          <w:highlight w:val="none"/>
        </w:rPr>
        <w:t>近</w:t>
      </w:r>
      <w:r>
        <w:rPr>
          <w:rFonts w:ascii="宋体" w:hAnsi="宋体"/>
          <w:bCs/>
          <w:sz w:val="28"/>
          <w:szCs w:val="28"/>
          <w:highlight w:val="none"/>
        </w:rPr>
        <w:t>姻</w:t>
      </w:r>
      <w:r>
        <w:rPr>
          <w:rFonts w:hint="eastAsia" w:ascii="宋体" w:hAnsi="宋体"/>
          <w:bCs/>
          <w:sz w:val="28"/>
          <w:szCs w:val="28"/>
          <w:highlight w:val="none"/>
        </w:rPr>
        <w:t>亲</w:t>
      </w:r>
      <w:r>
        <w:rPr>
          <w:rFonts w:ascii="宋体" w:hAnsi="宋体"/>
          <w:bCs/>
          <w:sz w:val="28"/>
          <w:szCs w:val="28"/>
          <w:highlight w:val="none"/>
        </w:rPr>
        <w:t>关系</w:t>
      </w:r>
      <w:r>
        <w:rPr>
          <w:rFonts w:hint="eastAsia" w:ascii="宋体" w:hAnsi="宋体" w:cs="宋体"/>
          <w:bCs/>
          <w:sz w:val="28"/>
          <w:szCs w:val="28"/>
          <w:highlight w:val="none"/>
          <w:lang w:bidi="ar"/>
        </w:rPr>
        <w:t>）或相互占股等关联关系的其他非国有销售型企业，也未</w:t>
      </w:r>
      <w:r>
        <w:rPr>
          <w:rFonts w:ascii="宋体" w:hAnsi="宋体"/>
          <w:bCs/>
          <w:sz w:val="28"/>
          <w:szCs w:val="28"/>
          <w:highlight w:val="none"/>
        </w:rPr>
        <w:t>参加</w:t>
      </w:r>
      <w:r>
        <w:rPr>
          <w:rFonts w:hint="eastAsia" w:ascii="宋体" w:hAnsi="宋体"/>
          <w:bCs/>
          <w:sz w:val="28"/>
          <w:szCs w:val="28"/>
          <w:highlight w:val="none"/>
        </w:rPr>
        <w:t>同一包</w:t>
      </w:r>
      <w:r>
        <w:rPr>
          <w:rFonts w:ascii="宋体" w:hAnsi="宋体"/>
          <w:bCs/>
          <w:sz w:val="28"/>
          <w:szCs w:val="28"/>
          <w:highlight w:val="none"/>
        </w:rPr>
        <w:t>采购活动</w:t>
      </w:r>
      <w:r>
        <w:rPr>
          <w:rFonts w:hint="eastAsia" w:ascii="宋体" w:hAnsi="宋体"/>
          <w:bCs/>
          <w:sz w:val="28"/>
          <w:szCs w:val="28"/>
          <w:highlight w:val="none"/>
        </w:rPr>
        <w:t>。</w:t>
      </w:r>
    </w:p>
    <w:p w14:paraId="2730D297">
      <w:pPr>
        <w:tabs>
          <w:tab w:val="left" w:pos="771"/>
        </w:tabs>
        <w:spacing w:line="560" w:lineRule="exact"/>
        <w:ind w:firstLine="560" w:firstLineChars="200"/>
        <w:rPr>
          <w:rFonts w:ascii="宋体" w:hAnsi="宋体"/>
          <w:bCs/>
          <w:sz w:val="28"/>
          <w:szCs w:val="28"/>
          <w:highlight w:val="none"/>
        </w:rPr>
      </w:pPr>
      <w:bookmarkStart w:id="715" w:name="_Hlk150330080"/>
      <w:r>
        <w:rPr>
          <w:rFonts w:hint="eastAsia" w:ascii="宋体" w:hAnsi="宋体"/>
          <w:bCs/>
          <w:sz w:val="28"/>
          <w:szCs w:val="28"/>
          <w:highlight w:val="none"/>
        </w:rPr>
        <w:t>我单位提供的业绩证明材料中，合同缔约方不存在控股或管理关系</w:t>
      </w:r>
      <w:bookmarkEnd w:id="715"/>
      <w:r>
        <w:rPr>
          <w:rFonts w:hint="eastAsia" w:ascii="宋体" w:hAnsi="宋体"/>
          <w:bCs/>
          <w:sz w:val="28"/>
          <w:szCs w:val="28"/>
          <w:highlight w:val="none"/>
        </w:rPr>
        <w:t>。</w:t>
      </w:r>
    </w:p>
    <w:p w14:paraId="06BE46B3">
      <w:pPr>
        <w:tabs>
          <w:tab w:val="left" w:pos="771"/>
        </w:tabs>
        <w:spacing w:line="560" w:lineRule="exact"/>
        <w:ind w:firstLine="560" w:firstLineChars="200"/>
        <w:rPr>
          <w:rFonts w:ascii="宋体" w:hAnsi="宋体"/>
          <w:bCs/>
          <w:sz w:val="28"/>
          <w:szCs w:val="28"/>
          <w:highlight w:val="none"/>
        </w:rPr>
      </w:pPr>
      <w:r>
        <w:rPr>
          <w:rFonts w:hint="eastAsia" w:ascii="黑体" w:hAnsi="黑体" w:eastAsia="黑体"/>
          <w:bCs/>
          <w:sz w:val="28"/>
          <w:szCs w:val="28"/>
          <w:highlight w:val="none"/>
        </w:rPr>
        <w:t>六、前</w:t>
      </w:r>
      <w:r>
        <w:rPr>
          <w:rFonts w:ascii="黑体" w:hAnsi="黑体" w:eastAsia="黑体"/>
          <w:bCs/>
          <w:sz w:val="28"/>
          <w:szCs w:val="28"/>
          <w:highlight w:val="none"/>
        </w:rPr>
        <w:t>3年没有重大违法记录的书面声明</w:t>
      </w:r>
    </w:p>
    <w:p w14:paraId="39D12BE3">
      <w:pPr>
        <w:tabs>
          <w:tab w:val="left" w:pos="771"/>
        </w:tabs>
        <w:spacing w:line="560" w:lineRule="exact"/>
        <w:ind w:firstLine="560" w:firstLineChars="200"/>
        <w:rPr>
          <w:rFonts w:ascii="宋体" w:hAnsi="宋体"/>
          <w:bCs/>
          <w:sz w:val="28"/>
          <w:szCs w:val="28"/>
          <w:highlight w:val="none"/>
        </w:rPr>
      </w:pPr>
      <w:r>
        <w:rPr>
          <w:rFonts w:hint="eastAsia"/>
          <w:bCs/>
          <w:sz w:val="28"/>
          <w:szCs w:val="28"/>
          <w:highlight w:val="none"/>
        </w:rPr>
        <w:t>我单位在参加本次采购活动</w:t>
      </w:r>
      <w:r>
        <w:rPr>
          <w:rFonts w:hint="eastAsia" w:asciiTheme="minorEastAsia" w:hAnsiTheme="minorEastAsia" w:eastAsiaTheme="minorEastAsia"/>
          <w:bCs/>
          <w:sz w:val="28"/>
          <w:szCs w:val="28"/>
          <w:highlight w:val="none"/>
        </w:rPr>
        <w:t>前</w:t>
      </w:r>
      <w:r>
        <w:rPr>
          <w:rFonts w:asciiTheme="minorEastAsia" w:hAnsiTheme="minorEastAsia" w:eastAsiaTheme="minorEastAsia"/>
          <w:bCs/>
          <w:sz w:val="28"/>
          <w:szCs w:val="28"/>
          <w:highlight w:val="none"/>
        </w:rPr>
        <w:t>3</w:t>
      </w:r>
      <w:r>
        <w:rPr>
          <w:rFonts w:hint="eastAsia"/>
          <w:bCs/>
          <w:sz w:val="28"/>
          <w:szCs w:val="28"/>
          <w:highlight w:val="none"/>
        </w:rPr>
        <w:t>年内</w:t>
      </w:r>
      <w:r>
        <w:rPr>
          <w:rFonts w:hint="eastAsia" w:ascii="宋体" w:hAnsi="宋体" w:cs="宋体"/>
          <w:bCs/>
          <w:sz w:val="28"/>
          <w:szCs w:val="28"/>
          <w:highlight w:val="none"/>
        </w:rPr>
        <w:t>在经营活动中</w:t>
      </w:r>
      <w:r>
        <w:rPr>
          <w:rFonts w:hint="eastAsia"/>
          <w:bCs/>
          <w:sz w:val="28"/>
          <w:szCs w:val="28"/>
          <w:highlight w:val="none"/>
        </w:rPr>
        <w:t>没有重大违法记录。</w:t>
      </w:r>
    </w:p>
    <w:p w14:paraId="1F8E2098">
      <w:pPr>
        <w:tabs>
          <w:tab w:val="left" w:pos="771"/>
        </w:tabs>
        <w:spacing w:line="560" w:lineRule="exact"/>
        <w:ind w:firstLine="560" w:firstLineChars="200"/>
        <w:rPr>
          <w:rFonts w:ascii="宋体" w:hAnsi="宋体"/>
          <w:bCs/>
          <w:sz w:val="28"/>
          <w:szCs w:val="28"/>
          <w:highlight w:val="none"/>
        </w:rPr>
      </w:pPr>
      <w:r>
        <w:rPr>
          <w:rFonts w:hint="eastAsia" w:ascii="黑体" w:hAnsi="黑体" w:eastAsia="黑体"/>
          <w:bCs/>
          <w:sz w:val="28"/>
          <w:szCs w:val="28"/>
          <w:highlight w:val="none"/>
        </w:rPr>
        <w:t>七、没有发生过重大质量安全事故的书面声明</w:t>
      </w:r>
    </w:p>
    <w:p w14:paraId="72E3340F">
      <w:pPr>
        <w:tabs>
          <w:tab w:val="left" w:pos="771"/>
        </w:tabs>
        <w:spacing w:line="560" w:lineRule="exact"/>
        <w:ind w:firstLine="560" w:firstLineChars="200"/>
        <w:rPr>
          <w:rFonts w:ascii="宋体" w:hAnsi="宋体"/>
          <w:bCs/>
          <w:sz w:val="28"/>
          <w:szCs w:val="28"/>
          <w:highlight w:val="none"/>
        </w:rPr>
      </w:pPr>
      <w:r>
        <w:rPr>
          <w:rFonts w:hint="eastAsia" w:ascii="宋体" w:hAnsi="宋体"/>
          <w:bCs/>
          <w:sz w:val="28"/>
          <w:szCs w:val="28"/>
          <w:highlight w:val="none"/>
        </w:rPr>
        <w:t>我单位近</w:t>
      </w:r>
      <w:r>
        <w:rPr>
          <w:rFonts w:ascii="宋体" w:hAnsi="宋体"/>
          <w:bCs/>
          <w:sz w:val="28"/>
          <w:szCs w:val="28"/>
          <w:highlight w:val="none"/>
        </w:rPr>
        <w:t>3年没有发生过重大质量安全事故。</w:t>
      </w:r>
    </w:p>
    <w:p w14:paraId="211F8DA0">
      <w:pPr>
        <w:tabs>
          <w:tab w:val="left" w:pos="771"/>
        </w:tabs>
        <w:spacing w:line="560" w:lineRule="exact"/>
        <w:ind w:firstLine="560" w:firstLineChars="200"/>
        <w:rPr>
          <w:rFonts w:ascii="宋体" w:hAnsi="宋体"/>
          <w:bCs/>
          <w:sz w:val="28"/>
          <w:szCs w:val="28"/>
          <w:highlight w:val="none"/>
        </w:rPr>
      </w:pPr>
      <w:r>
        <w:rPr>
          <w:rFonts w:hint="eastAsia" w:ascii="黑体" w:hAnsi="黑体" w:eastAsia="黑体"/>
          <w:bCs/>
          <w:sz w:val="28"/>
          <w:szCs w:val="28"/>
          <w:highlight w:val="none"/>
        </w:rPr>
        <w:t>八、非外资独资企业或控股企业的书面声明</w:t>
      </w:r>
    </w:p>
    <w:p w14:paraId="469B3B34">
      <w:pPr>
        <w:tabs>
          <w:tab w:val="left" w:pos="771"/>
        </w:tabs>
        <w:spacing w:line="560" w:lineRule="exact"/>
        <w:ind w:firstLine="560" w:firstLineChars="200"/>
        <w:rPr>
          <w:rFonts w:ascii="宋体" w:hAnsi="宋体"/>
          <w:bCs/>
          <w:sz w:val="28"/>
          <w:szCs w:val="28"/>
          <w:highlight w:val="none"/>
        </w:rPr>
      </w:pPr>
      <w:r>
        <w:rPr>
          <w:rFonts w:hint="eastAsia" w:ascii="宋体" w:hAnsi="宋体"/>
          <w:bCs/>
          <w:sz w:val="28"/>
          <w:szCs w:val="28"/>
          <w:highlight w:val="none"/>
        </w:rPr>
        <w:t>我单位为非外资独资企业或控股企业。</w:t>
      </w:r>
    </w:p>
    <w:p w14:paraId="3B881B48">
      <w:pPr>
        <w:tabs>
          <w:tab w:val="left" w:pos="771"/>
        </w:tabs>
        <w:spacing w:line="560" w:lineRule="exact"/>
        <w:ind w:firstLine="560" w:firstLineChars="200"/>
        <w:rPr>
          <w:rFonts w:ascii="黑体" w:hAnsi="黑体" w:eastAsia="黑体" w:cs="宋体"/>
          <w:bCs/>
          <w:sz w:val="28"/>
          <w:szCs w:val="28"/>
          <w:highlight w:val="none"/>
        </w:rPr>
      </w:pPr>
      <w:r>
        <w:rPr>
          <w:rFonts w:hint="eastAsia" w:ascii="黑体" w:hAnsi="黑体" w:eastAsia="黑体" w:cs="宋体"/>
          <w:bCs/>
          <w:sz w:val="28"/>
          <w:szCs w:val="28"/>
          <w:highlight w:val="none"/>
        </w:rPr>
        <w:t>九、具备履约专业能力的书面声明</w:t>
      </w:r>
    </w:p>
    <w:p w14:paraId="5C6FE749">
      <w:pPr>
        <w:spacing w:line="560" w:lineRule="exact"/>
        <w:ind w:firstLine="560" w:firstLineChars="200"/>
        <w:rPr>
          <w:sz w:val="28"/>
          <w:szCs w:val="28"/>
          <w:highlight w:val="none"/>
        </w:rPr>
      </w:pPr>
      <w:r>
        <w:rPr>
          <w:rFonts w:hint="eastAsia"/>
          <w:sz w:val="28"/>
          <w:szCs w:val="28"/>
          <w:highlight w:val="none"/>
        </w:rPr>
        <w:t>我单位具有履行合同所必需的设备和专业技术能力。</w:t>
      </w:r>
    </w:p>
    <w:p w14:paraId="2B06D330">
      <w:pPr>
        <w:autoSpaceDE w:val="0"/>
        <w:autoSpaceDN w:val="0"/>
        <w:adjustRightInd w:val="0"/>
        <w:spacing w:line="560" w:lineRule="exact"/>
        <w:ind w:firstLine="560" w:firstLineChars="200"/>
        <w:rPr>
          <w:bCs/>
          <w:sz w:val="28"/>
          <w:szCs w:val="28"/>
          <w:highlight w:val="none"/>
        </w:rPr>
      </w:pPr>
    </w:p>
    <w:p w14:paraId="619F75DF">
      <w:pPr>
        <w:autoSpaceDE w:val="0"/>
        <w:autoSpaceDN w:val="0"/>
        <w:adjustRightInd w:val="0"/>
        <w:spacing w:line="560" w:lineRule="exact"/>
        <w:ind w:firstLine="560" w:firstLineChars="200"/>
        <w:rPr>
          <w:bCs/>
          <w:sz w:val="28"/>
          <w:szCs w:val="28"/>
          <w:highlight w:val="none"/>
        </w:rPr>
      </w:pPr>
      <w:r>
        <w:rPr>
          <w:rFonts w:hint="eastAsia"/>
          <w:bCs/>
          <w:sz w:val="28"/>
          <w:szCs w:val="28"/>
          <w:highlight w:val="none"/>
        </w:rPr>
        <w:t>如果我方违反上述承诺声明内容，愿意承担由此导致的一切不利后果和法律责任，</w:t>
      </w:r>
      <w:r>
        <w:rPr>
          <w:rFonts w:hint="eastAsia"/>
          <w:bCs/>
          <w:sz w:val="28"/>
          <w:szCs w:val="28"/>
          <w:highlight w:val="none"/>
          <w:lang w:val="zh-CN"/>
        </w:rPr>
        <w:t>接受军队采购管理部门和采购机构按国家和军队有关法规作出的相关处罚</w:t>
      </w:r>
      <w:r>
        <w:rPr>
          <w:rFonts w:hint="eastAsia"/>
          <w:bCs/>
          <w:sz w:val="28"/>
          <w:szCs w:val="28"/>
          <w:highlight w:val="none"/>
        </w:rPr>
        <w:t>。</w:t>
      </w:r>
    </w:p>
    <w:p w14:paraId="2B54398D">
      <w:pPr>
        <w:widowControl/>
        <w:spacing w:line="560" w:lineRule="exact"/>
        <w:rPr>
          <w:bCs/>
          <w:sz w:val="28"/>
          <w:szCs w:val="28"/>
          <w:highlight w:val="none"/>
          <w:lang w:val="zh-CN"/>
        </w:rPr>
      </w:pPr>
    </w:p>
    <w:p w14:paraId="49112A2F">
      <w:pPr>
        <w:spacing w:line="560" w:lineRule="exact"/>
        <w:ind w:firstLine="560" w:firstLineChars="200"/>
        <w:jc w:val="center"/>
        <w:rPr>
          <w:bCs/>
          <w:sz w:val="28"/>
          <w:szCs w:val="28"/>
          <w:highlight w:val="none"/>
          <w:lang w:val="zh-CN"/>
        </w:rPr>
      </w:pPr>
      <w:r>
        <w:rPr>
          <w:bCs/>
          <w:sz w:val="28"/>
          <w:szCs w:val="28"/>
          <w:highlight w:val="none"/>
          <w:lang w:val="zh-CN"/>
        </w:rPr>
        <w:t xml:space="preserve">       </w:t>
      </w:r>
      <w:r>
        <w:rPr>
          <w:rFonts w:hint="eastAsia"/>
          <w:bCs/>
          <w:sz w:val="28"/>
          <w:szCs w:val="28"/>
          <w:highlight w:val="none"/>
          <w:lang w:val="zh-CN"/>
        </w:rPr>
        <w:t xml:space="preserve"> </w:t>
      </w:r>
      <w:r>
        <w:rPr>
          <w:bCs/>
          <w:sz w:val="28"/>
          <w:szCs w:val="28"/>
          <w:highlight w:val="none"/>
          <w:lang w:val="zh-CN"/>
        </w:rPr>
        <w:t xml:space="preserve">        </w:t>
      </w:r>
      <w:r>
        <w:rPr>
          <w:rFonts w:hint="eastAsia"/>
          <w:bCs/>
          <w:sz w:val="28"/>
          <w:szCs w:val="28"/>
          <w:highlight w:val="none"/>
          <w:lang w:val="zh-CN"/>
        </w:rPr>
        <w:t>报价供应商全称：（盖章）</w:t>
      </w:r>
    </w:p>
    <w:p w14:paraId="03D80720">
      <w:pPr>
        <w:spacing w:line="560" w:lineRule="exact"/>
        <w:ind w:firstLine="560" w:firstLineChars="200"/>
        <w:jc w:val="center"/>
        <w:rPr>
          <w:bCs/>
          <w:sz w:val="28"/>
          <w:szCs w:val="28"/>
          <w:highlight w:val="none"/>
          <w:lang w:val="zh-CN"/>
        </w:rPr>
      </w:pPr>
      <w:r>
        <w:rPr>
          <w:bCs/>
          <w:sz w:val="28"/>
          <w:szCs w:val="28"/>
          <w:highlight w:val="none"/>
          <w:lang w:val="zh-CN"/>
        </w:rPr>
        <w:t xml:space="preserve">       </w:t>
      </w:r>
      <w:r>
        <w:rPr>
          <w:rFonts w:hint="eastAsia"/>
          <w:bCs/>
          <w:sz w:val="28"/>
          <w:szCs w:val="28"/>
          <w:highlight w:val="none"/>
          <w:lang w:val="zh-CN"/>
        </w:rPr>
        <w:t xml:space="preserve">           </w:t>
      </w:r>
      <w:r>
        <w:rPr>
          <w:bCs/>
          <w:sz w:val="28"/>
          <w:szCs w:val="28"/>
          <w:highlight w:val="none"/>
          <w:lang w:val="zh-CN"/>
        </w:rPr>
        <w:t xml:space="preserve">       </w:t>
      </w:r>
      <w:r>
        <w:rPr>
          <w:rFonts w:hint="eastAsia"/>
          <w:bCs/>
          <w:sz w:val="28"/>
          <w:szCs w:val="28"/>
          <w:highlight w:val="none"/>
          <w:lang w:val="zh-CN"/>
        </w:rPr>
        <w:t>法定代表人（或授权代表）：（签字）</w:t>
      </w:r>
    </w:p>
    <w:p w14:paraId="482AE756">
      <w:pPr>
        <w:spacing w:line="560" w:lineRule="exact"/>
        <w:ind w:firstLine="560" w:firstLineChars="200"/>
        <w:rPr>
          <w:highlight w:val="none"/>
          <w:lang w:val="zh-CN"/>
        </w:rPr>
      </w:pPr>
      <w:r>
        <w:rPr>
          <w:bCs/>
          <w:sz w:val="28"/>
          <w:szCs w:val="28"/>
          <w:highlight w:val="none"/>
          <w:lang w:val="zh-CN"/>
        </w:rPr>
        <w:t xml:space="preserve">                                            </w:t>
      </w:r>
      <w:r>
        <w:rPr>
          <w:bCs/>
          <w:sz w:val="28"/>
          <w:szCs w:val="28"/>
          <w:highlight w:val="none"/>
          <w:u w:val="single"/>
        </w:rPr>
        <w:t xml:space="preserve">   </w:t>
      </w:r>
      <w:r>
        <w:rPr>
          <w:rFonts w:hint="eastAsia"/>
          <w:bCs/>
          <w:sz w:val="28"/>
          <w:szCs w:val="28"/>
          <w:highlight w:val="none"/>
        </w:rPr>
        <w:t>年</w:t>
      </w:r>
      <w:r>
        <w:rPr>
          <w:bCs/>
          <w:sz w:val="28"/>
          <w:szCs w:val="28"/>
          <w:highlight w:val="none"/>
          <w:u w:val="single"/>
        </w:rPr>
        <w:t xml:space="preserve">   </w:t>
      </w:r>
      <w:r>
        <w:rPr>
          <w:rFonts w:hint="eastAsia"/>
          <w:bCs/>
          <w:sz w:val="28"/>
          <w:szCs w:val="28"/>
          <w:highlight w:val="none"/>
        </w:rPr>
        <w:t>月</w:t>
      </w:r>
      <w:r>
        <w:rPr>
          <w:bCs/>
          <w:sz w:val="28"/>
          <w:szCs w:val="28"/>
          <w:highlight w:val="none"/>
          <w:u w:val="single"/>
        </w:rPr>
        <w:t xml:space="preserve">   </w:t>
      </w:r>
      <w:r>
        <w:rPr>
          <w:rFonts w:hint="eastAsia"/>
          <w:bCs/>
          <w:sz w:val="28"/>
          <w:szCs w:val="28"/>
          <w:highlight w:val="none"/>
        </w:rPr>
        <w:t>日</w:t>
      </w:r>
      <w:r>
        <w:rPr>
          <w:highlight w:val="none"/>
          <w:lang w:val="zh-CN"/>
        </w:rPr>
        <w:br w:type="page"/>
      </w:r>
    </w:p>
    <w:p w14:paraId="1864551E">
      <w:pPr>
        <w:pStyle w:val="6"/>
        <w:spacing w:before="120" w:beforeLines="50" w:after="120" w:afterLines="50" w:line="560" w:lineRule="exact"/>
        <w:rPr>
          <w:b w:val="0"/>
          <w:highlight w:val="none"/>
          <w:lang w:val="zh-CN"/>
        </w:rPr>
      </w:pPr>
      <w:bookmarkStart w:id="716" w:name="_Toc17477"/>
      <w:bookmarkStart w:id="717" w:name="_Toc112768484"/>
      <w:bookmarkStart w:id="718" w:name="_Toc30359"/>
      <w:bookmarkStart w:id="719" w:name="_Toc18710"/>
      <w:bookmarkStart w:id="720" w:name="_Toc30315"/>
      <w:bookmarkStart w:id="721" w:name="_Toc2897"/>
      <w:r>
        <w:rPr>
          <w:rFonts w:hint="eastAsia"/>
          <w:b w:val="0"/>
          <w:highlight w:val="none"/>
          <w:lang w:val="zh-CN"/>
        </w:rPr>
        <w:t>附件3-</w:t>
      </w:r>
      <w:r>
        <w:rPr>
          <w:b w:val="0"/>
          <w:highlight w:val="none"/>
        </w:rPr>
        <w:t>6</w:t>
      </w:r>
      <w:r>
        <w:rPr>
          <w:rFonts w:hint="eastAsia"/>
          <w:b w:val="0"/>
          <w:highlight w:val="none"/>
          <w:lang w:val="zh-CN"/>
        </w:rPr>
        <w:t xml:space="preserve"> 纳税证明材料</w:t>
      </w:r>
      <w:bookmarkEnd w:id="716"/>
      <w:bookmarkEnd w:id="717"/>
      <w:bookmarkEnd w:id="718"/>
      <w:bookmarkEnd w:id="719"/>
      <w:bookmarkEnd w:id="720"/>
      <w:bookmarkEnd w:id="721"/>
    </w:p>
    <w:p w14:paraId="51A10364">
      <w:pPr>
        <w:jc w:val="center"/>
        <w:rPr>
          <w:rFonts w:ascii="黑体" w:hAnsi="黑体" w:eastAsia="黑体" w:cs="黑体"/>
          <w:bCs/>
          <w:sz w:val="36"/>
          <w:szCs w:val="36"/>
          <w:highlight w:val="none"/>
          <w:lang w:val="zh-CN"/>
        </w:rPr>
      </w:pPr>
      <w:r>
        <w:rPr>
          <w:rFonts w:hint="eastAsia" w:ascii="黑体" w:hAnsi="黑体" w:eastAsia="黑体" w:cs="黑体"/>
          <w:bCs/>
          <w:sz w:val="36"/>
          <w:szCs w:val="36"/>
          <w:highlight w:val="none"/>
          <w:lang w:val="zh-CN"/>
        </w:rPr>
        <w:t>纳税证明材料</w:t>
      </w:r>
    </w:p>
    <w:p w14:paraId="5FC8D4D6">
      <w:pPr>
        <w:widowControl/>
        <w:ind w:firstLine="420" w:firstLineChars="200"/>
        <w:jc w:val="center"/>
        <w:rPr>
          <w:rFonts w:ascii="Arial" w:hAnsi="Arial" w:eastAsia="黑体"/>
          <w:bCs/>
          <w:sz w:val="28"/>
          <w:szCs w:val="28"/>
          <w:highlight w:val="none"/>
          <w:lang w:val="zh-CN"/>
        </w:rPr>
      </w:pPr>
      <w:r>
        <w:rPr>
          <w:bCs/>
          <w:highlight w:val="none"/>
          <w:lang w:val="zh-CN"/>
        </w:rPr>
        <w:br w:type="page"/>
      </w:r>
    </w:p>
    <w:p w14:paraId="693E5EE3">
      <w:pPr>
        <w:pStyle w:val="6"/>
        <w:spacing w:before="120" w:beforeLines="50" w:after="120" w:afterLines="50" w:line="560" w:lineRule="exact"/>
        <w:rPr>
          <w:b w:val="0"/>
          <w:highlight w:val="none"/>
          <w:lang w:val="zh-CN"/>
        </w:rPr>
      </w:pPr>
      <w:bookmarkStart w:id="722" w:name="_Toc15691"/>
      <w:bookmarkStart w:id="723" w:name="_Toc22007"/>
      <w:bookmarkStart w:id="724" w:name="_Toc112768485"/>
      <w:bookmarkStart w:id="725" w:name="_Toc6442"/>
      <w:bookmarkStart w:id="726" w:name="_Toc2712"/>
      <w:bookmarkStart w:id="727" w:name="_Toc7401"/>
      <w:r>
        <w:rPr>
          <w:rFonts w:hint="eastAsia"/>
          <w:b w:val="0"/>
          <w:highlight w:val="none"/>
          <w:lang w:val="zh-CN"/>
        </w:rPr>
        <w:t>附件3-</w:t>
      </w:r>
      <w:r>
        <w:rPr>
          <w:b w:val="0"/>
          <w:highlight w:val="none"/>
        </w:rPr>
        <w:t>7</w:t>
      </w:r>
      <w:r>
        <w:rPr>
          <w:rFonts w:hint="eastAsia"/>
          <w:b w:val="0"/>
          <w:highlight w:val="none"/>
          <w:lang w:val="zh-CN"/>
        </w:rPr>
        <w:t xml:space="preserve"> 缴纳社会保障金证明材料</w:t>
      </w:r>
      <w:bookmarkEnd w:id="722"/>
      <w:bookmarkEnd w:id="723"/>
      <w:bookmarkEnd w:id="724"/>
      <w:bookmarkEnd w:id="725"/>
      <w:bookmarkEnd w:id="726"/>
      <w:bookmarkEnd w:id="727"/>
    </w:p>
    <w:p w14:paraId="4F7D87C0">
      <w:pPr>
        <w:spacing w:before="120" w:beforeLines="50" w:after="120" w:afterLines="50" w:line="560" w:lineRule="exact"/>
        <w:jc w:val="center"/>
        <w:rPr>
          <w:rFonts w:ascii="黑体" w:hAnsi="黑体" w:eastAsia="黑体" w:cs="黑体"/>
          <w:sz w:val="36"/>
          <w:szCs w:val="36"/>
          <w:highlight w:val="none"/>
          <w:lang w:val="zh-CN"/>
        </w:rPr>
      </w:pPr>
      <w:r>
        <w:rPr>
          <w:rFonts w:hint="eastAsia" w:ascii="黑体" w:hAnsi="黑体" w:eastAsia="黑体" w:cs="黑体"/>
          <w:sz w:val="36"/>
          <w:szCs w:val="36"/>
          <w:highlight w:val="none"/>
          <w:lang w:val="zh-CN"/>
        </w:rPr>
        <w:t>缴纳社会保障金证明材料</w:t>
      </w:r>
    </w:p>
    <w:p w14:paraId="70E091DD">
      <w:pPr>
        <w:widowControl/>
        <w:ind w:firstLine="420" w:firstLineChars="200"/>
        <w:jc w:val="left"/>
        <w:rPr>
          <w:rFonts w:ascii="Arial" w:hAnsi="Arial" w:eastAsia="黑体"/>
          <w:bCs/>
          <w:sz w:val="28"/>
          <w:szCs w:val="28"/>
          <w:highlight w:val="none"/>
        </w:rPr>
      </w:pPr>
      <w:r>
        <w:rPr>
          <w:bCs/>
          <w:highlight w:val="none"/>
        </w:rPr>
        <w:br w:type="page"/>
      </w:r>
    </w:p>
    <w:p w14:paraId="723C0FE2">
      <w:pPr>
        <w:pStyle w:val="6"/>
        <w:spacing w:before="120" w:beforeLines="50" w:after="120" w:afterLines="50" w:line="560" w:lineRule="exact"/>
        <w:rPr>
          <w:b w:val="0"/>
          <w:highlight w:val="none"/>
          <w:lang w:val="zh-CN"/>
        </w:rPr>
      </w:pPr>
      <w:bookmarkStart w:id="728" w:name="_Toc1985"/>
      <w:bookmarkStart w:id="729" w:name="_Toc31448"/>
      <w:bookmarkStart w:id="730" w:name="_Toc4409"/>
      <w:bookmarkStart w:id="731" w:name="_Toc112768483"/>
      <w:bookmarkStart w:id="732" w:name="_Toc11370"/>
      <w:bookmarkStart w:id="733" w:name="_Toc29578"/>
      <w:bookmarkStart w:id="734" w:name="_Toc112768486"/>
      <w:bookmarkStart w:id="735" w:name="_Toc16625"/>
      <w:bookmarkStart w:id="736" w:name="_Toc24320"/>
      <w:bookmarkStart w:id="737" w:name="_Toc5092"/>
      <w:bookmarkStart w:id="738" w:name="_Toc28464"/>
      <w:bookmarkStart w:id="739" w:name="_Toc23091"/>
      <w:r>
        <w:rPr>
          <w:rFonts w:hint="eastAsia"/>
          <w:b w:val="0"/>
          <w:highlight w:val="none"/>
          <w:lang w:val="zh-CN"/>
        </w:rPr>
        <w:t>附件3-</w:t>
      </w:r>
      <w:r>
        <w:rPr>
          <w:b w:val="0"/>
          <w:highlight w:val="none"/>
        </w:rPr>
        <w:t>8</w:t>
      </w:r>
      <w:r>
        <w:rPr>
          <w:rFonts w:hint="eastAsia"/>
          <w:b w:val="0"/>
          <w:highlight w:val="none"/>
          <w:lang w:val="zh-CN"/>
        </w:rPr>
        <w:t xml:space="preserve"> 近</w:t>
      </w:r>
      <w:r>
        <w:rPr>
          <w:rFonts w:hint="eastAsia"/>
          <w:b w:val="0"/>
          <w:highlight w:val="none"/>
          <w:lang w:val="en-US" w:eastAsia="zh-CN"/>
        </w:rPr>
        <w:t>1</w:t>
      </w:r>
      <w:r>
        <w:rPr>
          <w:rFonts w:hint="eastAsia"/>
          <w:b w:val="0"/>
          <w:highlight w:val="none"/>
          <w:lang w:val="zh-CN"/>
        </w:rPr>
        <w:t>年（</w:t>
      </w:r>
      <w:r>
        <w:rPr>
          <w:rFonts w:hint="eastAsia"/>
          <w:b w:val="0"/>
          <w:highlight w:val="none"/>
          <w:lang w:val="en-US" w:eastAsia="zh-CN"/>
        </w:rPr>
        <w:t>2023年</w:t>
      </w:r>
      <w:r>
        <w:rPr>
          <w:rFonts w:hint="eastAsia"/>
          <w:b w:val="0"/>
          <w:highlight w:val="none"/>
          <w:lang w:val="zh-CN"/>
        </w:rPr>
        <w:t>）会计师事务所出具的审计报告</w:t>
      </w:r>
      <w:bookmarkEnd w:id="728"/>
      <w:bookmarkEnd w:id="729"/>
      <w:bookmarkEnd w:id="730"/>
      <w:bookmarkEnd w:id="731"/>
      <w:bookmarkEnd w:id="732"/>
      <w:bookmarkEnd w:id="733"/>
    </w:p>
    <w:p w14:paraId="7E93DED6">
      <w:pPr>
        <w:spacing w:before="120" w:beforeLines="50" w:after="120" w:afterLines="50" w:line="560" w:lineRule="exact"/>
        <w:jc w:val="center"/>
        <w:rPr>
          <w:rFonts w:ascii="黑体" w:hAnsi="黑体" w:eastAsia="黑体" w:cs="黑体"/>
          <w:bCs/>
          <w:sz w:val="36"/>
          <w:szCs w:val="36"/>
          <w:highlight w:val="none"/>
          <w:lang w:val="zh-CN"/>
        </w:rPr>
      </w:pPr>
      <w:r>
        <w:rPr>
          <w:rFonts w:hint="eastAsia" w:ascii="黑体" w:hAnsi="黑体" w:eastAsia="黑体" w:cs="黑体"/>
          <w:bCs/>
          <w:sz w:val="36"/>
          <w:szCs w:val="36"/>
          <w:highlight w:val="none"/>
          <w:lang w:val="zh-CN"/>
        </w:rPr>
        <w:t>会计师事务所出具的近1年（</w:t>
      </w:r>
      <w:r>
        <w:rPr>
          <w:rFonts w:hint="eastAsia" w:ascii="黑体" w:hAnsi="黑体" w:eastAsia="黑体" w:cs="黑体"/>
          <w:bCs/>
          <w:sz w:val="36"/>
          <w:szCs w:val="36"/>
          <w:highlight w:val="none"/>
          <w:lang w:val="en-US" w:eastAsia="zh-CN"/>
        </w:rPr>
        <w:t>2023年</w:t>
      </w:r>
      <w:r>
        <w:rPr>
          <w:rFonts w:hint="eastAsia" w:ascii="黑体" w:hAnsi="黑体" w:eastAsia="黑体" w:cs="黑体"/>
          <w:bCs/>
          <w:sz w:val="36"/>
          <w:szCs w:val="36"/>
          <w:highlight w:val="none"/>
          <w:lang w:val="zh-CN"/>
        </w:rPr>
        <w:t>）审计报告或公司财务报表</w:t>
      </w:r>
    </w:p>
    <w:p w14:paraId="0D149DDA">
      <w:pPr>
        <w:spacing w:line="560" w:lineRule="exact"/>
        <w:ind w:firstLine="560" w:firstLineChars="200"/>
        <w:rPr>
          <w:rFonts w:ascii="黑体" w:hAnsi="黑体" w:eastAsia="黑体" w:cs="黑体"/>
          <w:bCs/>
          <w:sz w:val="36"/>
          <w:szCs w:val="36"/>
          <w:highlight w:val="none"/>
          <w:lang w:val="zh-CN"/>
        </w:rPr>
      </w:pPr>
      <w:r>
        <w:rPr>
          <w:rFonts w:hint="eastAsia"/>
          <w:sz w:val="28"/>
          <w:szCs w:val="28"/>
          <w:highlight w:val="none"/>
          <w:lang w:val="zh-CN"/>
        </w:rPr>
        <w:t>（至少包含资产负债表、利润表、现金流量表）（报价供应商属于集团公司母公司的，如提供集团公司合并财务报表，应当能够体现母公司财务报表数据且以母公司数据为准，不能体现的应当同时提供母公司的财务报表；合并报表无法拆分且未提供母公司财务报表的，相应评分以零分处理。）</w:t>
      </w:r>
    </w:p>
    <w:p w14:paraId="137DB61F">
      <w:pPr>
        <w:widowControl/>
        <w:ind w:firstLine="420" w:firstLineChars="200"/>
        <w:jc w:val="left"/>
        <w:rPr>
          <w:rFonts w:ascii="Arial" w:hAnsi="Arial" w:eastAsia="黑体"/>
          <w:bCs/>
          <w:sz w:val="28"/>
          <w:szCs w:val="28"/>
          <w:highlight w:val="none"/>
          <w:lang w:val="zh-CN"/>
        </w:rPr>
      </w:pPr>
      <w:r>
        <w:rPr>
          <w:bCs/>
          <w:highlight w:val="none"/>
          <w:lang w:val="zh-CN"/>
        </w:rPr>
        <w:br w:type="page"/>
      </w:r>
    </w:p>
    <w:p w14:paraId="359B4F31">
      <w:pPr>
        <w:pStyle w:val="6"/>
        <w:spacing w:before="120" w:beforeLines="50" w:after="120" w:afterLines="50" w:line="560" w:lineRule="exact"/>
        <w:rPr>
          <w:rFonts w:ascii="方正小标宋简体" w:hAnsi="宋体" w:eastAsia="方正小标宋简体"/>
          <w:b w:val="0"/>
          <w:sz w:val="44"/>
          <w:szCs w:val="44"/>
          <w:highlight w:val="none"/>
        </w:rPr>
      </w:pPr>
      <w:r>
        <w:rPr>
          <w:rFonts w:hint="eastAsia"/>
          <w:b w:val="0"/>
          <w:highlight w:val="none"/>
        </w:rPr>
        <w:t>附件</w:t>
      </w:r>
      <w:r>
        <w:rPr>
          <w:b w:val="0"/>
          <w:highlight w:val="none"/>
        </w:rPr>
        <w:t>3-9</w:t>
      </w:r>
      <w:r>
        <w:rPr>
          <w:rFonts w:hint="eastAsia"/>
          <w:b w:val="0"/>
          <w:highlight w:val="none"/>
        </w:rPr>
        <w:t xml:space="preserve"> 谈判保证金缴纳证明材料</w:t>
      </w:r>
      <w:bookmarkEnd w:id="734"/>
      <w:bookmarkEnd w:id="735"/>
      <w:bookmarkEnd w:id="736"/>
      <w:bookmarkEnd w:id="737"/>
      <w:bookmarkEnd w:id="738"/>
      <w:bookmarkEnd w:id="739"/>
    </w:p>
    <w:p w14:paraId="43B1F096">
      <w:pPr>
        <w:spacing w:line="560" w:lineRule="exact"/>
        <w:jc w:val="center"/>
        <w:rPr>
          <w:rFonts w:ascii="宋体" w:hAnsi="宋体" w:cs="宋体"/>
          <w:bCs/>
          <w:sz w:val="28"/>
          <w:szCs w:val="28"/>
          <w:highlight w:val="none"/>
          <w:u w:val="single"/>
        </w:rPr>
      </w:pPr>
      <w:r>
        <w:rPr>
          <w:rFonts w:hint="eastAsia" w:ascii="黑体" w:hAnsi="黑体" w:eastAsia="黑体" w:cs="黑体"/>
          <w:bCs/>
          <w:sz w:val="36"/>
          <w:szCs w:val="36"/>
          <w:highlight w:val="none"/>
        </w:rPr>
        <w:t>谈判保证金缴纳证明材料</w:t>
      </w:r>
    </w:p>
    <w:p w14:paraId="733283FE">
      <w:pPr>
        <w:spacing w:before="240" w:beforeLines="100" w:line="360" w:lineRule="auto"/>
        <w:jc w:val="center"/>
        <w:rPr>
          <w:rFonts w:ascii="宋体" w:hAnsi="宋体" w:cs="宋体"/>
          <w:bCs/>
          <w:sz w:val="28"/>
          <w:szCs w:val="28"/>
          <w:highlight w:val="none"/>
          <w:u w:val="single"/>
        </w:rPr>
      </w:pPr>
      <w:r>
        <w:rPr>
          <w:rFonts w:hint="eastAsia" w:ascii="宋体" w:hAnsi="宋体"/>
          <w:sz w:val="28"/>
          <w:szCs w:val="28"/>
          <w:highlight w:val="none"/>
        </w:rPr>
        <w:t>（一般为银行转账凭证，谈判保证金应当从报价供应商的银行账户缴纳）</w:t>
      </w:r>
    </w:p>
    <w:p w14:paraId="0546180B">
      <w:pPr>
        <w:spacing w:line="360" w:lineRule="auto"/>
        <w:jc w:val="center"/>
        <w:rPr>
          <w:rFonts w:ascii="宋体" w:hAnsi="宋体" w:cs="宋体"/>
          <w:bCs/>
          <w:sz w:val="28"/>
          <w:szCs w:val="28"/>
          <w:highlight w:val="none"/>
          <w:u w:val="single"/>
        </w:rPr>
      </w:pPr>
    </w:p>
    <w:p w14:paraId="6C7AECB7">
      <w:pPr>
        <w:spacing w:line="360" w:lineRule="auto"/>
        <w:jc w:val="center"/>
        <w:rPr>
          <w:bCs/>
          <w:sz w:val="28"/>
          <w:szCs w:val="28"/>
          <w:highlight w:val="none"/>
          <w:lang w:val="zh-CN"/>
        </w:rPr>
      </w:pPr>
    </w:p>
    <w:p w14:paraId="0E251F42">
      <w:pPr>
        <w:pStyle w:val="6"/>
        <w:spacing w:before="120" w:beforeLines="50" w:after="120" w:afterLines="50" w:line="560" w:lineRule="exact"/>
        <w:rPr>
          <w:b w:val="0"/>
          <w:highlight w:val="none"/>
          <w:lang w:val="zh-CN"/>
        </w:rPr>
      </w:pPr>
      <w:r>
        <w:rPr>
          <w:b w:val="0"/>
          <w:highlight w:val="none"/>
        </w:rPr>
        <w:br w:type="page"/>
      </w:r>
      <w:bookmarkStart w:id="740" w:name="_Toc6667"/>
      <w:bookmarkStart w:id="741" w:name="_Toc25249"/>
      <w:bookmarkStart w:id="742" w:name="_Toc6984"/>
      <w:bookmarkStart w:id="743" w:name="_Toc12066"/>
      <w:bookmarkStart w:id="744" w:name="_Toc23675"/>
      <w:bookmarkStart w:id="745" w:name="_Toc2859"/>
      <w:bookmarkStart w:id="746" w:name="_Toc21675"/>
      <w:bookmarkStart w:id="747" w:name="_Toc112768488"/>
      <w:bookmarkStart w:id="748" w:name="_Toc14822"/>
      <w:bookmarkStart w:id="749" w:name="_Toc112768487"/>
      <w:bookmarkStart w:id="750" w:name="_Toc32275"/>
      <w:bookmarkStart w:id="751" w:name="_Toc27304"/>
      <w:bookmarkStart w:id="752" w:name="_Toc11020"/>
      <w:bookmarkStart w:id="753" w:name="_Toc17623"/>
      <w:bookmarkStart w:id="754" w:name="_Toc27010"/>
      <w:r>
        <w:rPr>
          <w:rFonts w:hint="eastAsia"/>
          <w:b w:val="0"/>
          <w:highlight w:val="none"/>
        </w:rPr>
        <w:t>※</w:t>
      </w:r>
      <w:r>
        <w:rPr>
          <w:rFonts w:hint="eastAsia"/>
          <w:b w:val="0"/>
          <w:highlight w:val="none"/>
          <w:lang w:val="zh-CN"/>
        </w:rPr>
        <w:t>附件</w:t>
      </w:r>
      <w:r>
        <w:rPr>
          <w:b w:val="0"/>
          <w:highlight w:val="none"/>
          <w:lang w:val="zh-CN"/>
        </w:rPr>
        <w:t>3-</w:t>
      </w:r>
      <w:r>
        <w:rPr>
          <w:b w:val="0"/>
          <w:highlight w:val="none"/>
        </w:rPr>
        <w:t>10</w:t>
      </w:r>
      <w:r>
        <w:rPr>
          <w:b w:val="0"/>
          <w:highlight w:val="none"/>
          <w:lang w:val="zh-CN"/>
        </w:rPr>
        <w:t xml:space="preserve"> </w:t>
      </w:r>
      <w:r>
        <w:rPr>
          <w:rFonts w:hint="eastAsia"/>
          <w:b w:val="0"/>
          <w:highlight w:val="none"/>
          <w:lang w:val="zh-CN"/>
        </w:rPr>
        <w:t>管理体系认证证书</w:t>
      </w:r>
      <w:bookmarkEnd w:id="740"/>
      <w:bookmarkEnd w:id="741"/>
      <w:bookmarkEnd w:id="742"/>
      <w:bookmarkEnd w:id="743"/>
      <w:bookmarkEnd w:id="744"/>
    </w:p>
    <w:p w14:paraId="751EA333">
      <w:pPr>
        <w:spacing w:before="120" w:beforeLines="50" w:after="120" w:afterLines="50" w:line="560" w:lineRule="exact"/>
        <w:jc w:val="center"/>
        <w:rPr>
          <w:rFonts w:ascii="黑体" w:hAnsi="黑体" w:eastAsia="黑体" w:cs="黑体"/>
          <w:bCs/>
          <w:sz w:val="36"/>
          <w:szCs w:val="36"/>
          <w:highlight w:val="none"/>
          <w:lang w:val="zh-CN"/>
        </w:rPr>
      </w:pPr>
      <w:r>
        <w:rPr>
          <w:rFonts w:hint="eastAsia" w:ascii="黑体" w:hAnsi="黑体" w:eastAsia="黑体" w:cs="黑体"/>
          <w:bCs/>
          <w:sz w:val="36"/>
          <w:szCs w:val="36"/>
          <w:highlight w:val="none"/>
          <w:lang w:val="zh-CN"/>
        </w:rPr>
        <w:t>管理体系认证证书</w:t>
      </w:r>
    </w:p>
    <w:p w14:paraId="0C9EC97E">
      <w:pPr>
        <w:spacing w:line="360" w:lineRule="auto"/>
        <w:ind w:firstLine="560" w:firstLineChars="200"/>
        <w:jc w:val="left"/>
        <w:rPr>
          <w:bCs/>
          <w:sz w:val="28"/>
          <w:szCs w:val="28"/>
          <w:highlight w:val="none"/>
          <w:lang w:val="zh-CN"/>
        </w:rPr>
      </w:pPr>
      <w:r>
        <w:rPr>
          <w:rFonts w:hint="eastAsia"/>
          <w:bCs/>
          <w:sz w:val="28"/>
          <w:szCs w:val="28"/>
          <w:highlight w:val="none"/>
          <w:lang w:val="zh-CN"/>
        </w:rPr>
        <w:t>（</w:t>
      </w:r>
      <w:r>
        <w:rPr>
          <w:rFonts w:hint="eastAsia"/>
          <w:bCs/>
          <w:sz w:val="28"/>
          <w:szCs w:val="28"/>
          <w:highlight w:val="none"/>
        </w:rPr>
        <w:t>包括质量管理体系、环境管理体系、职业健康管理体系认证证书，</w:t>
      </w:r>
      <w:r>
        <w:rPr>
          <w:rFonts w:hint="eastAsia"/>
          <w:bCs/>
          <w:sz w:val="28"/>
          <w:szCs w:val="28"/>
          <w:highlight w:val="none"/>
          <w:lang w:val="zh-CN"/>
        </w:rPr>
        <w:t>由报价供应商</w:t>
      </w:r>
      <w:r>
        <w:rPr>
          <w:rFonts w:hint="eastAsia"/>
          <w:bCs/>
          <w:sz w:val="28"/>
          <w:szCs w:val="28"/>
          <w:highlight w:val="none"/>
        </w:rPr>
        <w:t>按谈判文件要求提供。</w:t>
      </w:r>
      <w:r>
        <w:rPr>
          <w:rFonts w:hint="eastAsia"/>
          <w:bCs/>
          <w:sz w:val="28"/>
          <w:szCs w:val="28"/>
          <w:highlight w:val="none"/>
          <w:lang w:val="zh-CN"/>
        </w:rPr>
        <w:t>）</w:t>
      </w:r>
    </w:p>
    <w:bookmarkEnd w:id="745"/>
    <w:bookmarkEnd w:id="746"/>
    <w:bookmarkEnd w:id="747"/>
    <w:bookmarkEnd w:id="748"/>
    <w:p w14:paraId="7BD615AD">
      <w:pPr>
        <w:pStyle w:val="6"/>
        <w:spacing w:before="120" w:beforeLines="50" w:after="120" w:afterLines="50" w:line="560" w:lineRule="exact"/>
        <w:rPr>
          <w:rFonts w:ascii="黑体" w:hAnsi="黑体" w:cs="黑体"/>
          <w:b w:val="0"/>
          <w:highlight w:val="none"/>
          <w:lang w:val="zh-CN"/>
        </w:rPr>
      </w:pPr>
      <w:r>
        <w:rPr>
          <w:b w:val="0"/>
          <w:highlight w:val="none"/>
          <w:lang w:val="zh-CN"/>
        </w:rPr>
        <w:br w:type="page"/>
      </w:r>
      <w:bookmarkEnd w:id="749"/>
      <w:bookmarkEnd w:id="750"/>
      <w:bookmarkEnd w:id="751"/>
      <w:bookmarkEnd w:id="752"/>
      <w:bookmarkEnd w:id="753"/>
      <w:bookmarkEnd w:id="754"/>
      <w:bookmarkStart w:id="755" w:name="_Toc13444"/>
      <w:bookmarkStart w:id="756" w:name="_Toc23109"/>
      <w:r>
        <w:rPr>
          <w:rFonts w:hint="eastAsia" w:ascii="黑体" w:hAnsi="黑体" w:cs="黑体"/>
          <w:b w:val="0"/>
          <w:highlight w:val="none"/>
          <w:lang w:val="zh-CN"/>
        </w:rPr>
        <w:t>附件</w:t>
      </w:r>
      <w:r>
        <w:rPr>
          <w:rFonts w:hint="eastAsia" w:ascii="黑体" w:hAnsi="黑体" w:cs="黑体"/>
          <w:b w:val="0"/>
          <w:highlight w:val="none"/>
          <w:lang w:val="en-US" w:eastAsia="zh-CN"/>
        </w:rPr>
        <w:t>3-11</w:t>
      </w:r>
      <w:bookmarkEnd w:id="755"/>
      <w:bookmarkEnd w:id="756"/>
      <w:bookmarkStart w:id="757" w:name="_Toc30470"/>
      <w:r>
        <w:rPr>
          <w:rFonts w:hint="eastAsia" w:ascii="黑体" w:hAnsi="黑体" w:cs="黑体"/>
          <w:b w:val="0"/>
          <w:highlight w:val="none"/>
        </w:rPr>
        <w:t>其他资料</w:t>
      </w:r>
      <w:bookmarkEnd w:id="757"/>
    </w:p>
    <w:p w14:paraId="003B9F5D">
      <w:pPr>
        <w:jc w:val="center"/>
        <w:rPr>
          <w:rFonts w:ascii="黑体" w:hAnsi="黑体" w:eastAsia="黑体" w:cs="黑体"/>
          <w:sz w:val="36"/>
          <w:szCs w:val="36"/>
          <w:highlight w:val="none"/>
        </w:rPr>
      </w:pPr>
      <w:r>
        <w:rPr>
          <w:rFonts w:hint="eastAsia" w:ascii="黑体" w:hAnsi="黑体" w:eastAsia="黑体" w:cs="黑体"/>
          <w:sz w:val="36"/>
          <w:szCs w:val="36"/>
          <w:highlight w:val="none"/>
        </w:rPr>
        <w:t>其他资料</w:t>
      </w:r>
      <w:bookmarkStart w:id="758" w:name="_Hlk118451904"/>
    </w:p>
    <w:bookmarkEnd w:id="758"/>
    <w:p w14:paraId="36307B23">
      <w:pPr>
        <w:spacing w:before="120" w:beforeLines="50"/>
        <w:jc w:val="center"/>
        <w:rPr>
          <w:sz w:val="28"/>
          <w:szCs w:val="28"/>
          <w:highlight w:val="none"/>
        </w:rPr>
      </w:pPr>
      <w:r>
        <w:rPr>
          <w:rFonts w:hint="eastAsia"/>
          <w:sz w:val="28"/>
          <w:szCs w:val="28"/>
          <w:highlight w:val="none"/>
        </w:rPr>
        <w:t>（报价供应商根据谈判文件规定的资格要求，自行添加其他资料）</w:t>
      </w:r>
    </w:p>
    <w:p w14:paraId="61D2B8CB">
      <w:pPr>
        <w:jc w:val="center"/>
        <w:rPr>
          <w:rFonts w:ascii="黑体" w:hAnsi="黑体" w:eastAsia="黑体" w:cs="黑体"/>
          <w:sz w:val="36"/>
          <w:szCs w:val="36"/>
          <w:highlight w:val="none"/>
        </w:rPr>
      </w:pPr>
    </w:p>
    <w:p w14:paraId="51E60BB6">
      <w:pPr>
        <w:jc w:val="center"/>
        <w:rPr>
          <w:rFonts w:ascii="黑体" w:hAnsi="黑体" w:eastAsia="黑体" w:cs="黑体"/>
          <w:sz w:val="36"/>
          <w:szCs w:val="36"/>
          <w:highlight w:val="none"/>
        </w:rPr>
      </w:pPr>
    </w:p>
    <w:p w14:paraId="6C84797F">
      <w:pPr>
        <w:jc w:val="center"/>
        <w:rPr>
          <w:rFonts w:ascii="黑体" w:hAnsi="黑体" w:eastAsia="黑体" w:cs="黑体"/>
          <w:sz w:val="36"/>
          <w:szCs w:val="36"/>
          <w:highlight w:val="none"/>
        </w:rPr>
        <w:sectPr>
          <w:pgSz w:w="11906" w:h="16838"/>
          <w:pgMar w:top="1418" w:right="1134" w:bottom="1418" w:left="1418" w:header="851" w:footer="851" w:gutter="0"/>
          <w:pgNumType w:fmt="decimal"/>
          <w:cols w:space="720" w:num="1"/>
          <w:docGrid w:linePitch="388" w:charSpace="-1260"/>
        </w:sectPr>
      </w:pPr>
    </w:p>
    <w:p w14:paraId="2103F46E">
      <w:pPr>
        <w:spacing w:before="1920" w:beforeLines="800" w:line="480" w:lineRule="auto"/>
        <w:jc w:val="center"/>
        <w:rPr>
          <w:rFonts w:ascii="方正小标宋简体" w:eastAsia="方正小标宋简体"/>
          <w:bCs/>
          <w:sz w:val="48"/>
          <w:szCs w:val="48"/>
          <w:highlight w:val="none"/>
        </w:rPr>
      </w:pPr>
      <w:bookmarkStart w:id="759" w:name="_Toc150421237"/>
      <w:bookmarkStart w:id="760" w:name="_Toc127820554"/>
      <w:bookmarkStart w:id="761" w:name="_Toc128150123"/>
      <w:bookmarkStart w:id="762" w:name="_Toc130657981"/>
      <w:bookmarkStart w:id="763" w:name="_Toc27305"/>
      <w:bookmarkStart w:id="764" w:name="_Toc130886988"/>
      <w:bookmarkStart w:id="765" w:name="_Toc128151016"/>
      <w:bookmarkStart w:id="766" w:name="_Toc130887489"/>
      <w:bookmarkStart w:id="767" w:name="_Toc128397959"/>
      <w:bookmarkStart w:id="768" w:name="_Toc9547"/>
      <w:bookmarkStart w:id="769" w:name="_Toc32656"/>
      <w:bookmarkStart w:id="770" w:name="_Toc130657527"/>
      <w:bookmarkStart w:id="771" w:name="_Toc152058280"/>
      <w:r>
        <w:rPr>
          <w:rFonts w:hint="eastAsia" w:ascii="方正小标宋简体" w:eastAsia="方正小标宋简体"/>
          <w:bCs/>
          <w:sz w:val="48"/>
          <w:szCs w:val="48"/>
          <w:highlight w:val="none"/>
        </w:rPr>
        <w:t>军队物资类项目竞争性谈判文件</w:t>
      </w:r>
      <w:r>
        <w:rPr>
          <w:rFonts w:hint="eastAsia" w:ascii="楷体" w:hAnsi="楷体" w:eastAsia="楷体"/>
          <w:iCs/>
          <w:sz w:val="48"/>
          <w:szCs w:val="48"/>
          <w:highlight w:val="none"/>
        </w:rPr>
        <w:t>（2.0版）</w:t>
      </w:r>
    </w:p>
    <w:p w14:paraId="1F9698E1">
      <w:pPr>
        <w:pStyle w:val="3"/>
        <w:rPr>
          <w:rFonts w:ascii="方正小标宋简体" w:eastAsia="方正小标宋简体"/>
          <w:b w:val="0"/>
          <w:sz w:val="84"/>
          <w:szCs w:val="84"/>
          <w:highlight w:val="none"/>
        </w:rPr>
      </w:pPr>
      <w:bookmarkStart w:id="772" w:name="_Toc23541"/>
      <w:bookmarkStart w:id="773" w:name="_Toc3175"/>
      <w:bookmarkStart w:id="774" w:name="_Toc14564"/>
      <w:r>
        <w:rPr>
          <w:rFonts w:hint="eastAsia" w:ascii="方正小标宋简体" w:eastAsia="方正小标宋简体"/>
          <w:b w:val="0"/>
          <w:sz w:val="84"/>
          <w:szCs w:val="84"/>
          <w:highlight w:val="none"/>
        </w:rPr>
        <w:t>专用文件</w:t>
      </w:r>
      <w:bookmarkEnd w:id="759"/>
      <w:bookmarkEnd w:id="760"/>
      <w:bookmarkEnd w:id="761"/>
      <w:bookmarkEnd w:id="762"/>
      <w:bookmarkEnd w:id="763"/>
      <w:bookmarkEnd w:id="764"/>
      <w:bookmarkEnd w:id="765"/>
      <w:bookmarkEnd w:id="766"/>
      <w:bookmarkEnd w:id="767"/>
      <w:bookmarkEnd w:id="768"/>
      <w:bookmarkEnd w:id="769"/>
      <w:bookmarkEnd w:id="770"/>
      <w:bookmarkEnd w:id="771"/>
      <w:bookmarkEnd w:id="772"/>
      <w:bookmarkEnd w:id="773"/>
      <w:bookmarkEnd w:id="774"/>
    </w:p>
    <w:p w14:paraId="35765F8C">
      <w:pPr>
        <w:pStyle w:val="22"/>
        <w:adjustRightInd w:val="0"/>
        <w:snapToGrid w:val="0"/>
        <w:spacing w:line="240" w:lineRule="atLeast"/>
        <w:jc w:val="center"/>
        <w:rPr>
          <w:rFonts w:hAnsi="宋体"/>
          <w:bCs/>
          <w:sz w:val="32"/>
          <w:szCs w:val="32"/>
          <w:highlight w:val="none"/>
        </w:rPr>
      </w:pPr>
    </w:p>
    <w:p w14:paraId="4E97E302">
      <w:pPr>
        <w:pStyle w:val="22"/>
        <w:adjustRightInd w:val="0"/>
        <w:snapToGrid w:val="0"/>
        <w:spacing w:line="240" w:lineRule="atLeast"/>
        <w:jc w:val="center"/>
        <w:rPr>
          <w:rFonts w:hAnsi="宋体"/>
          <w:bCs/>
          <w:sz w:val="32"/>
          <w:szCs w:val="32"/>
          <w:highlight w:val="none"/>
        </w:rPr>
      </w:pPr>
    </w:p>
    <w:p w14:paraId="02562BD3">
      <w:pPr>
        <w:pStyle w:val="22"/>
        <w:adjustRightInd w:val="0"/>
        <w:snapToGrid w:val="0"/>
        <w:spacing w:line="240" w:lineRule="atLeast"/>
        <w:jc w:val="center"/>
        <w:rPr>
          <w:rFonts w:hAnsi="宋体"/>
          <w:bCs/>
          <w:sz w:val="32"/>
          <w:szCs w:val="32"/>
          <w:highlight w:val="none"/>
        </w:rPr>
      </w:pPr>
    </w:p>
    <w:p w14:paraId="6080C741">
      <w:pPr>
        <w:pStyle w:val="22"/>
        <w:adjustRightInd w:val="0"/>
        <w:snapToGrid w:val="0"/>
        <w:spacing w:line="240" w:lineRule="atLeast"/>
        <w:jc w:val="center"/>
        <w:rPr>
          <w:rFonts w:hAnsi="宋体"/>
          <w:bCs/>
          <w:sz w:val="32"/>
          <w:szCs w:val="32"/>
          <w:highlight w:val="none"/>
        </w:rPr>
      </w:pPr>
    </w:p>
    <w:p w14:paraId="50EB67C4">
      <w:pPr>
        <w:spacing w:line="560" w:lineRule="exact"/>
        <w:ind w:firstLine="2160" w:firstLineChars="600"/>
        <w:rPr>
          <w:rFonts w:hint="eastAsia" w:ascii="方正小标宋简体" w:eastAsia="方正小标宋简体"/>
          <w:bCs/>
          <w:sz w:val="36"/>
          <w:szCs w:val="36"/>
          <w:highlight w:val="none"/>
          <w:lang w:eastAsia="zh-CN"/>
        </w:rPr>
      </w:pPr>
      <w:r>
        <w:rPr>
          <w:rFonts w:hint="eastAsia" w:ascii="方正小标宋简体" w:eastAsia="方正小标宋简体"/>
          <w:bCs/>
          <w:sz w:val="36"/>
          <w:szCs w:val="36"/>
          <w:highlight w:val="none"/>
        </w:rPr>
        <w:t>项目名称：</w:t>
      </w:r>
      <w:r>
        <w:rPr>
          <w:rFonts w:hint="eastAsia" w:ascii="方正小标宋简体" w:eastAsia="方正小标宋简体"/>
          <w:bCs/>
          <w:sz w:val="36"/>
          <w:szCs w:val="36"/>
          <w:highlight w:val="none"/>
          <w:u w:val="single"/>
          <w:lang w:eastAsia="zh-CN"/>
        </w:rPr>
        <w:t>细胞能量代谢系统（第三次）</w:t>
      </w:r>
    </w:p>
    <w:p w14:paraId="693D8259">
      <w:pPr>
        <w:spacing w:line="560" w:lineRule="exact"/>
        <w:ind w:firstLine="2160" w:firstLineChars="600"/>
        <w:rPr>
          <w:rFonts w:hint="eastAsia" w:ascii="方正小标宋简体" w:eastAsia="方正小标宋简体"/>
          <w:bCs/>
          <w:sz w:val="36"/>
          <w:szCs w:val="36"/>
          <w:highlight w:val="none"/>
          <w:lang w:eastAsia="zh-CN"/>
        </w:rPr>
      </w:pPr>
      <w:r>
        <w:rPr>
          <w:rFonts w:hint="eastAsia" w:ascii="方正小标宋简体" w:eastAsia="方正小标宋简体"/>
          <w:bCs/>
          <w:sz w:val="36"/>
          <w:szCs w:val="36"/>
          <w:highlight w:val="none"/>
        </w:rPr>
        <w:t>项目编号：</w:t>
      </w:r>
      <w:r>
        <w:rPr>
          <w:rFonts w:hint="eastAsia" w:ascii="方正小标宋简体" w:eastAsia="方正小标宋简体"/>
          <w:bCs/>
          <w:sz w:val="36"/>
          <w:szCs w:val="36"/>
          <w:highlight w:val="none"/>
          <w:u w:val="single"/>
          <w:lang w:eastAsia="zh-CN"/>
        </w:rPr>
        <w:t>2024-JL13(04)-W30041</w:t>
      </w:r>
    </w:p>
    <w:p w14:paraId="4FE1AB67">
      <w:pPr>
        <w:pStyle w:val="22"/>
        <w:adjustRightInd w:val="0"/>
        <w:snapToGrid w:val="0"/>
        <w:spacing w:line="240" w:lineRule="atLeast"/>
        <w:jc w:val="center"/>
        <w:rPr>
          <w:rFonts w:hAnsi="宋体"/>
          <w:bCs/>
          <w:sz w:val="32"/>
          <w:szCs w:val="32"/>
          <w:highlight w:val="none"/>
        </w:rPr>
      </w:pPr>
    </w:p>
    <w:p w14:paraId="0F54F5FC">
      <w:pPr>
        <w:pStyle w:val="22"/>
        <w:adjustRightInd w:val="0"/>
        <w:snapToGrid w:val="0"/>
        <w:spacing w:line="240" w:lineRule="atLeast"/>
        <w:jc w:val="center"/>
        <w:rPr>
          <w:rFonts w:hAnsi="宋体"/>
          <w:bCs/>
          <w:sz w:val="32"/>
          <w:szCs w:val="32"/>
          <w:highlight w:val="none"/>
        </w:rPr>
      </w:pPr>
    </w:p>
    <w:p w14:paraId="29BAA1E2">
      <w:pPr>
        <w:pStyle w:val="22"/>
        <w:adjustRightInd w:val="0"/>
        <w:snapToGrid w:val="0"/>
        <w:spacing w:line="240" w:lineRule="atLeast"/>
        <w:jc w:val="center"/>
        <w:rPr>
          <w:rFonts w:hAnsi="宋体"/>
          <w:bCs/>
          <w:sz w:val="32"/>
          <w:szCs w:val="32"/>
          <w:highlight w:val="none"/>
        </w:rPr>
      </w:pPr>
    </w:p>
    <w:p w14:paraId="0EAC6036">
      <w:pPr>
        <w:pStyle w:val="22"/>
        <w:adjustRightInd w:val="0"/>
        <w:snapToGrid w:val="0"/>
        <w:spacing w:line="240" w:lineRule="atLeast"/>
        <w:jc w:val="center"/>
        <w:rPr>
          <w:rFonts w:hAnsi="宋体"/>
          <w:bCs/>
          <w:sz w:val="32"/>
          <w:szCs w:val="32"/>
          <w:highlight w:val="none"/>
        </w:rPr>
      </w:pPr>
    </w:p>
    <w:p w14:paraId="65DB341C">
      <w:pPr>
        <w:pStyle w:val="22"/>
        <w:adjustRightInd w:val="0"/>
        <w:snapToGrid w:val="0"/>
        <w:spacing w:line="240" w:lineRule="atLeast"/>
        <w:jc w:val="center"/>
        <w:rPr>
          <w:rFonts w:hAnsi="宋体"/>
          <w:bCs/>
          <w:sz w:val="32"/>
          <w:szCs w:val="32"/>
          <w:highlight w:val="none"/>
        </w:rPr>
      </w:pPr>
    </w:p>
    <w:p w14:paraId="4A338E4F">
      <w:pPr>
        <w:pStyle w:val="22"/>
        <w:adjustRightInd w:val="0"/>
        <w:snapToGrid w:val="0"/>
        <w:spacing w:line="240" w:lineRule="atLeast"/>
        <w:jc w:val="center"/>
        <w:rPr>
          <w:rFonts w:hAnsi="宋体"/>
          <w:bCs/>
          <w:sz w:val="32"/>
          <w:szCs w:val="32"/>
          <w:highlight w:val="none"/>
        </w:rPr>
      </w:pPr>
    </w:p>
    <w:p w14:paraId="285B089E">
      <w:pPr>
        <w:jc w:val="center"/>
        <w:rPr>
          <w:rFonts w:ascii="方正小标宋简体" w:eastAsia="方正小标宋简体"/>
          <w:bCs/>
          <w:sz w:val="36"/>
          <w:szCs w:val="36"/>
          <w:highlight w:val="none"/>
        </w:rPr>
      </w:pPr>
    </w:p>
    <w:p w14:paraId="0B414EC1">
      <w:pPr>
        <w:jc w:val="center"/>
        <w:rPr>
          <w:rFonts w:ascii="方正小标宋简体" w:eastAsia="方正小标宋简体"/>
          <w:bCs/>
          <w:sz w:val="36"/>
          <w:szCs w:val="36"/>
          <w:highlight w:val="none"/>
        </w:rPr>
      </w:pPr>
      <w:r>
        <w:rPr>
          <w:rFonts w:hint="eastAsia" w:ascii="方正小标宋简体" w:eastAsia="方正小标宋简体"/>
          <w:sz w:val="36"/>
          <w:szCs w:val="36"/>
          <w:highlight w:val="none"/>
        </w:rPr>
        <w:t>采购机构：</w:t>
      </w:r>
      <w:r>
        <w:rPr>
          <w:rFonts w:hint="eastAsia" w:ascii="方正小标宋简体" w:eastAsia="方正小标宋简体"/>
          <w:bCs/>
          <w:sz w:val="36"/>
          <w:szCs w:val="36"/>
          <w:highlight w:val="none"/>
          <w:u w:val="single"/>
          <w:lang w:eastAsia="zh-CN"/>
        </w:rPr>
        <w:t>物资采购中心</w:t>
      </w:r>
    </w:p>
    <w:p w14:paraId="37F6D35C">
      <w:pPr>
        <w:pStyle w:val="22"/>
        <w:adjustRightInd w:val="0"/>
        <w:snapToGrid w:val="0"/>
        <w:spacing w:line="240" w:lineRule="atLeast"/>
        <w:jc w:val="center"/>
        <w:rPr>
          <w:rFonts w:hint="eastAsia" w:ascii="楷体" w:hAnsi="楷体" w:eastAsia="楷体"/>
          <w:bCs/>
          <w:sz w:val="30"/>
          <w:szCs w:val="30"/>
          <w:highlight w:val="none"/>
        </w:rPr>
      </w:pPr>
    </w:p>
    <w:p w14:paraId="4538E891">
      <w:pPr>
        <w:pStyle w:val="22"/>
        <w:adjustRightInd w:val="0"/>
        <w:snapToGrid w:val="0"/>
        <w:spacing w:line="240" w:lineRule="atLeast"/>
        <w:jc w:val="center"/>
        <w:rPr>
          <w:rFonts w:hint="eastAsia" w:ascii="楷体" w:hAnsi="楷体" w:eastAsia="楷体"/>
          <w:bCs/>
          <w:sz w:val="30"/>
          <w:szCs w:val="30"/>
          <w:highlight w:val="none"/>
        </w:rPr>
      </w:pPr>
    </w:p>
    <w:p w14:paraId="7C73F3DD">
      <w:pPr>
        <w:pStyle w:val="22"/>
        <w:adjustRightInd w:val="0"/>
        <w:snapToGrid w:val="0"/>
        <w:spacing w:line="240" w:lineRule="atLeast"/>
        <w:jc w:val="center"/>
        <w:rPr>
          <w:rFonts w:ascii="楷体" w:hAnsi="楷体" w:eastAsia="楷体"/>
          <w:bCs/>
          <w:sz w:val="30"/>
          <w:szCs w:val="30"/>
          <w:highlight w:val="none"/>
        </w:rPr>
      </w:pPr>
      <w:r>
        <w:rPr>
          <w:rFonts w:hint="eastAsia" w:ascii="楷体" w:hAnsi="楷体" w:eastAsia="楷体"/>
          <w:bCs/>
          <w:sz w:val="30"/>
          <w:szCs w:val="30"/>
          <w:highlight w:val="none"/>
        </w:rPr>
        <w:t>（与《军队物资类项目竞争性谈判文件通用文件</w:t>
      </w:r>
      <w:r>
        <w:rPr>
          <w:rFonts w:hint="eastAsia" w:ascii="楷体" w:hAnsi="楷体" w:eastAsia="楷体"/>
          <w:bCs/>
          <w:sz w:val="30"/>
          <w:szCs w:val="30"/>
          <w:highlight w:val="none"/>
          <w:u w:val="single"/>
        </w:rPr>
        <w:t>（</w:t>
      </w:r>
      <w:r>
        <w:rPr>
          <w:rFonts w:ascii="楷体" w:hAnsi="楷体" w:eastAsia="楷体"/>
          <w:bCs/>
          <w:sz w:val="30"/>
          <w:szCs w:val="30"/>
          <w:highlight w:val="none"/>
          <w:u w:val="single"/>
        </w:rPr>
        <w:t>2.0</w:t>
      </w:r>
      <w:r>
        <w:rPr>
          <w:rFonts w:hint="eastAsia" w:ascii="楷体" w:hAnsi="楷体" w:eastAsia="楷体"/>
          <w:bCs/>
          <w:sz w:val="30"/>
          <w:szCs w:val="30"/>
          <w:highlight w:val="none"/>
          <w:u w:val="single"/>
        </w:rPr>
        <w:t>版）</w:t>
      </w:r>
      <w:r>
        <w:rPr>
          <w:rFonts w:hint="eastAsia" w:ascii="楷体" w:hAnsi="楷体" w:eastAsia="楷体"/>
          <w:bCs/>
          <w:sz w:val="30"/>
          <w:szCs w:val="30"/>
          <w:highlight w:val="none"/>
        </w:rPr>
        <w:t>》配套使用）</w:t>
      </w:r>
    </w:p>
    <w:p w14:paraId="0505595C">
      <w:pPr>
        <w:pStyle w:val="22"/>
        <w:adjustRightInd w:val="0"/>
        <w:snapToGrid w:val="0"/>
        <w:spacing w:line="240" w:lineRule="atLeast"/>
        <w:jc w:val="center"/>
        <w:rPr>
          <w:rFonts w:hAnsi="宋体"/>
          <w:bCs/>
          <w:sz w:val="32"/>
          <w:szCs w:val="32"/>
          <w:highlight w:val="none"/>
        </w:rPr>
      </w:pPr>
    </w:p>
    <w:p w14:paraId="619164E1">
      <w:pPr>
        <w:pStyle w:val="22"/>
        <w:adjustRightInd w:val="0"/>
        <w:snapToGrid w:val="0"/>
        <w:spacing w:line="240" w:lineRule="atLeast"/>
        <w:jc w:val="center"/>
        <w:rPr>
          <w:rFonts w:ascii="楷体" w:hAnsi="楷体" w:eastAsia="楷体"/>
          <w:bCs/>
          <w:sz w:val="30"/>
          <w:szCs w:val="30"/>
          <w:highlight w:val="none"/>
        </w:rPr>
      </w:pPr>
    </w:p>
    <w:p w14:paraId="273E183C">
      <w:pPr>
        <w:pStyle w:val="22"/>
        <w:adjustRightInd w:val="0"/>
        <w:snapToGrid w:val="0"/>
        <w:spacing w:line="240" w:lineRule="atLeast"/>
        <w:jc w:val="center"/>
        <w:rPr>
          <w:rFonts w:ascii="楷体" w:hAnsi="楷体" w:eastAsia="楷体"/>
          <w:bCs/>
          <w:sz w:val="30"/>
          <w:szCs w:val="30"/>
          <w:highlight w:val="none"/>
        </w:rPr>
      </w:pPr>
    </w:p>
    <w:p w14:paraId="45D51B15">
      <w:pPr>
        <w:pStyle w:val="22"/>
        <w:adjustRightInd w:val="0"/>
        <w:snapToGrid w:val="0"/>
        <w:spacing w:line="240" w:lineRule="atLeast"/>
        <w:jc w:val="center"/>
        <w:rPr>
          <w:rFonts w:ascii="楷体" w:hAnsi="楷体" w:eastAsia="楷体"/>
          <w:bCs/>
          <w:sz w:val="30"/>
          <w:szCs w:val="30"/>
          <w:highlight w:val="none"/>
        </w:rPr>
      </w:pPr>
    </w:p>
    <w:p w14:paraId="389F6EB9">
      <w:pPr>
        <w:pStyle w:val="4"/>
        <w:keepNext w:val="0"/>
        <w:keepLines w:val="0"/>
        <w:adjustRightInd w:val="0"/>
        <w:snapToGrid w:val="0"/>
        <w:spacing w:line="560" w:lineRule="exact"/>
        <w:jc w:val="center"/>
        <w:rPr>
          <w:rFonts w:ascii="方正小标宋简体"/>
          <w:bCs w:val="0"/>
          <w:szCs w:val="44"/>
          <w:highlight w:val="none"/>
        </w:rPr>
      </w:pPr>
      <w:bookmarkStart w:id="775" w:name="_Toc14208"/>
      <w:bookmarkStart w:id="776" w:name="_Toc150421238"/>
      <w:bookmarkStart w:id="777" w:name="_Toc3316"/>
      <w:bookmarkStart w:id="778" w:name="_Toc152058281"/>
      <w:bookmarkStart w:id="779" w:name="_Toc14731"/>
      <w:bookmarkStart w:id="780" w:name="_Toc10582"/>
      <w:bookmarkStart w:id="781" w:name="_Toc22719"/>
      <w:bookmarkStart w:id="782" w:name="_Toc12863"/>
      <w:r>
        <w:rPr>
          <w:rFonts w:hint="eastAsia"/>
          <w:b w:val="0"/>
          <w:szCs w:val="44"/>
          <w:highlight w:val="none"/>
          <w:lang w:val="zh-CN"/>
        </w:rPr>
        <w:t>特别提示</w:t>
      </w:r>
      <w:bookmarkEnd w:id="775"/>
      <w:bookmarkEnd w:id="776"/>
      <w:bookmarkEnd w:id="777"/>
      <w:bookmarkEnd w:id="778"/>
      <w:bookmarkEnd w:id="779"/>
      <w:bookmarkEnd w:id="780"/>
      <w:bookmarkEnd w:id="781"/>
      <w:bookmarkEnd w:id="782"/>
    </w:p>
    <w:p w14:paraId="515D925D">
      <w:pPr>
        <w:pStyle w:val="111"/>
        <w:spacing w:line="560" w:lineRule="exact"/>
        <w:ind w:firstLine="560" w:firstLineChars="200"/>
        <w:jc w:val="both"/>
        <w:textAlignment w:val="auto"/>
        <w:rPr>
          <w:rFonts w:ascii="仿宋_GB2312" w:eastAsia="仿宋_GB2312"/>
          <w:bCs/>
          <w:color w:val="auto"/>
          <w:szCs w:val="28"/>
          <w:highlight w:val="none"/>
        </w:rPr>
      </w:pPr>
      <w:r>
        <w:rPr>
          <w:rFonts w:hint="eastAsia" w:ascii="仿宋_GB2312" w:eastAsia="仿宋_GB2312"/>
          <w:bCs/>
          <w:color w:val="auto"/>
          <w:szCs w:val="28"/>
          <w:highlight w:val="none"/>
        </w:rPr>
        <w:t>一、本项目谈判文件由通用文件和专用文件共同组成，通用文件为军队物资类竞争性谈判项目的一般性说明，专用文件为本项目特定要求的具体描述。通用文件与专用文件不一致的，以专用文件为准。</w:t>
      </w:r>
    </w:p>
    <w:p w14:paraId="0A4381F1">
      <w:pPr>
        <w:pStyle w:val="111"/>
        <w:spacing w:line="560" w:lineRule="exact"/>
        <w:ind w:firstLine="560" w:firstLineChars="200"/>
        <w:jc w:val="both"/>
        <w:textAlignment w:val="auto"/>
        <w:rPr>
          <w:rFonts w:ascii="仿宋_GB2312" w:eastAsia="仿宋_GB2312"/>
          <w:bCs/>
          <w:color w:val="auto"/>
          <w:szCs w:val="28"/>
          <w:highlight w:val="none"/>
        </w:rPr>
      </w:pPr>
      <w:r>
        <w:rPr>
          <w:rFonts w:hint="eastAsia" w:ascii="仿宋_GB2312" w:eastAsia="仿宋_GB2312"/>
          <w:bCs/>
          <w:color w:val="auto"/>
          <w:szCs w:val="28"/>
          <w:highlight w:val="none"/>
        </w:rPr>
        <w:t>采购</w:t>
      </w:r>
      <w:r>
        <w:rPr>
          <w:rFonts w:ascii="仿宋_GB2312" w:eastAsia="仿宋_GB2312"/>
          <w:bCs/>
          <w:color w:val="auto"/>
          <w:szCs w:val="28"/>
          <w:highlight w:val="none"/>
        </w:rPr>
        <w:t>机构未提供通用文</w:t>
      </w:r>
      <w:r>
        <w:rPr>
          <w:rFonts w:hint="eastAsia" w:ascii="仿宋_GB2312" w:eastAsia="仿宋_GB2312"/>
          <w:bCs/>
          <w:color w:val="auto"/>
          <w:szCs w:val="28"/>
          <w:highlight w:val="none"/>
        </w:rPr>
        <w:t>件</w:t>
      </w:r>
      <w:r>
        <w:rPr>
          <w:rFonts w:ascii="仿宋_GB2312" w:eastAsia="仿宋_GB2312"/>
          <w:bCs/>
          <w:color w:val="auto"/>
          <w:szCs w:val="28"/>
          <w:highlight w:val="none"/>
        </w:rPr>
        <w:t>的，请从军队采购网</w:t>
      </w:r>
      <w:r>
        <w:rPr>
          <w:rFonts w:hint="eastAsia" w:ascii="仿宋_GB2312" w:eastAsia="仿宋_GB2312"/>
          <w:bCs/>
          <w:color w:val="auto"/>
          <w:szCs w:val="28"/>
          <w:highlight w:val="none"/>
        </w:rPr>
        <w:t>（</w:t>
      </w:r>
      <w:r>
        <w:rPr>
          <w:rFonts w:ascii="仿宋_GB2312" w:eastAsia="仿宋_GB2312"/>
          <w:bCs/>
          <w:color w:val="auto"/>
          <w:szCs w:val="28"/>
          <w:highlight w:val="none"/>
        </w:rPr>
        <w:t>www.plap.mil.cn）</w:t>
      </w:r>
      <w:r>
        <w:rPr>
          <w:rFonts w:hint="eastAsia" w:ascii="仿宋_GB2312" w:eastAsia="仿宋_GB2312"/>
          <w:bCs/>
          <w:color w:val="auto"/>
          <w:szCs w:val="28"/>
          <w:highlight w:val="none"/>
        </w:rPr>
        <w:t>“采购</w:t>
      </w:r>
      <w:r>
        <w:rPr>
          <w:rFonts w:ascii="仿宋_GB2312" w:eastAsia="仿宋_GB2312"/>
          <w:bCs/>
          <w:color w:val="auto"/>
          <w:szCs w:val="28"/>
          <w:highlight w:val="none"/>
        </w:rPr>
        <w:t>标准规范</w:t>
      </w:r>
      <w:r>
        <w:rPr>
          <w:rFonts w:hint="eastAsia" w:ascii="仿宋_GB2312" w:eastAsia="仿宋_GB2312"/>
          <w:bCs/>
          <w:color w:val="auto"/>
          <w:szCs w:val="28"/>
          <w:highlight w:val="none"/>
        </w:rPr>
        <w:t>”栏</w:t>
      </w:r>
      <w:r>
        <w:rPr>
          <w:rFonts w:ascii="仿宋_GB2312" w:eastAsia="仿宋_GB2312"/>
          <w:bCs/>
          <w:color w:val="auto"/>
          <w:szCs w:val="28"/>
          <w:highlight w:val="none"/>
        </w:rPr>
        <w:t>下载</w:t>
      </w:r>
      <w:r>
        <w:rPr>
          <w:rFonts w:hint="eastAsia" w:ascii="仿宋_GB2312" w:eastAsia="仿宋_GB2312"/>
          <w:bCs/>
          <w:color w:val="auto"/>
          <w:szCs w:val="28"/>
          <w:highlight w:val="none"/>
        </w:rPr>
        <w:t>，</w:t>
      </w:r>
      <w:r>
        <w:rPr>
          <w:rFonts w:ascii="仿宋_GB2312" w:eastAsia="仿宋_GB2312"/>
          <w:bCs/>
          <w:color w:val="auto"/>
          <w:szCs w:val="28"/>
          <w:highlight w:val="none"/>
        </w:rPr>
        <w:t>并注意下载</w:t>
      </w:r>
      <w:r>
        <w:rPr>
          <w:rFonts w:hint="eastAsia" w:ascii="仿宋_GB2312" w:eastAsia="仿宋_GB2312"/>
          <w:bCs/>
          <w:color w:val="auto"/>
          <w:szCs w:val="28"/>
          <w:highlight w:val="none"/>
        </w:rPr>
        <w:t>文件</w:t>
      </w:r>
      <w:r>
        <w:rPr>
          <w:rFonts w:ascii="仿宋_GB2312" w:eastAsia="仿宋_GB2312"/>
          <w:bCs/>
          <w:color w:val="auto"/>
          <w:szCs w:val="28"/>
          <w:highlight w:val="none"/>
        </w:rPr>
        <w:t>为</w:t>
      </w:r>
      <w:r>
        <w:rPr>
          <w:rFonts w:hint="eastAsia" w:ascii="仿宋_GB2312" w:eastAsia="仿宋_GB2312"/>
          <w:bCs/>
          <w:color w:val="auto"/>
          <w:szCs w:val="28"/>
          <w:highlight w:val="none"/>
        </w:rPr>
        <w:t>《军队物资类项目竞争性谈判文件（</w:t>
      </w:r>
      <w:r>
        <w:rPr>
          <w:rFonts w:ascii="仿宋_GB2312" w:eastAsia="仿宋_GB2312"/>
          <w:bCs/>
          <w:color w:val="auto"/>
          <w:szCs w:val="28"/>
          <w:highlight w:val="none"/>
        </w:rPr>
        <w:t>2.0</w:t>
      </w:r>
      <w:r>
        <w:rPr>
          <w:rFonts w:hint="eastAsia" w:ascii="仿宋_GB2312" w:eastAsia="仿宋_GB2312"/>
          <w:bCs/>
          <w:color w:val="auto"/>
          <w:szCs w:val="28"/>
          <w:highlight w:val="none"/>
        </w:rPr>
        <w:t>版）通用文件》。</w:t>
      </w:r>
    </w:p>
    <w:p w14:paraId="17261926">
      <w:pPr>
        <w:pStyle w:val="111"/>
        <w:spacing w:line="560" w:lineRule="exact"/>
        <w:ind w:firstLine="560" w:firstLineChars="200"/>
        <w:jc w:val="both"/>
        <w:textAlignment w:val="auto"/>
        <w:rPr>
          <w:rFonts w:ascii="仿宋_GB2312" w:eastAsia="仿宋_GB2312"/>
          <w:bCs/>
          <w:color w:val="auto"/>
          <w:szCs w:val="28"/>
          <w:highlight w:val="none"/>
        </w:rPr>
      </w:pPr>
      <w:r>
        <w:rPr>
          <w:rFonts w:hint="eastAsia" w:ascii="仿宋_GB2312" w:eastAsia="仿宋_GB2312"/>
          <w:bCs/>
          <w:color w:val="auto"/>
          <w:szCs w:val="28"/>
          <w:highlight w:val="none"/>
        </w:rPr>
        <w:t>二、报价供应商应当诚实守信，不得虚假报价。请认真阅读通用文件第三章“报价文件内容及格式”中的“供应商承诺声明”，并签字盖章确认。评审委员会和采购机构视情核实报价材料真伪，一经核实属于虚假报价的，将按照无效报价处理，并将违规情形报告采购管理部门，依法依规予以处罚。</w:t>
      </w:r>
    </w:p>
    <w:p w14:paraId="0AA0B020">
      <w:pPr>
        <w:pStyle w:val="111"/>
        <w:spacing w:line="560" w:lineRule="exact"/>
        <w:ind w:firstLine="560" w:firstLineChars="200"/>
        <w:jc w:val="both"/>
        <w:textAlignment w:val="auto"/>
        <w:rPr>
          <w:rFonts w:ascii="仿宋_GB2312" w:eastAsia="仿宋_GB2312"/>
          <w:bCs/>
          <w:color w:val="auto"/>
          <w:szCs w:val="28"/>
          <w:highlight w:val="none"/>
        </w:rPr>
      </w:pPr>
      <w:r>
        <w:rPr>
          <w:rFonts w:hint="eastAsia" w:ascii="仿宋_GB2312" w:eastAsia="仿宋_GB2312"/>
          <w:bCs/>
          <w:color w:val="auto"/>
          <w:szCs w:val="28"/>
          <w:highlight w:val="none"/>
          <w:lang w:eastAsia="zh-CN"/>
        </w:rPr>
        <w:t>三</w:t>
      </w:r>
      <w:r>
        <w:rPr>
          <w:rFonts w:hint="eastAsia" w:ascii="仿宋_GB2312" w:eastAsia="仿宋_GB2312"/>
          <w:bCs/>
          <w:color w:val="auto"/>
          <w:szCs w:val="28"/>
          <w:highlight w:val="none"/>
        </w:rPr>
        <w:t>、报价供应商应当特别留意谈判文件上载明的报价开始截止时间和地点，逾期送达的报价文件将被拒收，谈判时法定代表人（或非法人组织主要负责人，下同）应当随身携带</w:t>
      </w:r>
      <w:r>
        <w:rPr>
          <w:rFonts w:hint="eastAsia" w:ascii="黑体" w:hAnsi="黑体" w:eastAsia="黑体"/>
          <w:bCs/>
          <w:color w:val="auto"/>
          <w:szCs w:val="28"/>
          <w:highlight w:val="none"/>
        </w:rPr>
        <w:t>身份证（原件），</w:t>
      </w:r>
      <w:r>
        <w:rPr>
          <w:rFonts w:hint="eastAsia" w:ascii="仿宋_GB2312" w:eastAsia="仿宋_GB2312"/>
          <w:bCs/>
          <w:color w:val="auto"/>
          <w:szCs w:val="28"/>
          <w:highlight w:val="none"/>
        </w:rPr>
        <w:t>授权代表应当随身携带</w:t>
      </w:r>
      <w:r>
        <w:rPr>
          <w:rFonts w:hint="eastAsia" w:ascii="黑体" w:hAnsi="黑体" w:eastAsia="黑体"/>
          <w:bCs/>
          <w:color w:val="auto"/>
          <w:szCs w:val="28"/>
          <w:highlight w:val="none"/>
        </w:rPr>
        <w:t>身份证（原件）、法定代表人授权书和授权代表在报价前4个月内（不含报价当月）连续3个月由报价供应商缴纳社保证明材料的复印件，代缴社保证明材料不予认可。未按上述要求提供材料的，报价文件将被拒收。</w:t>
      </w:r>
    </w:p>
    <w:p w14:paraId="27D187DB">
      <w:pPr>
        <w:pStyle w:val="111"/>
        <w:spacing w:line="560" w:lineRule="exact"/>
        <w:ind w:firstLine="560" w:firstLineChars="200"/>
        <w:jc w:val="both"/>
        <w:textAlignment w:val="auto"/>
        <w:rPr>
          <w:rFonts w:ascii="仿宋_GB2312" w:eastAsia="仿宋_GB2312"/>
          <w:bCs/>
          <w:color w:val="auto"/>
          <w:szCs w:val="28"/>
          <w:highlight w:val="none"/>
        </w:rPr>
      </w:pPr>
      <w:r>
        <w:rPr>
          <w:rFonts w:hint="eastAsia" w:ascii="仿宋_GB2312" w:eastAsia="仿宋_GB2312"/>
          <w:bCs/>
          <w:color w:val="auto"/>
          <w:szCs w:val="28"/>
          <w:highlight w:val="none"/>
          <w:lang w:eastAsia="zh-CN"/>
        </w:rPr>
        <w:t>四</w:t>
      </w:r>
      <w:r>
        <w:rPr>
          <w:rFonts w:hint="eastAsia" w:ascii="仿宋_GB2312" w:eastAsia="仿宋_GB2312"/>
          <w:bCs/>
          <w:color w:val="auto"/>
          <w:szCs w:val="28"/>
          <w:highlight w:val="none"/>
        </w:rPr>
        <w:t>、谈判保证金应当采取非现金方式缴纳。采取汇款方式缴纳的，</w:t>
      </w:r>
      <w:r>
        <w:rPr>
          <w:rFonts w:hint="eastAsia" w:ascii="仿宋_GB2312" w:hAnsi="宋体" w:eastAsia="仿宋_GB2312"/>
          <w:bCs/>
          <w:szCs w:val="28"/>
          <w:highlight w:val="none"/>
          <w:lang w:val="zh-CN"/>
        </w:rPr>
        <w:t>谈判保证金应当从报价供应商的银行账户缴纳且在报价截止时间前到达采购机构账户内，否则</w:t>
      </w:r>
      <w:r>
        <w:rPr>
          <w:rFonts w:hint="eastAsia" w:ascii="仿宋_GB2312" w:eastAsia="仿宋_GB2312"/>
          <w:bCs/>
          <w:color w:val="auto"/>
          <w:szCs w:val="28"/>
          <w:highlight w:val="none"/>
        </w:rPr>
        <w:t>视为无效报价；报价供应商在汇款时应当在备注信息中注明本项目的编号及用途（如“项目编号，谈判保证金”），以便采购机构的财务人员查证入账。采取</w:t>
      </w:r>
      <w:r>
        <w:rPr>
          <w:rFonts w:ascii="仿宋_GB2312" w:eastAsia="仿宋_GB2312"/>
          <w:bCs/>
          <w:color w:val="auto"/>
          <w:szCs w:val="28"/>
          <w:highlight w:val="none"/>
        </w:rPr>
        <w:t>银行保函</w:t>
      </w:r>
      <w:r>
        <w:rPr>
          <w:rFonts w:hint="eastAsia" w:ascii="仿宋_GB2312" w:eastAsia="仿宋_GB2312"/>
          <w:bCs/>
          <w:color w:val="auto"/>
          <w:szCs w:val="28"/>
          <w:highlight w:val="none"/>
        </w:rPr>
        <w:t>方式缴纳的，应当提供</w:t>
      </w:r>
      <w:r>
        <w:rPr>
          <w:rFonts w:ascii="仿宋_GB2312" w:eastAsia="仿宋_GB2312"/>
          <w:bCs/>
          <w:color w:val="auto"/>
          <w:szCs w:val="28"/>
          <w:highlight w:val="none"/>
        </w:rPr>
        <w:t>1份银行保函原件，</w:t>
      </w:r>
      <w:r>
        <w:rPr>
          <w:rFonts w:hint="eastAsia" w:ascii="仿宋_GB2312" w:eastAsia="仿宋_GB2312"/>
          <w:bCs/>
          <w:color w:val="auto"/>
          <w:szCs w:val="28"/>
          <w:highlight w:val="none"/>
        </w:rPr>
        <w:t>谈判</w:t>
      </w:r>
      <w:r>
        <w:rPr>
          <w:rFonts w:ascii="仿宋_GB2312" w:eastAsia="仿宋_GB2312"/>
          <w:bCs/>
          <w:color w:val="auto"/>
          <w:szCs w:val="28"/>
          <w:highlight w:val="none"/>
        </w:rPr>
        <w:t>时单独</w:t>
      </w:r>
      <w:r>
        <w:rPr>
          <w:rFonts w:hint="eastAsia" w:ascii="仿宋_GB2312" w:eastAsia="仿宋_GB2312"/>
          <w:bCs/>
          <w:color w:val="auto"/>
          <w:szCs w:val="28"/>
          <w:highlight w:val="none"/>
        </w:rPr>
        <w:t>提</w:t>
      </w:r>
      <w:r>
        <w:rPr>
          <w:rFonts w:ascii="仿宋_GB2312" w:eastAsia="仿宋_GB2312"/>
          <w:bCs/>
          <w:color w:val="auto"/>
          <w:szCs w:val="28"/>
          <w:highlight w:val="none"/>
        </w:rPr>
        <w:t>交。</w:t>
      </w:r>
      <w:r>
        <w:rPr>
          <w:rFonts w:hint="eastAsia" w:ascii="仿宋_GB2312" w:eastAsia="仿宋_GB2312"/>
          <w:bCs/>
          <w:color w:val="auto"/>
          <w:szCs w:val="28"/>
          <w:highlight w:val="none"/>
        </w:rPr>
        <w:t>未按规定缴纳谈判保证金的，视为无效报价。</w:t>
      </w:r>
    </w:p>
    <w:p w14:paraId="142DB889">
      <w:pPr>
        <w:pStyle w:val="111"/>
        <w:spacing w:line="560" w:lineRule="exact"/>
        <w:ind w:firstLine="560" w:firstLineChars="200"/>
        <w:jc w:val="both"/>
        <w:textAlignment w:val="auto"/>
        <w:rPr>
          <w:rFonts w:ascii="仿宋_GB2312" w:eastAsia="仿宋_GB2312"/>
          <w:bCs/>
          <w:color w:val="auto"/>
          <w:szCs w:val="28"/>
          <w:highlight w:val="none"/>
        </w:rPr>
      </w:pPr>
      <w:r>
        <w:rPr>
          <w:rFonts w:hint="eastAsia" w:ascii="仿宋_GB2312" w:eastAsia="仿宋_GB2312"/>
          <w:bCs/>
          <w:color w:val="auto"/>
          <w:szCs w:val="28"/>
          <w:highlight w:val="none"/>
          <w:lang w:eastAsia="zh-CN"/>
        </w:rPr>
        <w:t>五</w:t>
      </w:r>
      <w:r>
        <w:rPr>
          <w:rFonts w:hint="eastAsia" w:ascii="仿宋_GB2312" w:eastAsia="仿宋_GB2312"/>
          <w:bCs/>
          <w:color w:val="auto"/>
          <w:szCs w:val="28"/>
          <w:highlight w:val="none"/>
        </w:rPr>
        <w:t>、请仔细检查谈判文件要求提交相关证书的有效期。</w:t>
      </w:r>
    </w:p>
    <w:p w14:paraId="14446659">
      <w:pPr>
        <w:pStyle w:val="111"/>
        <w:spacing w:line="560" w:lineRule="exact"/>
        <w:ind w:firstLine="560" w:firstLineChars="200"/>
        <w:jc w:val="both"/>
        <w:textAlignment w:val="auto"/>
        <w:rPr>
          <w:rFonts w:ascii="仿宋_GB2312" w:eastAsia="仿宋_GB2312"/>
          <w:bCs/>
          <w:color w:val="auto"/>
          <w:szCs w:val="28"/>
          <w:highlight w:val="none"/>
        </w:rPr>
      </w:pPr>
      <w:r>
        <w:rPr>
          <w:rFonts w:hint="eastAsia" w:ascii="仿宋_GB2312" w:eastAsia="仿宋_GB2312"/>
          <w:bCs/>
          <w:color w:val="auto"/>
          <w:szCs w:val="28"/>
          <w:highlight w:val="none"/>
          <w:lang w:eastAsia="zh-CN"/>
        </w:rPr>
        <w:t>六</w:t>
      </w:r>
      <w:r>
        <w:rPr>
          <w:rFonts w:hint="eastAsia" w:ascii="仿宋_GB2312" w:eastAsia="仿宋_GB2312"/>
          <w:bCs/>
          <w:color w:val="auto"/>
          <w:szCs w:val="28"/>
          <w:highlight w:val="none"/>
        </w:rPr>
        <w:t>、请仔细检查报价文件是否按要求加盖单位公章、签名、签署日期、胶装成册及密封。</w:t>
      </w:r>
      <w:r>
        <w:rPr>
          <w:rFonts w:hint="eastAsia" w:ascii="黑体" w:hAnsi="黑体" w:eastAsia="黑体"/>
          <w:bCs/>
          <w:color w:val="auto"/>
          <w:szCs w:val="28"/>
          <w:highlight w:val="none"/>
        </w:rPr>
        <w:t>报价文件需要签字处，法定代表人应当签字或盖章（签名章和方章均可），报价授权代表应当签字</w:t>
      </w:r>
      <w:r>
        <w:rPr>
          <w:rFonts w:hint="eastAsia" w:ascii="仿宋_GB2312" w:eastAsia="仿宋_GB2312"/>
          <w:bCs/>
          <w:color w:val="auto"/>
          <w:szCs w:val="28"/>
          <w:highlight w:val="none"/>
        </w:rPr>
        <w:t>。</w:t>
      </w:r>
    </w:p>
    <w:p w14:paraId="3FDFBCFB">
      <w:pPr>
        <w:pStyle w:val="111"/>
        <w:spacing w:line="560" w:lineRule="exact"/>
        <w:ind w:firstLine="560" w:firstLineChars="200"/>
        <w:jc w:val="both"/>
        <w:textAlignment w:val="auto"/>
        <w:rPr>
          <w:rFonts w:ascii="仿宋_GB2312" w:eastAsia="仿宋_GB2312"/>
          <w:bCs/>
          <w:color w:val="auto"/>
          <w:szCs w:val="28"/>
          <w:highlight w:val="none"/>
        </w:rPr>
      </w:pPr>
      <w:r>
        <w:rPr>
          <w:rFonts w:hint="eastAsia" w:ascii="仿宋_GB2312" w:eastAsia="仿宋_GB2312"/>
          <w:bCs/>
          <w:color w:val="auto"/>
          <w:szCs w:val="28"/>
          <w:highlight w:val="none"/>
          <w:lang w:eastAsia="zh-CN"/>
        </w:rPr>
        <w:t>七</w:t>
      </w:r>
      <w:r>
        <w:rPr>
          <w:rFonts w:hint="eastAsia" w:ascii="仿宋_GB2312" w:eastAsia="仿宋_GB2312"/>
          <w:bCs/>
          <w:color w:val="auto"/>
          <w:szCs w:val="28"/>
          <w:highlight w:val="none"/>
        </w:rPr>
        <w:t>、带“★”号条款均为实质性响应指标要求，应当全部响应。若有一项带“★”条款未响应或不满足，均视为非实质性响应谈判文件，按无效报价处理。</w:t>
      </w:r>
    </w:p>
    <w:p w14:paraId="5C812F10">
      <w:pPr>
        <w:pStyle w:val="111"/>
        <w:spacing w:line="560" w:lineRule="exact"/>
        <w:ind w:firstLine="560" w:firstLineChars="200"/>
        <w:jc w:val="both"/>
        <w:textAlignment w:val="auto"/>
        <w:rPr>
          <w:rFonts w:ascii="仿宋_GB2312" w:eastAsia="仿宋_GB2312"/>
          <w:bCs/>
          <w:color w:val="auto"/>
          <w:szCs w:val="28"/>
          <w:highlight w:val="none"/>
        </w:rPr>
      </w:pPr>
      <w:r>
        <w:rPr>
          <w:rFonts w:hint="eastAsia" w:ascii="仿宋_GB2312" w:eastAsia="仿宋_GB2312"/>
          <w:bCs/>
          <w:color w:val="auto"/>
          <w:szCs w:val="28"/>
          <w:highlight w:val="none"/>
          <w:lang w:eastAsia="zh-CN"/>
        </w:rPr>
        <w:t>八</w:t>
      </w:r>
      <w:r>
        <w:rPr>
          <w:rFonts w:hint="eastAsia" w:ascii="仿宋_GB2312" w:eastAsia="仿宋_GB2312"/>
          <w:bCs/>
          <w:color w:val="auto"/>
          <w:szCs w:val="28"/>
          <w:highlight w:val="none"/>
        </w:rPr>
        <w:t>、报价供应商编制报价文件，应当按照谈判文件通用文件第三章“报价文件内容及格式”中的附件表格要求（采购机构根据项目情况对第三章内容进行调整的，以调整后的内容为准），认真填写《资格证明文件索引表》《符合性审查索引表》《商务评审索引表》和《技术评审索引表》，如实填写报价情况和相关证明材料在报价文件中的位置页码。未填写上述索引表的，视为无效报价。</w:t>
      </w:r>
      <w:bookmarkStart w:id="783" w:name="_Hlk129934912"/>
      <w:r>
        <w:rPr>
          <w:rFonts w:hint="eastAsia" w:ascii="仿宋_GB2312" w:eastAsia="仿宋_GB2312"/>
          <w:bCs/>
          <w:color w:val="auto"/>
          <w:szCs w:val="28"/>
          <w:highlight w:val="none"/>
        </w:rPr>
        <w:t>本标准文本试行期间，报价文件中索引表填写不完整的，允许澄清。</w:t>
      </w:r>
      <w:bookmarkEnd w:id="783"/>
    </w:p>
    <w:p w14:paraId="4E7484FB">
      <w:pPr>
        <w:pStyle w:val="111"/>
        <w:spacing w:line="560" w:lineRule="exact"/>
        <w:ind w:firstLine="560" w:firstLineChars="200"/>
        <w:jc w:val="both"/>
        <w:textAlignment w:val="auto"/>
        <w:rPr>
          <w:rFonts w:ascii="仿宋_GB2312" w:eastAsia="仿宋_GB2312"/>
          <w:bCs/>
          <w:color w:val="auto"/>
          <w:szCs w:val="28"/>
          <w:highlight w:val="none"/>
        </w:rPr>
      </w:pPr>
      <w:r>
        <w:rPr>
          <w:rFonts w:hint="eastAsia" w:ascii="仿宋_GB2312" w:eastAsia="仿宋_GB2312"/>
          <w:bCs/>
          <w:color w:val="auto"/>
          <w:szCs w:val="28"/>
          <w:highlight w:val="none"/>
          <w:lang w:eastAsia="zh-CN"/>
        </w:rPr>
        <w:t>九</w:t>
      </w:r>
      <w:r>
        <w:rPr>
          <w:rFonts w:hint="eastAsia" w:ascii="仿宋_GB2312" w:eastAsia="仿宋_GB2312"/>
          <w:bCs/>
          <w:color w:val="auto"/>
          <w:szCs w:val="28"/>
          <w:highlight w:val="none"/>
        </w:rPr>
        <w:t>、报价供应商提供会计师事务所出具的近</w:t>
      </w:r>
      <w:r>
        <w:rPr>
          <w:rFonts w:hint="eastAsia" w:ascii="仿宋_GB2312" w:eastAsia="仿宋_GB2312"/>
          <w:bCs/>
          <w:color w:val="auto"/>
          <w:szCs w:val="28"/>
          <w:highlight w:val="none"/>
          <w:lang w:val="en-US" w:eastAsia="zh-CN"/>
        </w:rPr>
        <w:t>1</w:t>
      </w:r>
      <w:r>
        <w:rPr>
          <w:rFonts w:hint="eastAsia" w:ascii="仿宋_GB2312" w:eastAsia="仿宋_GB2312"/>
          <w:bCs/>
          <w:color w:val="auto"/>
          <w:szCs w:val="28"/>
          <w:highlight w:val="none"/>
        </w:rPr>
        <w:t>年审计报告，应当包含报告正文、资产负债表、利润表、现金流量表及所有者权益变动表（无所有者权益表的提供书面说明）、附注和会计师事务所营业执照，报告正文应当有会计师事务所公章，2个注册会计师的签字和盖章。军队单位或事业单位无法提供审计报告的，可由上级管理部门批复的决算或内部会计报表代替。</w:t>
      </w:r>
    </w:p>
    <w:p w14:paraId="3E8A5CB2">
      <w:pPr>
        <w:pStyle w:val="111"/>
        <w:spacing w:line="560" w:lineRule="exact"/>
        <w:ind w:firstLine="560" w:firstLineChars="200"/>
        <w:jc w:val="both"/>
        <w:textAlignment w:val="auto"/>
        <w:rPr>
          <w:rFonts w:ascii="仿宋_GB2312" w:eastAsia="仿宋_GB2312"/>
          <w:bCs/>
          <w:color w:val="auto"/>
          <w:szCs w:val="28"/>
          <w:highlight w:val="none"/>
        </w:rPr>
      </w:pPr>
      <w:r>
        <w:rPr>
          <w:rFonts w:hint="eastAsia" w:ascii="仿宋_GB2312" w:eastAsia="仿宋_GB2312"/>
          <w:bCs/>
          <w:color w:val="auto"/>
          <w:szCs w:val="28"/>
          <w:highlight w:val="none"/>
        </w:rPr>
        <w:t>十、报价供应商如有两个以上名称且在报价文件中同时出现的，应当</w:t>
      </w:r>
      <w:bookmarkStart w:id="784" w:name="_Hlk130370381"/>
      <w:r>
        <w:rPr>
          <w:rFonts w:hint="eastAsia" w:ascii="仿宋_GB2312" w:eastAsia="仿宋_GB2312"/>
          <w:bCs/>
          <w:color w:val="auto"/>
          <w:szCs w:val="28"/>
          <w:highlight w:val="none"/>
        </w:rPr>
        <w:t>提供市场监管部门出具的其为同一单位书面证明材料；军队单位或事业单位，可以提供其上级主管部门出具的书面证明材料。</w:t>
      </w:r>
      <w:bookmarkEnd w:id="784"/>
    </w:p>
    <w:p w14:paraId="35C01DB2">
      <w:pPr>
        <w:pStyle w:val="111"/>
        <w:spacing w:line="560" w:lineRule="exact"/>
        <w:ind w:firstLine="560" w:firstLineChars="200"/>
        <w:jc w:val="both"/>
        <w:textAlignment w:val="auto"/>
        <w:rPr>
          <w:rFonts w:ascii="仿宋_GB2312" w:eastAsia="仿宋_GB2312"/>
          <w:bCs/>
          <w:color w:val="auto"/>
          <w:szCs w:val="28"/>
          <w:highlight w:val="none"/>
        </w:rPr>
      </w:pPr>
      <w:r>
        <w:rPr>
          <w:rFonts w:hint="eastAsia" w:ascii="仿宋_GB2312" w:eastAsia="仿宋_GB2312"/>
          <w:bCs/>
          <w:color w:val="auto"/>
          <w:szCs w:val="28"/>
          <w:highlight w:val="none"/>
        </w:rPr>
        <w:t>十</w:t>
      </w:r>
      <w:r>
        <w:rPr>
          <w:rFonts w:hint="eastAsia" w:ascii="仿宋_GB2312" w:eastAsia="仿宋_GB2312"/>
          <w:bCs/>
          <w:color w:val="auto"/>
          <w:szCs w:val="28"/>
          <w:highlight w:val="none"/>
          <w:lang w:eastAsia="zh-CN"/>
        </w:rPr>
        <w:t>一</w:t>
      </w:r>
      <w:r>
        <w:rPr>
          <w:rFonts w:hint="eastAsia" w:ascii="仿宋_GB2312" w:eastAsia="仿宋_GB2312"/>
          <w:bCs/>
          <w:color w:val="auto"/>
          <w:szCs w:val="28"/>
          <w:highlight w:val="none"/>
        </w:rPr>
        <w:t>、本谈判文件中所有时间均为北京时间。文件中“近*年/月”“最近*年/月”“前*年/月”均是指以谈判截止时间为基准点向前推算。谈判截止时间在6月1日（不含）前，近</w:t>
      </w:r>
      <w:r>
        <w:rPr>
          <w:rFonts w:hint="eastAsia" w:ascii="仿宋_GB2312" w:eastAsia="仿宋_GB2312"/>
          <w:bCs/>
          <w:color w:val="auto"/>
          <w:szCs w:val="28"/>
          <w:highlight w:val="none"/>
          <w:lang w:val="en-US" w:eastAsia="zh-CN"/>
        </w:rPr>
        <w:t>1</w:t>
      </w:r>
      <w:r>
        <w:rPr>
          <w:rFonts w:hint="eastAsia" w:ascii="仿宋_GB2312" w:eastAsia="仿宋_GB2312"/>
          <w:bCs/>
          <w:color w:val="auto"/>
          <w:szCs w:val="28"/>
          <w:highlight w:val="none"/>
        </w:rPr>
        <w:t>年财务报表指上年度之前的</w:t>
      </w:r>
      <w:r>
        <w:rPr>
          <w:rFonts w:hint="eastAsia" w:ascii="仿宋_GB2312" w:eastAsia="仿宋_GB2312"/>
          <w:bCs/>
          <w:color w:val="auto"/>
          <w:szCs w:val="28"/>
          <w:highlight w:val="none"/>
          <w:lang w:val="en-US" w:eastAsia="zh-CN"/>
        </w:rPr>
        <w:t>1</w:t>
      </w:r>
      <w:r>
        <w:rPr>
          <w:rFonts w:hint="eastAsia" w:ascii="仿宋_GB2312" w:eastAsia="仿宋_GB2312"/>
          <w:bCs/>
          <w:color w:val="auto"/>
          <w:szCs w:val="28"/>
          <w:highlight w:val="none"/>
        </w:rPr>
        <w:t>年</w:t>
      </w:r>
      <w:r>
        <w:rPr>
          <w:rFonts w:ascii="仿宋_GB2312" w:eastAsia="仿宋_GB2312"/>
          <w:bCs/>
          <w:color w:val="auto"/>
          <w:szCs w:val="28"/>
          <w:highlight w:val="none"/>
        </w:rPr>
        <w:t xml:space="preserve"> </w:t>
      </w:r>
      <w:r>
        <w:rPr>
          <w:rFonts w:hint="eastAsia" w:ascii="仿宋_GB2312" w:eastAsia="仿宋_GB2312"/>
          <w:bCs/>
          <w:color w:val="auto"/>
          <w:szCs w:val="28"/>
          <w:highlight w:val="none"/>
        </w:rPr>
        <w:t>(不含上年度)，谈判截止时间在6月1日（含）后，近</w:t>
      </w:r>
      <w:r>
        <w:rPr>
          <w:rFonts w:hint="eastAsia" w:ascii="仿宋_GB2312" w:eastAsia="仿宋_GB2312"/>
          <w:bCs/>
          <w:color w:val="auto"/>
          <w:szCs w:val="28"/>
          <w:highlight w:val="none"/>
          <w:lang w:val="en-US" w:eastAsia="zh-CN"/>
        </w:rPr>
        <w:t>1</w:t>
      </w:r>
      <w:r>
        <w:rPr>
          <w:rFonts w:hint="eastAsia" w:ascii="仿宋_GB2312" w:eastAsia="仿宋_GB2312"/>
          <w:bCs/>
          <w:color w:val="auto"/>
          <w:szCs w:val="28"/>
          <w:highlight w:val="none"/>
        </w:rPr>
        <w:t>年财务报表指本年度之前的</w:t>
      </w:r>
      <w:r>
        <w:rPr>
          <w:rFonts w:hint="eastAsia" w:ascii="仿宋_GB2312" w:eastAsia="仿宋_GB2312"/>
          <w:bCs/>
          <w:color w:val="auto"/>
          <w:szCs w:val="28"/>
          <w:highlight w:val="none"/>
          <w:lang w:val="en-US" w:eastAsia="zh-CN"/>
        </w:rPr>
        <w:t>1</w:t>
      </w:r>
      <w:r>
        <w:rPr>
          <w:rFonts w:hint="eastAsia" w:ascii="仿宋_GB2312" w:eastAsia="仿宋_GB2312"/>
          <w:bCs/>
          <w:color w:val="auto"/>
          <w:szCs w:val="28"/>
          <w:highlight w:val="none"/>
        </w:rPr>
        <w:t>年（含上年度），特别说明除外。</w:t>
      </w:r>
    </w:p>
    <w:p w14:paraId="4DEFA770">
      <w:pPr>
        <w:pStyle w:val="111"/>
        <w:spacing w:line="560" w:lineRule="exact"/>
        <w:ind w:firstLine="560" w:firstLineChars="200"/>
        <w:jc w:val="both"/>
        <w:textAlignment w:val="auto"/>
        <w:rPr>
          <w:rFonts w:ascii="仿宋_GB2312" w:eastAsia="仿宋_GB2312"/>
          <w:bCs/>
          <w:color w:val="auto"/>
          <w:szCs w:val="28"/>
          <w:highlight w:val="none"/>
        </w:rPr>
      </w:pPr>
      <w:r>
        <w:rPr>
          <w:rFonts w:hint="eastAsia" w:ascii="仿宋_GB2312" w:eastAsia="仿宋_GB2312"/>
          <w:bCs/>
          <w:color w:val="auto"/>
          <w:szCs w:val="28"/>
          <w:highlight w:val="none"/>
        </w:rPr>
        <w:t>十</w:t>
      </w:r>
      <w:r>
        <w:rPr>
          <w:rFonts w:hint="eastAsia" w:ascii="仿宋_GB2312" w:eastAsia="仿宋_GB2312"/>
          <w:bCs/>
          <w:color w:val="auto"/>
          <w:szCs w:val="28"/>
          <w:highlight w:val="none"/>
          <w:lang w:eastAsia="zh-CN"/>
        </w:rPr>
        <w:t>二</w:t>
      </w:r>
      <w:r>
        <w:rPr>
          <w:rFonts w:hint="eastAsia" w:ascii="仿宋_GB2312" w:eastAsia="仿宋_GB2312"/>
          <w:bCs/>
          <w:color w:val="auto"/>
          <w:szCs w:val="28"/>
          <w:highlight w:val="none"/>
        </w:rPr>
        <w:t>、本次谈判以包为单位，报价供应商应当对所投包内所有产品和数量进行报价，否则视为无效报价。</w:t>
      </w:r>
      <w:bookmarkStart w:id="785" w:name="_Hlk129935012"/>
      <w:r>
        <w:rPr>
          <w:rFonts w:hint="eastAsia" w:ascii="仿宋_GB2312" w:eastAsia="仿宋_GB2312"/>
          <w:bCs/>
          <w:color w:val="auto"/>
          <w:szCs w:val="28"/>
          <w:highlight w:val="none"/>
        </w:rPr>
        <w:t>报价供应商对同一种物资只允许有唯一报价，任何有选择的报价或有附加条件的报价，均视为无效报价。</w:t>
      </w:r>
      <w:bookmarkEnd w:id="785"/>
    </w:p>
    <w:p w14:paraId="40399E71">
      <w:pPr>
        <w:pStyle w:val="111"/>
        <w:spacing w:line="560" w:lineRule="exact"/>
        <w:ind w:firstLine="560" w:firstLineChars="200"/>
        <w:jc w:val="both"/>
        <w:textAlignment w:val="auto"/>
        <w:rPr>
          <w:rFonts w:ascii="仿宋_GB2312" w:eastAsia="仿宋_GB2312"/>
          <w:bCs/>
          <w:color w:val="auto"/>
          <w:szCs w:val="28"/>
          <w:highlight w:val="none"/>
        </w:rPr>
      </w:pPr>
      <w:r>
        <w:rPr>
          <w:rFonts w:hint="eastAsia" w:ascii="仿宋_GB2312" w:eastAsia="仿宋_GB2312"/>
          <w:bCs/>
          <w:color w:val="auto"/>
          <w:szCs w:val="28"/>
          <w:highlight w:val="none"/>
        </w:rPr>
        <w:t>十</w:t>
      </w:r>
      <w:r>
        <w:rPr>
          <w:rFonts w:hint="eastAsia" w:ascii="仿宋_GB2312" w:eastAsia="仿宋_GB2312"/>
          <w:bCs/>
          <w:color w:val="auto"/>
          <w:szCs w:val="28"/>
          <w:highlight w:val="none"/>
          <w:lang w:eastAsia="zh-CN"/>
        </w:rPr>
        <w:t>三</w:t>
      </w:r>
      <w:r>
        <w:rPr>
          <w:rFonts w:hint="eastAsia" w:ascii="仿宋_GB2312" w:eastAsia="仿宋_GB2312"/>
          <w:bCs/>
          <w:color w:val="auto"/>
          <w:szCs w:val="28"/>
          <w:highlight w:val="none"/>
        </w:rPr>
        <w:t>、报价文件中相关复印材料应当清晰可辨，谈判中请自带原件备查，如材料模糊且不能现场提供原件，视为该项材料无效。</w:t>
      </w:r>
    </w:p>
    <w:p w14:paraId="31D62D8E">
      <w:pPr>
        <w:pStyle w:val="111"/>
        <w:spacing w:line="560" w:lineRule="exact"/>
        <w:ind w:firstLine="560" w:firstLineChars="200"/>
        <w:jc w:val="both"/>
        <w:textAlignment w:val="auto"/>
        <w:rPr>
          <w:rFonts w:ascii="仿宋_GB2312" w:eastAsia="仿宋_GB2312"/>
          <w:bCs/>
          <w:color w:val="auto"/>
          <w:szCs w:val="28"/>
          <w:highlight w:val="none"/>
        </w:rPr>
      </w:pPr>
      <w:r>
        <w:rPr>
          <w:rFonts w:hint="eastAsia" w:ascii="仿宋_GB2312" w:eastAsia="仿宋_GB2312"/>
          <w:bCs/>
          <w:color w:val="auto"/>
          <w:szCs w:val="28"/>
          <w:highlight w:val="none"/>
        </w:rPr>
        <w:t>十</w:t>
      </w:r>
      <w:r>
        <w:rPr>
          <w:rFonts w:hint="eastAsia" w:ascii="仿宋_GB2312" w:eastAsia="仿宋_GB2312"/>
          <w:bCs/>
          <w:color w:val="auto"/>
          <w:szCs w:val="28"/>
          <w:highlight w:val="none"/>
          <w:lang w:eastAsia="zh-CN"/>
        </w:rPr>
        <w:t>四</w:t>
      </w:r>
      <w:r>
        <w:rPr>
          <w:rFonts w:hint="eastAsia" w:ascii="仿宋_GB2312" w:eastAsia="仿宋_GB2312"/>
          <w:bCs/>
          <w:color w:val="auto"/>
          <w:szCs w:val="28"/>
          <w:highlight w:val="none"/>
        </w:rPr>
        <w:t>、报价供应商发现购买谈判文件时提交的相关材料被盗用或复制，应当通过法律途径解决，追究侵权者责任。</w:t>
      </w:r>
    </w:p>
    <w:p w14:paraId="742D822E">
      <w:pPr>
        <w:pStyle w:val="111"/>
        <w:spacing w:line="560" w:lineRule="exact"/>
        <w:ind w:firstLine="560" w:firstLineChars="200"/>
        <w:jc w:val="both"/>
        <w:textAlignment w:val="auto"/>
        <w:rPr>
          <w:rFonts w:ascii="仿宋_GB2312" w:eastAsia="仿宋_GB2312"/>
          <w:bCs/>
          <w:color w:val="auto"/>
          <w:szCs w:val="28"/>
          <w:highlight w:val="none"/>
        </w:rPr>
      </w:pPr>
      <w:r>
        <w:rPr>
          <w:rFonts w:hint="eastAsia" w:ascii="仿宋_GB2312" w:eastAsia="仿宋_GB2312"/>
          <w:bCs/>
          <w:color w:val="auto"/>
          <w:szCs w:val="28"/>
          <w:highlight w:val="none"/>
        </w:rPr>
        <w:t>十</w:t>
      </w:r>
      <w:r>
        <w:rPr>
          <w:rFonts w:hint="eastAsia" w:ascii="仿宋_GB2312" w:eastAsia="仿宋_GB2312"/>
          <w:bCs/>
          <w:color w:val="auto"/>
          <w:szCs w:val="28"/>
          <w:highlight w:val="none"/>
          <w:lang w:eastAsia="zh-CN"/>
        </w:rPr>
        <w:t>五</w:t>
      </w:r>
      <w:r>
        <w:rPr>
          <w:rFonts w:hint="eastAsia" w:ascii="仿宋_GB2312" w:eastAsia="仿宋_GB2312"/>
          <w:bCs/>
          <w:color w:val="auto"/>
          <w:szCs w:val="28"/>
          <w:highlight w:val="none"/>
        </w:rPr>
        <w:t>、报价供应商成交的，不得转包，未经合同约定允许不得分包。一经发现转包和违规分包行为，相关企业均将受到相关处罚。</w:t>
      </w:r>
    </w:p>
    <w:p w14:paraId="69F21815">
      <w:pPr>
        <w:pStyle w:val="111"/>
        <w:spacing w:line="560" w:lineRule="exact"/>
        <w:ind w:firstLine="560" w:firstLineChars="200"/>
        <w:jc w:val="both"/>
        <w:textAlignment w:val="auto"/>
        <w:rPr>
          <w:rFonts w:hAnsi="宋体"/>
          <w:bCs/>
          <w:color w:val="auto"/>
          <w:sz w:val="32"/>
          <w:szCs w:val="32"/>
          <w:highlight w:val="none"/>
        </w:rPr>
      </w:pPr>
      <w:r>
        <w:rPr>
          <w:rFonts w:hint="eastAsia" w:ascii="仿宋_GB2312" w:eastAsia="仿宋_GB2312"/>
          <w:bCs/>
          <w:color w:val="auto"/>
          <w:szCs w:val="28"/>
          <w:highlight w:val="none"/>
        </w:rPr>
        <w:t>十</w:t>
      </w:r>
      <w:r>
        <w:rPr>
          <w:rFonts w:hint="eastAsia" w:ascii="仿宋_GB2312" w:eastAsia="仿宋_GB2312"/>
          <w:bCs/>
          <w:color w:val="auto"/>
          <w:szCs w:val="28"/>
          <w:highlight w:val="none"/>
          <w:lang w:eastAsia="zh-CN"/>
        </w:rPr>
        <w:t>六</w:t>
      </w:r>
      <w:r>
        <w:rPr>
          <w:rFonts w:hint="eastAsia" w:ascii="仿宋_GB2312" w:eastAsia="仿宋_GB2312"/>
          <w:bCs/>
          <w:color w:val="auto"/>
          <w:szCs w:val="28"/>
          <w:highlight w:val="none"/>
        </w:rPr>
        <w:t>、本谈判文件通用条款主要依据军队采购相关法规规定拟制，专用条款由采购机构根据项目情况拟制；对谈判文件有疑问的，由编制谈判文件的采购机构解释。军队相关规定未明确事项可参照政府采购相关法规规定执行。</w:t>
      </w:r>
      <w:r>
        <w:rPr>
          <w:rFonts w:hAnsi="宋体"/>
          <w:bCs/>
          <w:color w:val="auto"/>
          <w:sz w:val="32"/>
          <w:szCs w:val="32"/>
          <w:highlight w:val="none"/>
        </w:rPr>
        <w:br w:type="page"/>
      </w:r>
    </w:p>
    <w:p w14:paraId="05EA1CBE">
      <w:pPr>
        <w:pStyle w:val="21"/>
        <w:tabs>
          <w:tab w:val="right" w:leader="dot" w:pos="9487"/>
        </w:tabs>
        <w:ind w:left="105" w:firstLine="883" w:firstLineChars="200"/>
        <w:rPr>
          <w:rFonts w:ascii="Times New Roman" w:hAnsi="宋体" w:cs="Times New Roman" w:eastAsiaTheme="minorEastAsia"/>
          <w:b/>
          <w:bCs/>
          <w:kern w:val="2"/>
          <w:sz w:val="28"/>
          <w:szCs w:val="32"/>
          <w:highlight w:val="none"/>
          <w:lang w:val="en-US" w:eastAsia="zh-CN" w:bidi="ar-SA"/>
        </w:rPr>
      </w:pPr>
      <w:r>
        <w:rPr>
          <w:rFonts w:hint="eastAsia" w:ascii="黑体" w:hAnsi="黑体" w:eastAsia="黑体" w:cs="黑体"/>
          <w:bCs/>
          <w:sz w:val="44"/>
          <w:szCs w:val="44"/>
          <w:highlight w:val="none"/>
        </w:rPr>
        <w:t>目   录</w:t>
      </w:r>
      <w:r>
        <w:rPr>
          <w:rFonts w:hAnsi="宋体"/>
          <w:bCs/>
          <w:sz w:val="32"/>
          <w:szCs w:val="32"/>
          <w:highlight w:val="none"/>
        </w:rPr>
        <w:fldChar w:fldCharType="begin"/>
      </w:r>
      <w:r>
        <w:rPr>
          <w:rFonts w:hAnsi="宋体"/>
          <w:bCs/>
          <w:sz w:val="32"/>
          <w:szCs w:val="32"/>
          <w:highlight w:val="none"/>
        </w:rPr>
        <w:instrText xml:space="preserve">TOC \o "1-3" \h \u </w:instrText>
      </w:r>
      <w:r>
        <w:rPr>
          <w:rFonts w:hAnsi="宋体"/>
          <w:bCs/>
          <w:sz w:val="32"/>
          <w:szCs w:val="32"/>
          <w:highlight w:val="none"/>
        </w:rPr>
        <w:fldChar w:fldCharType="separate"/>
      </w:r>
    </w:p>
    <w:p w14:paraId="5F7EFEF7">
      <w:pPr>
        <w:pStyle w:val="29"/>
        <w:tabs>
          <w:tab w:val="right" w:leader="dot" w:pos="9071"/>
        </w:tabs>
        <w:rPr>
          <w:highlight w:val="none"/>
        </w:rPr>
      </w:pPr>
      <w:r>
        <w:rPr>
          <w:rFonts w:hAnsi="宋体"/>
          <w:bCs/>
          <w:szCs w:val="32"/>
          <w:highlight w:val="none"/>
        </w:rPr>
        <w:fldChar w:fldCharType="begin"/>
      </w:r>
      <w:r>
        <w:rPr>
          <w:rFonts w:hAnsi="宋体"/>
          <w:bCs/>
          <w:szCs w:val="32"/>
          <w:highlight w:val="none"/>
        </w:rPr>
        <w:instrText xml:space="preserve"> HYPERLINK \l _Toc23541 </w:instrText>
      </w:r>
      <w:r>
        <w:rPr>
          <w:rFonts w:hAnsi="宋体"/>
          <w:bCs/>
          <w:szCs w:val="32"/>
          <w:highlight w:val="none"/>
        </w:rPr>
        <w:fldChar w:fldCharType="separate"/>
      </w:r>
      <w:r>
        <w:rPr>
          <w:rFonts w:hint="eastAsia" w:ascii="方正小标宋简体" w:eastAsia="方正小标宋简体"/>
          <w:szCs w:val="84"/>
          <w:highlight w:val="none"/>
        </w:rPr>
        <w:t>专用文件</w:t>
      </w:r>
      <w:r>
        <w:rPr>
          <w:highlight w:val="none"/>
        </w:rPr>
        <w:tab/>
      </w:r>
      <w:r>
        <w:rPr>
          <w:highlight w:val="none"/>
        </w:rPr>
        <w:fldChar w:fldCharType="begin"/>
      </w:r>
      <w:r>
        <w:rPr>
          <w:highlight w:val="none"/>
        </w:rPr>
        <w:instrText xml:space="preserve"> PAGEREF _Toc23541 \h </w:instrText>
      </w:r>
      <w:r>
        <w:rPr>
          <w:highlight w:val="none"/>
        </w:rPr>
        <w:fldChar w:fldCharType="separate"/>
      </w:r>
      <w:r>
        <w:rPr>
          <w:highlight w:val="none"/>
        </w:rPr>
        <w:t>80</w:t>
      </w:r>
      <w:r>
        <w:rPr>
          <w:highlight w:val="none"/>
        </w:rPr>
        <w:fldChar w:fldCharType="end"/>
      </w:r>
      <w:r>
        <w:rPr>
          <w:rFonts w:hAnsi="宋体"/>
          <w:bCs/>
          <w:szCs w:val="32"/>
          <w:highlight w:val="none"/>
        </w:rPr>
        <w:fldChar w:fldCharType="end"/>
      </w:r>
    </w:p>
    <w:p w14:paraId="15D03564">
      <w:pPr>
        <w:pStyle w:val="34"/>
        <w:tabs>
          <w:tab w:val="right" w:leader="dot" w:pos="9071"/>
        </w:tabs>
        <w:rPr>
          <w:highlight w:val="none"/>
        </w:rPr>
      </w:pPr>
      <w:r>
        <w:rPr>
          <w:rFonts w:hAnsi="宋体"/>
          <w:bCs/>
          <w:szCs w:val="32"/>
          <w:highlight w:val="none"/>
        </w:rPr>
        <w:fldChar w:fldCharType="begin"/>
      </w:r>
      <w:r>
        <w:rPr>
          <w:rFonts w:hAnsi="宋体"/>
          <w:bCs/>
          <w:szCs w:val="32"/>
          <w:highlight w:val="none"/>
        </w:rPr>
        <w:instrText xml:space="preserve"> HYPERLINK \l _Toc14731 </w:instrText>
      </w:r>
      <w:r>
        <w:rPr>
          <w:rFonts w:hAnsi="宋体"/>
          <w:bCs/>
          <w:szCs w:val="32"/>
          <w:highlight w:val="none"/>
        </w:rPr>
        <w:fldChar w:fldCharType="separate"/>
      </w:r>
      <w:r>
        <w:rPr>
          <w:rFonts w:hint="eastAsia"/>
          <w:szCs w:val="44"/>
          <w:highlight w:val="none"/>
          <w:lang w:val="zh-CN"/>
        </w:rPr>
        <w:t>特别提示</w:t>
      </w:r>
      <w:r>
        <w:rPr>
          <w:highlight w:val="none"/>
        </w:rPr>
        <w:tab/>
      </w:r>
      <w:r>
        <w:rPr>
          <w:highlight w:val="none"/>
        </w:rPr>
        <w:fldChar w:fldCharType="begin"/>
      </w:r>
      <w:r>
        <w:rPr>
          <w:highlight w:val="none"/>
        </w:rPr>
        <w:instrText xml:space="preserve"> PAGEREF _Toc14731 \h </w:instrText>
      </w:r>
      <w:r>
        <w:rPr>
          <w:highlight w:val="none"/>
        </w:rPr>
        <w:fldChar w:fldCharType="separate"/>
      </w:r>
      <w:r>
        <w:rPr>
          <w:highlight w:val="none"/>
        </w:rPr>
        <w:t>81</w:t>
      </w:r>
      <w:r>
        <w:rPr>
          <w:highlight w:val="none"/>
        </w:rPr>
        <w:fldChar w:fldCharType="end"/>
      </w:r>
      <w:r>
        <w:rPr>
          <w:rFonts w:hAnsi="宋体"/>
          <w:bCs/>
          <w:szCs w:val="32"/>
          <w:highlight w:val="none"/>
        </w:rPr>
        <w:fldChar w:fldCharType="end"/>
      </w:r>
    </w:p>
    <w:p w14:paraId="5016F50C">
      <w:pPr>
        <w:pStyle w:val="34"/>
        <w:tabs>
          <w:tab w:val="right" w:leader="dot" w:pos="9071"/>
        </w:tabs>
        <w:rPr>
          <w:highlight w:val="none"/>
        </w:rPr>
      </w:pPr>
      <w:r>
        <w:rPr>
          <w:rFonts w:hAnsi="宋体"/>
          <w:bCs/>
          <w:szCs w:val="32"/>
          <w:highlight w:val="none"/>
        </w:rPr>
        <w:fldChar w:fldCharType="begin"/>
      </w:r>
      <w:r>
        <w:rPr>
          <w:rFonts w:hAnsi="宋体"/>
          <w:bCs/>
          <w:szCs w:val="32"/>
          <w:highlight w:val="none"/>
        </w:rPr>
        <w:instrText xml:space="preserve"> HYPERLINK \l _Toc5384 </w:instrText>
      </w:r>
      <w:r>
        <w:rPr>
          <w:rFonts w:hAnsi="宋体"/>
          <w:bCs/>
          <w:szCs w:val="32"/>
          <w:highlight w:val="none"/>
        </w:rPr>
        <w:fldChar w:fldCharType="separate"/>
      </w:r>
      <w:r>
        <w:rPr>
          <w:rFonts w:hint="eastAsia"/>
          <w:szCs w:val="44"/>
          <w:highlight w:val="none"/>
          <w:lang w:val="zh-CN"/>
        </w:rPr>
        <w:t>第四章 报价供应商须知前附表</w:t>
      </w:r>
      <w:r>
        <w:rPr>
          <w:highlight w:val="none"/>
        </w:rPr>
        <w:tab/>
      </w:r>
      <w:r>
        <w:rPr>
          <w:highlight w:val="none"/>
        </w:rPr>
        <w:fldChar w:fldCharType="begin"/>
      </w:r>
      <w:r>
        <w:rPr>
          <w:highlight w:val="none"/>
        </w:rPr>
        <w:instrText xml:space="preserve"> PAGEREF _Toc5384 \h </w:instrText>
      </w:r>
      <w:r>
        <w:rPr>
          <w:highlight w:val="none"/>
        </w:rPr>
        <w:fldChar w:fldCharType="separate"/>
      </w:r>
      <w:r>
        <w:rPr>
          <w:highlight w:val="none"/>
        </w:rPr>
        <w:t>86</w:t>
      </w:r>
      <w:r>
        <w:rPr>
          <w:highlight w:val="none"/>
        </w:rPr>
        <w:fldChar w:fldCharType="end"/>
      </w:r>
      <w:r>
        <w:rPr>
          <w:rFonts w:hAnsi="宋体"/>
          <w:bCs/>
          <w:szCs w:val="32"/>
          <w:highlight w:val="none"/>
        </w:rPr>
        <w:fldChar w:fldCharType="end"/>
      </w:r>
    </w:p>
    <w:p w14:paraId="6696F516">
      <w:pPr>
        <w:pStyle w:val="21"/>
        <w:tabs>
          <w:tab w:val="right" w:leader="dot" w:pos="9071"/>
        </w:tabs>
        <w:rPr>
          <w:highlight w:val="none"/>
        </w:rPr>
      </w:pPr>
      <w:r>
        <w:rPr>
          <w:rFonts w:hAnsi="宋体"/>
          <w:bCs/>
          <w:szCs w:val="32"/>
          <w:highlight w:val="none"/>
        </w:rPr>
        <w:fldChar w:fldCharType="begin"/>
      </w:r>
      <w:r>
        <w:rPr>
          <w:rFonts w:hAnsi="宋体"/>
          <w:bCs/>
          <w:szCs w:val="32"/>
          <w:highlight w:val="none"/>
        </w:rPr>
        <w:instrText xml:space="preserve"> HYPERLINK \l _Toc25730 </w:instrText>
      </w:r>
      <w:r>
        <w:rPr>
          <w:rFonts w:hAnsi="宋体"/>
          <w:bCs/>
          <w:szCs w:val="32"/>
          <w:highlight w:val="none"/>
        </w:rPr>
        <w:fldChar w:fldCharType="separate"/>
      </w:r>
      <w:r>
        <w:rPr>
          <w:rFonts w:hint="eastAsia" w:ascii="黑体" w:hAnsi="黑体"/>
          <w:szCs w:val="28"/>
          <w:highlight w:val="none"/>
        </w:rPr>
        <w:t>附表</w:t>
      </w:r>
      <w:r>
        <w:rPr>
          <w:rFonts w:ascii="黑体" w:hAnsi="黑体"/>
          <w:szCs w:val="28"/>
          <w:highlight w:val="none"/>
        </w:rPr>
        <w:t xml:space="preserve">1 </w:t>
      </w:r>
      <w:r>
        <w:rPr>
          <w:rFonts w:hint="eastAsia" w:ascii="黑体" w:hAnsi="黑体"/>
          <w:szCs w:val="28"/>
          <w:highlight w:val="none"/>
        </w:rPr>
        <w:t>资格性审查表</w:t>
      </w:r>
      <w:r>
        <w:rPr>
          <w:highlight w:val="none"/>
        </w:rPr>
        <w:tab/>
      </w:r>
      <w:r>
        <w:rPr>
          <w:highlight w:val="none"/>
        </w:rPr>
        <w:fldChar w:fldCharType="begin"/>
      </w:r>
      <w:r>
        <w:rPr>
          <w:highlight w:val="none"/>
        </w:rPr>
        <w:instrText xml:space="preserve"> PAGEREF _Toc25730 \h </w:instrText>
      </w:r>
      <w:r>
        <w:rPr>
          <w:highlight w:val="none"/>
        </w:rPr>
        <w:fldChar w:fldCharType="separate"/>
      </w:r>
      <w:r>
        <w:rPr>
          <w:highlight w:val="none"/>
        </w:rPr>
        <w:t>89</w:t>
      </w:r>
      <w:r>
        <w:rPr>
          <w:highlight w:val="none"/>
        </w:rPr>
        <w:fldChar w:fldCharType="end"/>
      </w:r>
      <w:r>
        <w:rPr>
          <w:rFonts w:hAnsi="宋体"/>
          <w:bCs/>
          <w:szCs w:val="32"/>
          <w:highlight w:val="none"/>
        </w:rPr>
        <w:fldChar w:fldCharType="end"/>
      </w:r>
    </w:p>
    <w:p w14:paraId="2C69D254">
      <w:pPr>
        <w:pStyle w:val="21"/>
        <w:tabs>
          <w:tab w:val="right" w:leader="dot" w:pos="9071"/>
        </w:tabs>
        <w:rPr>
          <w:highlight w:val="none"/>
        </w:rPr>
      </w:pPr>
      <w:r>
        <w:rPr>
          <w:rFonts w:hAnsi="宋体"/>
          <w:bCs/>
          <w:szCs w:val="32"/>
          <w:highlight w:val="none"/>
        </w:rPr>
        <w:fldChar w:fldCharType="begin"/>
      </w:r>
      <w:r>
        <w:rPr>
          <w:rFonts w:hAnsi="宋体"/>
          <w:bCs/>
          <w:szCs w:val="32"/>
          <w:highlight w:val="none"/>
        </w:rPr>
        <w:instrText xml:space="preserve"> HYPERLINK \l _Toc21556 </w:instrText>
      </w:r>
      <w:r>
        <w:rPr>
          <w:rFonts w:hAnsi="宋体"/>
          <w:bCs/>
          <w:szCs w:val="32"/>
          <w:highlight w:val="none"/>
        </w:rPr>
        <w:fldChar w:fldCharType="separate"/>
      </w:r>
      <w:r>
        <w:rPr>
          <w:rFonts w:hint="eastAsia" w:ascii="黑体" w:hAnsi="黑体"/>
          <w:szCs w:val="28"/>
          <w:highlight w:val="none"/>
        </w:rPr>
        <w:t>附表</w:t>
      </w:r>
      <w:r>
        <w:rPr>
          <w:rFonts w:ascii="黑体" w:hAnsi="黑体"/>
          <w:szCs w:val="28"/>
          <w:highlight w:val="none"/>
        </w:rPr>
        <w:t xml:space="preserve">2 </w:t>
      </w:r>
      <w:r>
        <w:rPr>
          <w:rFonts w:hint="eastAsia" w:ascii="黑体" w:hAnsi="黑体"/>
          <w:szCs w:val="28"/>
          <w:highlight w:val="none"/>
        </w:rPr>
        <w:t>符合性审查表</w:t>
      </w:r>
      <w:r>
        <w:rPr>
          <w:highlight w:val="none"/>
        </w:rPr>
        <w:tab/>
      </w:r>
      <w:r>
        <w:rPr>
          <w:highlight w:val="none"/>
        </w:rPr>
        <w:fldChar w:fldCharType="begin"/>
      </w:r>
      <w:r>
        <w:rPr>
          <w:highlight w:val="none"/>
        </w:rPr>
        <w:instrText xml:space="preserve"> PAGEREF _Toc21556 \h </w:instrText>
      </w:r>
      <w:r>
        <w:rPr>
          <w:highlight w:val="none"/>
        </w:rPr>
        <w:fldChar w:fldCharType="separate"/>
      </w:r>
      <w:r>
        <w:rPr>
          <w:highlight w:val="none"/>
        </w:rPr>
        <w:t>91</w:t>
      </w:r>
      <w:r>
        <w:rPr>
          <w:highlight w:val="none"/>
        </w:rPr>
        <w:fldChar w:fldCharType="end"/>
      </w:r>
      <w:r>
        <w:rPr>
          <w:rFonts w:hAnsi="宋体"/>
          <w:bCs/>
          <w:szCs w:val="32"/>
          <w:highlight w:val="none"/>
        </w:rPr>
        <w:fldChar w:fldCharType="end"/>
      </w:r>
    </w:p>
    <w:p w14:paraId="25D507EC">
      <w:pPr>
        <w:pStyle w:val="21"/>
        <w:tabs>
          <w:tab w:val="right" w:leader="dot" w:pos="9071"/>
        </w:tabs>
        <w:rPr>
          <w:highlight w:val="none"/>
        </w:rPr>
      </w:pPr>
      <w:r>
        <w:rPr>
          <w:rFonts w:hAnsi="宋体"/>
          <w:bCs/>
          <w:szCs w:val="32"/>
          <w:highlight w:val="none"/>
        </w:rPr>
        <w:fldChar w:fldCharType="begin"/>
      </w:r>
      <w:r>
        <w:rPr>
          <w:rFonts w:hAnsi="宋体"/>
          <w:bCs/>
          <w:szCs w:val="32"/>
          <w:highlight w:val="none"/>
        </w:rPr>
        <w:instrText xml:space="preserve"> HYPERLINK \l _Toc7918 </w:instrText>
      </w:r>
      <w:r>
        <w:rPr>
          <w:rFonts w:hAnsi="宋体"/>
          <w:bCs/>
          <w:szCs w:val="32"/>
          <w:highlight w:val="none"/>
        </w:rPr>
        <w:fldChar w:fldCharType="separate"/>
      </w:r>
      <w:r>
        <w:rPr>
          <w:rFonts w:hint="eastAsia" w:ascii="黑体" w:hAnsi="黑体"/>
          <w:szCs w:val="28"/>
          <w:highlight w:val="none"/>
        </w:rPr>
        <w:t>附表</w:t>
      </w:r>
      <w:r>
        <w:rPr>
          <w:rFonts w:ascii="黑体" w:hAnsi="黑体"/>
          <w:szCs w:val="28"/>
          <w:highlight w:val="none"/>
        </w:rPr>
        <w:t xml:space="preserve">3 </w:t>
      </w:r>
      <w:r>
        <w:rPr>
          <w:rFonts w:hint="eastAsia" w:ascii="黑体" w:hAnsi="黑体"/>
          <w:szCs w:val="28"/>
          <w:highlight w:val="none"/>
        </w:rPr>
        <w:t>商务评审标准表（综合评分法）</w:t>
      </w:r>
      <w:r>
        <w:rPr>
          <w:highlight w:val="none"/>
        </w:rPr>
        <w:tab/>
      </w:r>
      <w:r>
        <w:rPr>
          <w:highlight w:val="none"/>
        </w:rPr>
        <w:fldChar w:fldCharType="begin"/>
      </w:r>
      <w:r>
        <w:rPr>
          <w:highlight w:val="none"/>
        </w:rPr>
        <w:instrText xml:space="preserve"> PAGEREF _Toc7918 \h </w:instrText>
      </w:r>
      <w:r>
        <w:rPr>
          <w:highlight w:val="none"/>
        </w:rPr>
        <w:fldChar w:fldCharType="separate"/>
      </w:r>
      <w:r>
        <w:rPr>
          <w:highlight w:val="none"/>
        </w:rPr>
        <w:t>92</w:t>
      </w:r>
      <w:r>
        <w:rPr>
          <w:highlight w:val="none"/>
        </w:rPr>
        <w:fldChar w:fldCharType="end"/>
      </w:r>
      <w:r>
        <w:rPr>
          <w:rFonts w:hAnsi="宋体"/>
          <w:bCs/>
          <w:szCs w:val="32"/>
          <w:highlight w:val="none"/>
        </w:rPr>
        <w:fldChar w:fldCharType="end"/>
      </w:r>
    </w:p>
    <w:p w14:paraId="0551BD13">
      <w:pPr>
        <w:pStyle w:val="21"/>
        <w:tabs>
          <w:tab w:val="right" w:leader="dot" w:pos="9071"/>
        </w:tabs>
        <w:rPr>
          <w:highlight w:val="none"/>
        </w:rPr>
      </w:pPr>
      <w:r>
        <w:rPr>
          <w:rFonts w:hAnsi="宋体"/>
          <w:bCs/>
          <w:szCs w:val="32"/>
          <w:highlight w:val="none"/>
        </w:rPr>
        <w:fldChar w:fldCharType="begin"/>
      </w:r>
      <w:r>
        <w:rPr>
          <w:rFonts w:hAnsi="宋体"/>
          <w:bCs/>
          <w:szCs w:val="32"/>
          <w:highlight w:val="none"/>
        </w:rPr>
        <w:instrText xml:space="preserve"> HYPERLINK \l _Toc5306 </w:instrText>
      </w:r>
      <w:r>
        <w:rPr>
          <w:rFonts w:hAnsi="宋体"/>
          <w:bCs/>
          <w:szCs w:val="32"/>
          <w:highlight w:val="none"/>
        </w:rPr>
        <w:fldChar w:fldCharType="separate"/>
      </w:r>
      <w:r>
        <w:rPr>
          <w:rFonts w:hint="eastAsia" w:ascii="黑体" w:hAnsi="黑体"/>
          <w:szCs w:val="28"/>
          <w:highlight w:val="none"/>
        </w:rPr>
        <w:t>附表</w:t>
      </w:r>
      <w:r>
        <w:rPr>
          <w:rFonts w:ascii="黑体" w:hAnsi="黑体"/>
          <w:szCs w:val="28"/>
          <w:highlight w:val="none"/>
        </w:rPr>
        <w:t xml:space="preserve">4 </w:t>
      </w:r>
      <w:r>
        <w:rPr>
          <w:rFonts w:hint="eastAsia" w:ascii="黑体" w:hAnsi="黑体"/>
          <w:szCs w:val="28"/>
          <w:highlight w:val="none"/>
        </w:rPr>
        <w:t>技术评审标准表（综合评分法）</w:t>
      </w:r>
      <w:r>
        <w:rPr>
          <w:highlight w:val="none"/>
        </w:rPr>
        <w:tab/>
      </w:r>
      <w:r>
        <w:rPr>
          <w:highlight w:val="none"/>
        </w:rPr>
        <w:fldChar w:fldCharType="begin"/>
      </w:r>
      <w:r>
        <w:rPr>
          <w:highlight w:val="none"/>
        </w:rPr>
        <w:instrText xml:space="preserve"> PAGEREF _Toc5306 \h </w:instrText>
      </w:r>
      <w:r>
        <w:rPr>
          <w:highlight w:val="none"/>
        </w:rPr>
        <w:fldChar w:fldCharType="separate"/>
      </w:r>
      <w:r>
        <w:rPr>
          <w:highlight w:val="none"/>
        </w:rPr>
        <w:t>94</w:t>
      </w:r>
      <w:r>
        <w:rPr>
          <w:highlight w:val="none"/>
        </w:rPr>
        <w:fldChar w:fldCharType="end"/>
      </w:r>
      <w:r>
        <w:rPr>
          <w:rFonts w:hAnsi="宋体"/>
          <w:bCs/>
          <w:szCs w:val="32"/>
          <w:highlight w:val="none"/>
        </w:rPr>
        <w:fldChar w:fldCharType="end"/>
      </w:r>
    </w:p>
    <w:p w14:paraId="5BF3C37D">
      <w:pPr>
        <w:pStyle w:val="21"/>
        <w:tabs>
          <w:tab w:val="right" w:leader="dot" w:pos="9071"/>
        </w:tabs>
        <w:rPr>
          <w:highlight w:val="none"/>
        </w:rPr>
      </w:pPr>
      <w:r>
        <w:rPr>
          <w:rFonts w:hAnsi="宋体"/>
          <w:bCs/>
          <w:szCs w:val="32"/>
          <w:highlight w:val="none"/>
        </w:rPr>
        <w:fldChar w:fldCharType="begin"/>
      </w:r>
      <w:r>
        <w:rPr>
          <w:rFonts w:hAnsi="宋体"/>
          <w:bCs/>
          <w:szCs w:val="32"/>
          <w:highlight w:val="none"/>
        </w:rPr>
        <w:instrText xml:space="preserve"> HYPERLINK \l _Toc1818 </w:instrText>
      </w:r>
      <w:r>
        <w:rPr>
          <w:rFonts w:hAnsi="宋体"/>
          <w:bCs/>
          <w:szCs w:val="32"/>
          <w:highlight w:val="none"/>
        </w:rPr>
        <w:fldChar w:fldCharType="separate"/>
      </w:r>
      <w:r>
        <w:rPr>
          <w:rFonts w:hint="eastAsia" w:ascii="黑体" w:hAnsi="黑体"/>
          <w:szCs w:val="28"/>
          <w:highlight w:val="none"/>
        </w:rPr>
        <w:t>附表</w:t>
      </w:r>
      <w:r>
        <w:rPr>
          <w:rFonts w:ascii="黑体" w:hAnsi="黑体"/>
          <w:szCs w:val="28"/>
          <w:highlight w:val="none"/>
        </w:rPr>
        <w:t xml:space="preserve">5 </w:t>
      </w:r>
      <w:r>
        <w:rPr>
          <w:rFonts w:hint="eastAsia" w:ascii="黑体" w:hAnsi="黑体"/>
          <w:szCs w:val="28"/>
          <w:highlight w:val="none"/>
        </w:rPr>
        <w:t>价格评审标准表（综合评分法）</w:t>
      </w:r>
      <w:r>
        <w:rPr>
          <w:highlight w:val="none"/>
        </w:rPr>
        <w:tab/>
      </w:r>
      <w:r>
        <w:rPr>
          <w:highlight w:val="none"/>
        </w:rPr>
        <w:fldChar w:fldCharType="begin"/>
      </w:r>
      <w:r>
        <w:rPr>
          <w:highlight w:val="none"/>
        </w:rPr>
        <w:instrText xml:space="preserve"> PAGEREF _Toc1818 \h </w:instrText>
      </w:r>
      <w:r>
        <w:rPr>
          <w:highlight w:val="none"/>
        </w:rPr>
        <w:fldChar w:fldCharType="separate"/>
      </w:r>
      <w:r>
        <w:rPr>
          <w:highlight w:val="none"/>
        </w:rPr>
        <w:t>97</w:t>
      </w:r>
      <w:r>
        <w:rPr>
          <w:highlight w:val="none"/>
        </w:rPr>
        <w:fldChar w:fldCharType="end"/>
      </w:r>
      <w:r>
        <w:rPr>
          <w:rFonts w:hAnsi="宋体"/>
          <w:bCs/>
          <w:szCs w:val="32"/>
          <w:highlight w:val="none"/>
        </w:rPr>
        <w:fldChar w:fldCharType="end"/>
      </w:r>
    </w:p>
    <w:p w14:paraId="4DAD5723">
      <w:pPr>
        <w:pStyle w:val="34"/>
        <w:tabs>
          <w:tab w:val="right" w:leader="dot" w:pos="9071"/>
        </w:tabs>
        <w:rPr>
          <w:highlight w:val="none"/>
        </w:rPr>
      </w:pPr>
      <w:r>
        <w:rPr>
          <w:rFonts w:hAnsi="宋体"/>
          <w:bCs/>
          <w:szCs w:val="32"/>
          <w:highlight w:val="none"/>
        </w:rPr>
        <w:fldChar w:fldCharType="begin"/>
      </w:r>
      <w:r>
        <w:rPr>
          <w:rFonts w:hAnsi="宋体"/>
          <w:bCs/>
          <w:szCs w:val="32"/>
          <w:highlight w:val="none"/>
        </w:rPr>
        <w:instrText xml:space="preserve"> HYPERLINK \l _Toc29602 </w:instrText>
      </w:r>
      <w:r>
        <w:rPr>
          <w:rFonts w:hAnsi="宋体"/>
          <w:bCs/>
          <w:szCs w:val="32"/>
          <w:highlight w:val="none"/>
        </w:rPr>
        <w:fldChar w:fldCharType="separate"/>
      </w:r>
      <w:r>
        <w:rPr>
          <w:rFonts w:hint="eastAsia"/>
          <w:szCs w:val="44"/>
          <w:highlight w:val="none"/>
          <w:lang w:val="zh-CN"/>
        </w:rPr>
        <w:t>第五章</w:t>
      </w:r>
      <w:r>
        <w:rPr>
          <w:szCs w:val="44"/>
          <w:highlight w:val="none"/>
          <w:lang w:val="zh-CN"/>
        </w:rPr>
        <w:t xml:space="preserve"> </w:t>
      </w:r>
      <w:r>
        <w:rPr>
          <w:rFonts w:hint="eastAsia"/>
          <w:szCs w:val="44"/>
          <w:highlight w:val="none"/>
          <w:lang w:val="zh-CN"/>
        </w:rPr>
        <w:t>竞争性谈判公告</w:t>
      </w:r>
      <w:r>
        <w:rPr>
          <w:highlight w:val="none"/>
        </w:rPr>
        <w:tab/>
      </w:r>
      <w:r>
        <w:rPr>
          <w:highlight w:val="none"/>
        </w:rPr>
        <w:fldChar w:fldCharType="begin"/>
      </w:r>
      <w:r>
        <w:rPr>
          <w:highlight w:val="none"/>
        </w:rPr>
        <w:instrText xml:space="preserve"> PAGEREF _Toc29602 \h </w:instrText>
      </w:r>
      <w:r>
        <w:rPr>
          <w:highlight w:val="none"/>
        </w:rPr>
        <w:fldChar w:fldCharType="separate"/>
      </w:r>
      <w:r>
        <w:rPr>
          <w:highlight w:val="none"/>
        </w:rPr>
        <w:t>98</w:t>
      </w:r>
      <w:r>
        <w:rPr>
          <w:highlight w:val="none"/>
        </w:rPr>
        <w:fldChar w:fldCharType="end"/>
      </w:r>
      <w:r>
        <w:rPr>
          <w:rFonts w:hAnsi="宋体"/>
          <w:bCs/>
          <w:szCs w:val="32"/>
          <w:highlight w:val="none"/>
        </w:rPr>
        <w:fldChar w:fldCharType="end"/>
      </w:r>
    </w:p>
    <w:p w14:paraId="5B3E7B94">
      <w:pPr>
        <w:pStyle w:val="34"/>
        <w:tabs>
          <w:tab w:val="right" w:leader="dot" w:pos="9071"/>
        </w:tabs>
        <w:rPr>
          <w:highlight w:val="none"/>
        </w:rPr>
      </w:pPr>
      <w:r>
        <w:rPr>
          <w:rFonts w:hAnsi="宋体"/>
          <w:bCs/>
          <w:szCs w:val="32"/>
          <w:highlight w:val="none"/>
        </w:rPr>
        <w:fldChar w:fldCharType="begin"/>
      </w:r>
      <w:r>
        <w:rPr>
          <w:rFonts w:hAnsi="宋体"/>
          <w:bCs/>
          <w:szCs w:val="32"/>
          <w:highlight w:val="none"/>
        </w:rPr>
        <w:instrText xml:space="preserve"> HYPERLINK \l _Toc26181 </w:instrText>
      </w:r>
      <w:r>
        <w:rPr>
          <w:rFonts w:hAnsi="宋体"/>
          <w:bCs/>
          <w:szCs w:val="32"/>
          <w:highlight w:val="none"/>
        </w:rPr>
        <w:fldChar w:fldCharType="separate"/>
      </w:r>
      <w:r>
        <w:rPr>
          <w:rFonts w:hint="eastAsia"/>
          <w:szCs w:val="44"/>
          <w:highlight w:val="none"/>
          <w:lang w:val="zh-CN"/>
        </w:rPr>
        <w:t>第六章</w:t>
      </w:r>
      <w:r>
        <w:rPr>
          <w:szCs w:val="44"/>
          <w:highlight w:val="none"/>
          <w:lang w:val="zh-CN"/>
        </w:rPr>
        <w:t xml:space="preserve"> </w:t>
      </w:r>
      <w:r>
        <w:rPr>
          <w:rFonts w:hint="eastAsia"/>
          <w:szCs w:val="44"/>
          <w:highlight w:val="none"/>
          <w:lang w:val="zh-CN"/>
        </w:rPr>
        <w:t>采购项目商务和技术要求</w:t>
      </w:r>
      <w:r>
        <w:rPr>
          <w:highlight w:val="none"/>
        </w:rPr>
        <w:tab/>
      </w:r>
      <w:r>
        <w:rPr>
          <w:highlight w:val="none"/>
        </w:rPr>
        <w:fldChar w:fldCharType="begin"/>
      </w:r>
      <w:r>
        <w:rPr>
          <w:highlight w:val="none"/>
        </w:rPr>
        <w:instrText xml:space="preserve"> PAGEREF _Toc26181 \h </w:instrText>
      </w:r>
      <w:r>
        <w:rPr>
          <w:highlight w:val="none"/>
        </w:rPr>
        <w:fldChar w:fldCharType="separate"/>
      </w:r>
      <w:r>
        <w:rPr>
          <w:highlight w:val="none"/>
        </w:rPr>
        <w:t>109</w:t>
      </w:r>
      <w:r>
        <w:rPr>
          <w:highlight w:val="none"/>
        </w:rPr>
        <w:fldChar w:fldCharType="end"/>
      </w:r>
      <w:r>
        <w:rPr>
          <w:rFonts w:hAnsi="宋体"/>
          <w:bCs/>
          <w:szCs w:val="32"/>
          <w:highlight w:val="none"/>
        </w:rPr>
        <w:fldChar w:fldCharType="end"/>
      </w:r>
    </w:p>
    <w:p w14:paraId="213F1B75">
      <w:pPr>
        <w:pStyle w:val="21"/>
        <w:tabs>
          <w:tab w:val="right" w:leader="dot" w:pos="9071"/>
        </w:tabs>
        <w:rPr>
          <w:highlight w:val="none"/>
        </w:rPr>
      </w:pPr>
      <w:r>
        <w:rPr>
          <w:rFonts w:hAnsi="宋体"/>
          <w:bCs/>
          <w:szCs w:val="32"/>
          <w:highlight w:val="none"/>
        </w:rPr>
        <w:fldChar w:fldCharType="begin"/>
      </w:r>
      <w:r>
        <w:rPr>
          <w:rFonts w:hAnsi="宋体"/>
          <w:bCs/>
          <w:szCs w:val="32"/>
          <w:highlight w:val="none"/>
        </w:rPr>
        <w:instrText xml:space="preserve"> HYPERLINK \l _Toc7194 </w:instrText>
      </w:r>
      <w:r>
        <w:rPr>
          <w:rFonts w:hAnsi="宋体"/>
          <w:bCs/>
          <w:szCs w:val="32"/>
          <w:highlight w:val="none"/>
        </w:rPr>
        <w:fldChar w:fldCharType="separate"/>
      </w:r>
      <w:r>
        <w:rPr>
          <w:rFonts w:hint="eastAsia"/>
          <w:highlight w:val="none"/>
        </w:rPr>
        <w:t>一、商务要求</w:t>
      </w:r>
      <w:r>
        <w:rPr>
          <w:highlight w:val="none"/>
        </w:rPr>
        <w:tab/>
      </w:r>
      <w:r>
        <w:rPr>
          <w:highlight w:val="none"/>
        </w:rPr>
        <w:fldChar w:fldCharType="begin"/>
      </w:r>
      <w:r>
        <w:rPr>
          <w:highlight w:val="none"/>
        </w:rPr>
        <w:instrText xml:space="preserve"> PAGEREF _Toc7194 \h </w:instrText>
      </w:r>
      <w:r>
        <w:rPr>
          <w:highlight w:val="none"/>
        </w:rPr>
        <w:fldChar w:fldCharType="separate"/>
      </w:r>
      <w:r>
        <w:rPr>
          <w:highlight w:val="none"/>
        </w:rPr>
        <w:t>109</w:t>
      </w:r>
      <w:r>
        <w:rPr>
          <w:highlight w:val="none"/>
        </w:rPr>
        <w:fldChar w:fldCharType="end"/>
      </w:r>
      <w:r>
        <w:rPr>
          <w:rFonts w:hAnsi="宋体"/>
          <w:bCs/>
          <w:szCs w:val="32"/>
          <w:highlight w:val="none"/>
        </w:rPr>
        <w:fldChar w:fldCharType="end"/>
      </w:r>
    </w:p>
    <w:p w14:paraId="22CDAD2D">
      <w:pPr>
        <w:pStyle w:val="21"/>
        <w:tabs>
          <w:tab w:val="right" w:leader="dot" w:pos="9071"/>
        </w:tabs>
        <w:rPr>
          <w:highlight w:val="none"/>
        </w:rPr>
      </w:pPr>
      <w:r>
        <w:rPr>
          <w:rFonts w:hAnsi="宋体"/>
          <w:bCs/>
          <w:szCs w:val="32"/>
          <w:highlight w:val="none"/>
        </w:rPr>
        <w:fldChar w:fldCharType="begin"/>
      </w:r>
      <w:r>
        <w:rPr>
          <w:rFonts w:hAnsi="宋体"/>
          <w:bCs/>
          <w:szCs w:val="32"/>
          <w:highlight w:val="none"/>
        </w:rPr>
        <w:instrText xml:space="preserve"> HYPERLINK \l _Toc28174 </w:instrText>
      </w:r>
      <w:r>
        <w:rPr>
          <w:rFonts w:hAnsi="宋体"/>
          <w:bCs/>
          <w:szCs w:val="32"/>
          <w:highlight w:val="none"/>
        </w:rPr>
        <w:fldChar w:fldCharType="separate"/>
      </w:r>
      <w:r>
        <w:rPr>
          <w:rFonts w:hint="eastAsia" w:ascii="黑体" w:hAnsi="黑体" w:cs="黑体"/>
          <w:szCs w:val="28"/>
          <w:highlight w:val="none"/>
        </w:rPr>
        <w:t>二、技术要求</w:t>
      </w:r>
      <w:r>
        <w:rPr>
          <w:highlight w:val="none"/>
        </w:rPr>
        <w:tab/>
      </w:r>
      <w:r>
        <w:rPr>
          <w:highlight w:val="none"/>
        </w:rPr>
        <w:fldChar w:fldCharType="begin"/>
      </w:r>
      <w:r>
        <w:rPr>
          <w:highlight w:val="none"/>
        </w:rPr>
        <w:instrText xml:space="preserve"> PAGEREF _Toc28174 \h </w:instrText>
      </w:r>
      <w:r>
        <w:rPr>
          <w:highlight w:val="none"/>
        </w:rPr>
        <w:fldChar w:fldCharType="separate"/>
      </w:r>
      <w:r>
        <w:rPr>
          <w:highlight w:val="none"/>
        </w:rPr>
        <w:t>113</w:t>
      </w:r>
      <w:r>
        <w:rPr>
          <w:highlight w:val="none"/>
        </w:rPr>
        <w:fldChar w:fldCharType="end"/>
      </w:r>
      <w:r>
        <w:rPr>
          <w:rFonts w:hAnsi="宋体"/>
          <w:bCs/>
          <w:szCs w:val="32"/>
          <w:highlight w:val="none"/>
        </w:rPr>
        <w:fldChar w:fldCharType="end"/>
      </w:r>
    </w:p>
    <w:p w14:paraId="57C2AD39">
      <w:pPr>
        <w:pStyle w:val="21"/>
        <w:tabs>
          <w:tab w:val="right" w:leader="dot" w:pos="9071"/>
        </w:tabs>
        <w:rPr>
          <w:highlight w:val="none"/>
        </w:rPr>
      </w:pPr>
      <w:r>
        <w:rPr>
          <w:rFonts w:hAnsi="宋体"/>
          <w:bCs/>
          <w:szCs w:val="32"/>
          <w:highlight w:val="none"/>
        </w:rPr>
        <w:fldChar w:fldCharType="begin"/>
      </w:r>
      <w:r>
        <w:rPr>
          <w:rFonts w:hAnsi="宋体"/>
          <w:bCs/>
          <w:szCs w:val="32"/>
          <w:highlight w:val="none"/>
        </w:rPr>
        <w:instrText xml:space="preserve"> HYPERLINK \l _Toc1995 </w:instrText>
      </w:r>
      <w:r>
        <w:rPr>
          <w:rFonts w:hAnsi="宋体"/>
          <w:bCs/>
          <w:szCs w:val="32"/>
          <w:highlight w:val="none"/>
        </w:rPr>
        <w:fldChar w:fldCharType="separate"/>
      </w:r>
      <w:r>
        <w:rPr>
          <w:rFonts w:hint="eastAsia" w:ascii="黑体" w:hAnsi="黑体" w:cs="黑体"/>
          <w:szCs w:val="28"/>
          <w:highlight w:val="none"/>
          <w:lang w:val="en-US" w:eastAsia="zh-CN"/>
        </w:rPr>
        <w:t>（</w:t>
      </w:r>
      <w:r>
        <w:rPr>
          <w:rFonts w:hint="eastAsia" w:ascii="黑体" w:hAnsi="黑体" w:eastAsia="黑体" w:cs="黑体"/>
          <w:szCs w:val="28"/>
          <w:highlight w:val="none"/>
          <w:lang w:val="en-US" w:eastAsia="zh-CN"/>
        </w:rPr>
        <w:t>一</w:t>
      </w:r>
      <w:r>
        <w:rPr>
          <w:rFonts w:hint="eastAsia" w:ascii="黑体" w:hAnsi="黑体" w:cs="黑体"/>
          <w:szCs w:val="28"/>
          <w:highlight w:val="none"/>
          <w:lang w:val="en-US" w:eastAsia="zh-CN"/>
        </w:rPr>
        <w:t>）</w:t>
      </w:r>
      <w:r>
        <w:rPr>
          <w:rFonts w:hint="eastAsia" w:ascii="黑体" w:hAnsi="黑体" w:eastAsia="黑体" w:cs="黑体"/>
          <w:szCs w:val="28"/>
          <w:highlight w:val="none"/>
          <w:lang w:val="en-US" w:eastAsia="zh-CN"/>
        </w:rPr>
        <w:t>货物一览表</w:t>
      </w:r>
      <w:r>
        <w:rPr>
          <w:highlight w:val="none"/>
        </w:rPr>
        <w:tab/>
      </w:r>
      <w:r>
        <w:rPr>
          <w:highlight w:val="none"/>
        </w:rPr>
        <w:fldChar w:fldCharType="begin"/>
      </w:r>
      <w:r>
        <w:rPr>
          <w:highlight w:val="none"/>
        </w:rPr>
        <w:instrText xml:space="preserve"> PAGEREF _Toc1995 \h </w:instrText>
      </w:r>
      <w:r>
        <w:rPr>
          <w:highlight w:val="none"/>
        </w:rPr>
        <w:fldChar w:fldCharType="separate"/>
      </w:r>
      <w:r>
        <w:rPr>
          <w:highlight w:val="none"/>
        </w:rPr>
        <w:t>113</w:t>
      </w:r>
      <w:r>
        <w:rPr>
          <w:highlight w:val="none"/>
        </w:rPr>
        <w:fldChar w:fldCharType="end"/>
      </w:r>
      <w:r>
        <w:rPr>
          <w:rFonts w:hAnsi="宋体"/>
          <w:bCs/>
          <w:szCs w:val="32"/>
          <w:highlight w:val="none"/>
        </w:rPr>
        <w:fldChar w:fldCharType="end"/>
      </w:r>
    </w:p>
    <w:p w14:paraId="08F019F4">
      <w:pPr>
        <w:pStyle w:val="21"/>
        <w:tabs>
          <w:tab w:val="right" w:leader="dot" w:pos="9071"/>
        </w:tabs>
        <w:rPr>
          <w:highlight w:val="none"/>
        </w:rPr>
      </w:pPr>
      <w:r>
        <w:rPr>
          <w:rFonts w:hAnsi="宋体"/>
          <w:bCs/>
          <w:szCs w:val="32"/>
          <w:highlight w:val="none"/>
        </w:rPr>
        <w:fldChar w:fldCharType="begin"/>
      </w:r>
      <w:r>
        <w:rPr>
          <w:rFonts w:hAnsi="宋体"/>
          <w:bCs/>
          <w:szCs w:val="32"/>
          <w:highlight w:val="none"/>
        </w:rPr>
        <w:instrText xml:space="preserve"> HYPERLINK \l _Toc3572 </w:instrText>
      </w:r>
      <w:r>
        <w:rPr>
          <w:rFonts w:hAnsi="宋体"/>
          <w:bCs/>
          <w:szCs w:val="32"/>
          <w:highlight w:val="none"/>
        </w:rPr>
        <w:fldChar w:fldCharType="separate"/>
      </w:r>
      <w:r>
        <w:rPr>
          <w:rFonts w:hint="eastAsia" w:ascii="黑体" w:hAnsi="黑体" w:eastAsia="黑体" w:cs="黑体"/>
          <w:bCs/>
          <w:szCs w:val="28"/>
          <w:highlight w:val="none"/>
        </w:rPr>
        <w:t>（二） 技术要求</w:t>
      </w:r>
      <w:r>
        <w:rPr>
          <w:highlight w:val="none"/>
        </w:rPr>
        <w:tab/>
      </w:r>
      <w:r>
        <w:rPr>
          <w:highlight w:val="none"/>
        </w:rPr>
        <w:fldChar w:fldCharType="begin"/>
      </w:r>
      <w:r>
        <w:rPr>
          <w:highlight w:val="none"/>
        </w:rPr>
        <w:instrText xml:space="preserve"> PAGEREF _Toc3572 \h </w:instrText>
      </w:r>
      <w:r>
        <w:rPr>
          <w:highlight w:val="none"/>
        </w:rPr>
        <w:fldChar w:fldCharType="separate"/>
      </w:r>
      <w:r>
        <w:rPr>
          <w:highlight w:val="none"/>
        </w:rPr>
        <w:t>113</w:t>
      </w:r>
      <w:r>
        <w:rPr>
          <w:highlight w:val="none"/>
        </w:rPr>
        <w:fldChar w:fldCharType="end"/>
      </w:r>
      <w:r>
        <w:rPr>
          <w:rFonts w:hAnsi="宋体"/>
          <w:bCs/>
          <w:szCs w:val="32"/>
          <w:highlight w:val="none"/>
        </w:rPr>
        <w:fldChar w:fldCharType="end"/>
      </w:r>
    </w:p>
    <w:p w14:paraId="387AC6C2">
      <w:pPr>
        <w:pStyle w:val="34"/>
        <w:tabs>
          <w:tab w:val="right" w:leader="dot" w:pos="9071"/>
        </w:tabs>
        <w:rPr>
          <w:highlight w:val="none"/>
        </w:rPr>
      </w:pPr>
      <w:r>
        <w:rPr>
          <w:rFonts w:hAnsi="宋体"/>
          <w:bCs/>
          <w:szCs w:val="32"/>
          <w:highlight w:val="none"/>
        </w:rPr>
        <w:fldChar w:fldCharType="begin"/>
      </w:r>
      <w:r>
        <w:rPr>
          <w:rFonts w:hAnsi="宋体"/>
          <w:bCs/>
          <w:szCs w:val="32"/>
          <w:highlight w:val="none"/>
        </w:rPr>
        <w:instrText xml:space="preserve"> HYPERLINK \l _Toc15049 </w:instrText>
      </w:r>
      <w:r>
        <w:rPr>
          <w:rFonts w:hAnsi="宋体"/>
          <w:bCs/>
          <w:szCs w:val="32"/>
          <w:highlight w:val="none"/>
        </w:rPr>
        <w:fldChar w:fldCharType="separate"/>
      </w:r>
      <w:r>
        <w:rPr>
          <w:rFonts w:hint="eastAsia"/>
          <w:szCs w:val="44"/>
          <w:highlight w:val="none"/>
          <w:lang w:val="zh-CN"/>
        </w:rPr>
        <w:t>第七章</w:t>
      </w:r>
      <w:r>
        <w:rPr>
          <w:szCs w:val="44"/>
          <w:highlight w:val="none"/>
          <w:lang w:val="zh-CN"/>
        </w:rPr>
        <w:t xml:space="preserve"> </w:t>
      </w:r>
      <w:r>
        <w:rPr>
          <w:rFonts w:hint="eastAsia"/>
          <w:szCs w:val="44"/>
          <w:highlight w:val="none"/>
          <w:lang w:val="zh-CN"/>
        </w:rPr>
        <w:t>合同样本</w:t>
      </w:r>
      <w:r>
        <w:rPr>
          <w:highlight w:val="none"/>
        </w:rPr>
        <w:tab/>
      </w:r>
      <w:r>
        <w:rPr>
          <w:highlight w:val="none"/>
        </w:rPr>
        <w:fldChar w:fldCharType="begin"/>
      </w:r>
      <w:r>
        <w:rPr>
          <w:highlight w:val="none"/>
        </w:rPr>
        <w:instrText xml:space="preserve"> PAGEREF _Toc15049 \h </w:instrText>
      </w:r>
      <w:r>
        <w:rPr>
          <w:highlight w:val="none"/>
        </w:rPr>
        <w:fldChar w:fldCharType="separate"/>
      </w:r>
      <w:r>
        <w:rPr>
          <w:highlight w:val="none"/>
        </w:rPr>
        <w:t>116</w:t>
      </w:r>
      <w:r>
        <w:rPr>
          <w:highlight w:val="none"/>
        </w:rPr>
        <w:fldChar w:fldCharType="end"/>
      </w:r>
      <w:r>
        <w:rPr>
          <w:rFonts w:hAnsi="宋体"/>
          <w:bCs/>
          <w:szCs w:val="32"/>
          <w:highlight w:val="none"/>
        </w:rPr>
        <w:fldChar w:fldCharType="end"/>
      </w:r>
    </w:p>
    <w:p w14:paraId="5B1E8477">
      <w:pPr>
        <w:pStyle w:val="21"/>
        <w:tabs>
          <w:tab w:val="right" w:leader="dot" w:pos="9071"/>
        </w:tabs>
        <w:rPr>
          <w:highlight w:val="none"/>
        </w:rPr>
      </w:pPr>
      <w:r>
        <w:rPr>
          <w:rFonts w:hAnsi="宋体"/>
          <w:bCs/>
          <w:szCs w:val="32"/>
          <w:highlight w:val="none"/>
        </w:rPr>
        <w:fldChar w:fldCharType="begin"/>
      </w:r>
      <w:r>
        <w:rPr>
          <w:rFonts w:hAnsi="宋体"/>
          <w:bCs/>
          <w:szCs w:val="32"/>
          <w:highlight w:val="none"/>
        </w:rPr>
        <w:instrText xml:space="preserve"> HYPERLINK \l _Toc2567 </w:instrText>
      </w:r>
      <w:r>
        <w:rPr>
          <w:rFonts w:hAnsi="宋体"/>
          <w:bCs/>
          <w:szCs w:val="32"/>
          <w:highlight w:val="none"/>
        </w:rPr>
        <w:fldChar w:fldCharType="separate"/>
      </w:r>
      <w:r>
        <w:rPr>
          <w:rFonts w:hint="eastAsia" w:ascii="黑体" w:hAnsi="黑体" w:cs="黑体"/>
          <w:szCs w:val="28"/>
          <w:highlight w:val="none"/>
        </w:rPr>
        <w:t>一、项目信息</w:t>
      </w:r>
      <w:r>
        <w:rPr>
          <w:highlight w:val="none"/>
        </w:rPr>
        <w:tab/>
      </w:r>
      <w:r>
        <w:rPr>
          <w:highlight w:val="none"/>
        </w:rPr>
        <w:fldChar w:fldCharType="begin"/>
      </w:r>
      <w:r>
        <w:rPr>
          <w:highlight w:val="none"/>
        </w:rPr>
        <w:instrText xml:space="preserve"> PAGEREF _Toc2567 \h </w:instrText>
      </w:r>
      <w:r>
        <w:rPr>
          <w:highlight w:val="none"/>
        </w:rPr>
        <w:fldChar w:fldCharType="separate"/>
      </w:r>
      <w:r>
        <w:rPr>
          <w:highlight w:val="none"/>
        </w:rPr>
        <w:t>117</w:t>
      </w:r>
      <w:r>
        <w:rPr>
          <w:highlight w:val="none"/>
        </w:rPr>
        <w:fldChar w:fldCharType="end"/>
      </w:r>
      <w:r>
        <w:rPr>
          <w:rFonts w:hAnsi="宋体"/>
          <w:bCs/>
          <w:szCs w:val="32"/>
          <w:highlight w:val="none"/>
        </w:rPr>
        <w:fldChar w:fldCharType="end"/>
      </w:r>
    </w:p>
    <w:p w14:paraId="4ADE5BFB">
      <w:pPr>
        <w:pStyle w:val="21"/>
        <w:tabs>
          <w:tab w:val="right" w:leader="dot" w:pos="9071"/>
        </w:tabs>
        <w:rPr>
          <w:highlight w:val="none"/>
        </w:rPr>
      </w:pPr>
      <w:r>
        <w:rPr>
          <w:rFonts w:hAnsi="宋体"/>
          <w:bCs/>
          <w:szCs w:val="32"/>
          <w:highlight w:val="none"/>
        </w:rPr>
        <w:fldChar w:fldCharType="begin"/>
      </w:r>
      <w:r>
        <w:rPr>
          <w:rFonts w:hAnsi="宋体"/>
          <w:bCs/>
          <w:szCs w:val="32"/>
          <w:highlight w:val="none"/>
        </w:rPr>
        <w:instrText xml:space="preserve"> HYPERLINK \l _Toc8200 </w:instrText>
      </w:r>
      <w:r>
        <w:rPr>
          <w:rFonts w:hAnsi="宋体"/>
          <w:bCs/>
          <w:szCs w:val="32"/>
          <w:highlight w:val="none"/>
        </w:rPr>
        <w:fldChar w:fldCharType="separate"/>
      </w:r>
      <w:r>
        <w:rPr>
          <w:rFonts w:hint="eastAsia" w:ascii="黑体" w:hAnsi="黑体" w:cs="黑体"/>
          <w:szCs w:val="28"/>
          <w:highlight w:val="none"/>
        </w:rPr>
        <w:t>二、合同标的及金额</w:t>
      </w:r>
      <w:r>
        <w:rPr>
          <w:highlight w:val="none"/>
        </w:rPr>
        <w:tab/>
      </w:r>
      <w:r>
        <w:rPr>
          <w:highlight w:val="none"/>
        </w:rPr>
        <w:fldChar w:fldCharType="begin"/>
      </w:r>
      <w:r>
        <w:rPr>
          <w:highlight w:val="none"/>
        </w:rPr>
        <w:instrText xml:space="preserve"> PAGEREF _Toc8200 \h </w:instrText>
      </w:r>
      <w:r>
        <w:rPr>
          <w:highlight w:val="none"/>
        </w:rPr>
        <w:fldChar w:fldCharType="separate"/>
      </w:r>
      <w:r>
        <w:rPr>
          <w:highlight w:val="none"/>
        </w:rPr>
        <w:t>117</w:t>
      </w:r>
      <w:r>
        <w:rPr>
          <w:highlight w:val="none"/>
        </w:rPr>
        <w:fldChar w:fldCharType="end"/>
      </w:r>
      <w:r>
        <w:rPr>
          <w:rFonts w:hAnsi="宋体"/>
          <w:bCs/>
          <w:szCs w:val="32"/>
          <w:highlight w:val="none"/>
        </w:rPr>
        <w:fldChar w:fldCharType="end"/>
      </w:r>
    </w:p>
    <w:p w14:paraId="5AA39A30">
      <w:pPr>
        <w:pStyle w:val="21"/>
        <w:tabs>
          <w:tab w:val="right" w:leader="dot" w:pos="9071"/>
        </w:tabs>
        <w:rPr>
          <w:highlight w:val="none"/>
        </w:rPr>
      </w:pPr>
      <w:r>
        <w:rPr>
          <w:rFonts w:hAnsi="宋体"/>
          <w:bCs/>
          <w:szCs w:val="32"/>
          <w:highlight w:val="none"/>
        </w:rPr>
        <w:fldChar w:fldCharType="begin"/>
      </w:r>
      <w:r>
        <w:rPr>
          <w:rFonts w:hAnsi="宋体"/>
          <w:bCs/>
          <w:szCs w:val="32"/>
          <w:highlight w:val="none"/>
        </w:rPr>
        <w:instrText xml:space="preserve"> HYPERLINK \l _Toc1029 </w:instrText>
      </w:r>
      <w:r>
        <w:rPr>
          <w:rFonts w:hAnsi="宋体"/>
          <w:bCs/>
          <w:szCs w:val="32"/>
          <w:highlight w:val="none"/>
        </w:rPr>
        <w:fldChar w:fldCharType="separate"/>
      </w:r>
      <w:r>
        <w:rPr>
          <w:rFonts w:hint="eastAsia" w:ascii="黑体" w:hAnsi="黑体" w:cs="黑体"/>
          <w:szCs w:val="28"/>
          <w:highlight w:val="none"/>
        </w:rPr>
        <w:t>三、交付时间、地点及方式</w:t>
      </w:r>
      <w:r>
        <w:rPr>
          <w:highlight w:val="none"/>
        </w:rPr>
        <w:tab/>
      </w:r>
      <w:r>
        <w:rPr>
          <w:highlight w:val="none"/>
        </w:rPr>
        <w:fldChar w:fldCharType="begin"/>
      </w:r>
      <w:r>
        <w:rPr>
          <w:highlight w:val="none"/>
        </w:rPr>
        <w:instrText xml:space="preserve"> PAGEREF _Toc1029 \h </w:instrText>
      </w:r>
      <w:r>
        <w:rPr>
          <w:highlight w:val="none"/>
        </w:rPr>
        <w:fldChar w:fldCharType="separate"/>
      </w:r>
      <w:r>
        <w:rPr>
          <w:highlight w:val="none"/>
        </w:rPr>
        <w:t>117</w:t>
      </w:r>
      <w:r>
        <w:rPr>
          <w:highlight w:val="none"/>
        </w:rPr>
        <w:fldChar w:fldCharType="end"/>
      </w:r>
      <w:r>
        <w:rPr>
          <w:rFonts w:hAnsi="宋体"/>
          <w:bCs/>
          <w:szCs w:val="32"/>
          <w:highlight w:val="none"/>
        </w:rPr>
        <w:fldChar w:fldCharType="end"/>
      </w:r>
    </w:p>
    <w:p w14:paraId="1395F9B1">
      <w:pPr>
        <w:pStyle w:val="21"/>
        <w:tabs>
          <w:tab w:val="right" w:leader="dot" w:pos="9071"/>
        </w:tabs>
        <w:rPr>
          <w:highlight w:val="none"/>
        </w:rPr>
      </w:pPr>
      <w:r>
        <w:rPr>
          <w:rFonts w:hAnsi="宋体"/>
          <w:bCs/>
          <w:szCs w:val="32"/>
          <w:highlight w:val="none"/>
        </w:rPr>
        <w:fldChar w:fldCharType="begin"/>
      </w:r>
      <w:r>
        <w:rPr>
          <w:rFonts w:hAnsi="宋体"/>
          <w:bCs/>
          <w:szCs w:val="32"/>
          <w:highlight w:val="none"/>
        </w:rPr>
        <w:instrText xml:space="preserve"> HYPERLINK \l _Toc4735 </w:instrText>
      </w:r>
      <w:r>
        <w:rPr>
          <w:rFonts w:hAnsi="宋体"/>
          <w:bCs/>
          <w:szCs w:val="32"/>
          <w:highlight w:val="none"/>
        </w:rPr>
        <w:fldChar w:fldCharType="separate"/>
      </w:r>
      <w:r>
        <w:rPr>
          <w:rFonts w:hint="eastAsia" w:ascii="黑体" w:hAnsi="黑体" w:cs="黑体"/>
          <w:szCs w:val="28"/>
          <w:highlight w:val="none"/>
        </w:rPr>
        <w:t>四、运输和保险</w:t>
      </w:r>
      <w:r>
        <w:rPr>
          <w:highlight w:val="none"/>
        </w:rPr>
        <w:tab/>
      </w:r>
      <w:r>
        <w:rPr>
          <w:highlight w:val="none"/>
        </w:rPr>
        <w:fldChar w:fldCharType="begin"/>
      </w:r>
      <w:r>
        <w:rPr>
          <w:highlight w:val="none"/>
        </w:rPr>
        <w:instrText xml:space="preserve"> PAGEREF _Toc4735 \h </w:instrText>
      </w:r>
      <w:r>
        <w:rPr>
          <w:highlight w:val="none"/>
        </w:rPr>
        <w:fldChar w:fldCharType="separate"/>
      </w:r>
      <w:r>
        <w:rPr>
          <w:highlight w:val="none"/>
        </w:rPr>
        <w:t>118</w:t>
      </w:r>
      <w:r>
        <w:rPr>
          <w:highlight w:val="none"/>
        </w:rPr>
        <w:fldChar w:fldCharType="end"/>
      </w:r>
      <w:r>
        <w:rPr>
          <w:rFonts w:hAnsi="宋体"/>
          <w:bCs/>
          <w:szCs w:val="32"/>
          <w:highlight w:val="none"/>
        </w:rPr>
        <w:fldChar w:fldCharType="end"/>
      </w:r>
    </w:p>
    <w:p w14:paraId="514B9721">
      <w:pPr>
        <w:pStyle w:val="21"/>
        <w:tabs>
          <w:tab w:val="right" w:leader="dot" w:pos="9071"/>
        </w:tabs>
        <w:rPr>
          <w:highlight w:val="none"/>
        </w:rPr>
      </w:pPr>
      <w:r>
        <w:rPr>
          <w:rFonts w:hAnsi="宋体"/>
          <w:bCs/>
          <w:szCs w:val="32"/>
          <w:highlight w:val="none"/>
        </w:rPr>
        <w:fldChar w:fldCharType="begin"/>
      </w:r>
      <w:r>
        <w:rPr>
          <w:rFonts w:hAnsi="宋体"/>
          <w:bCs/>
          <w:szCs w:val="32"/>
          <w:highlight w:val="none"/>
        </w:rPr>
        <w:instrText xml:space="preserve"> HYPERLINK \l _Toc29299 </w:instrText>
      </w:r>
      <w:r>
        <w:rPr>
          <w:rFonts w:hAnsi="宋体"/>
          <w:bCs/>
          <w:szCs w:val="32"/>
          <w:highlight w:val="none"/>
        </w:rPr>
        <w:fldChar w:fldCharType="separate"/>
      </w:r>
      <w:r>
        <w:rPr>
          <w:rFonts w:hint="eastAsia" w:ascii="黑体" w:hAnsi="黑体" w:cs="黑体"/>
          <w:szCs w:val="28"/>
          <w:highlight w:val="none"/>
        </w:rPr>
        <w:t>五、履约验收</w:t>
      </w:r>
      <w:r>
        <w:rPr>
          <w:highlight w:val="none"/>
        </w:rPr>
        <w:tab/>
      </w:r>
      <w:r>
        <w:rPr>
          <w:highlight w:val="none"/>
        </w:rPr>
        <w:fldChar w:fldCharType="begin"/>
      </w:r>
      <w:r>
        <w:rPr>
          <w:highlight w:val="none"/>
        </w:rPr>
        <w:instrText xml:space="preserve"> PAGEREF _Toc29299 \h </w:instrText>
      </w:r>
      <w:r>
        <w:rPr>
          <w:highlight w:val="none"/>
        </w:rPr>
        <w:fldChar w:fldCharType="separate"/>
      </w:r>
      <w:r>
        <w:rPr>
          <w:highlight w:val="none"/>
        </w:rPr>
        <w:t>118</w:t>
      </w:r>
      <w:r>
        <w:rPr>
          <w:highlight w:val="none"/>
        </w:rPr>
        <w:fldChar w:fldCharType="end"/>
      </w:r>
      <w:r>
        <w:rPr>
          <w:rFonts w:hAnsi="宋体"/>
          <w:bCs/>
          <w:szCs w:val="32"/>
          <w:highlight w:val="none"/>
        </w:rPr>
        <w:fldChar w:fldCharType="end"/>
      </w:r>
    </w:p>
    <w:p w14:paraId="2BB21F47">
      <w:pPr>
        <w:pStyle w:val="21"/>
        <w:tabs>
          <w:tab w:val="right" w:leader="dot" w:pos="9071"/>
        </w:tabs>
        <w:rPr>
          <w:highlight w:val="none"/>
        </w:rPr>
      </w:pPr>
      <w:r>
        <w:rPr>
          <w:rFonts w:hAnsi="宋体"/>
          <w:bCs/>
          <w:szCs w:val="32"/>
          <w:highlight w:val="none"/>
        </w:rPr>
        <w:fldChar w:fldCharType="begin"/>
      </w:r>
      <w:r>
        <w:rPr>
          <w:rFonts w:hAnsi="宋体"/>
          <w:bCs/>
          <w:szCs w:val="32"/>
          <w:highlight w:val="none"/>
        </w:rPr>
        <w:instrText xml:space="preserve"> HYPERLINK \l _Toc16479 </w:instrText>
      </w:r>
      <w:r>
        <w:rPr>
          <w:rFonts w:hAnsi="宋体"/>
          <w:bCs/>
          <w:szCs w:val="32"/>
          <w:highlight w:val="none"/>
        </w:rPr>
        <w:fldChar w:fldCharType="separate"/>
      </w:r>
      <w:r>
        <w:rPr>
          <w:rFonts w:hint="eastAsia" w:ascii="黑体" w:hAnsi="黑体" w:cs="黑体"/>
          <w:szCs w:val="28"/>
          <w:highlight w:val="none"/>
        </w:rPr>
        <w:t>六、保密条款</w:t>
      </w:r>
      <w:r>
        <w:rPr>
          <w:highlight w:val="none"/>
        </w:rPr>
        <w:tab/>
      </w:r>
      <w:r>
        <w:rPr>
          <w:highlight w:val="none"/>
        </w:rPr>
        <w:fldChar w:fldCharType="begin"/>
      </w:r>
      <w:r>
        <w:rPr>
          <w:highlight w:val="none"/>
        </w:rPr>
        <w:instrText xml:space="preserve"> PAGEREF _Toc16479 \h </w:instrText>
      </w:r>
      <w:r>
        <w:rPr>
          <w:highlight w:val="none"/>
        </w:rPr>
        <w:fldChar w:fldCharType="separate"/>
      </w:r>
      <w:r>
        <w:rPr>
          <w:highlight w:val="none"/>
        </w:rPr>
        <w:t>122</w:t>
      </w:r>
      <w:r>
        <w:rPr>
          <w:highlight w:val="none"/>
        </w:rPr>
        <w:fldChar w:fldCharType="end"/>
      </w:r>
      <w:r>
        <w:rPr>
          <w:rFonts w:hAnsi="宋体"/>
          <w:bCs/>
          <w:szCs w:val="32"/>
          <w:highlight w:val="none"/>
        </w:rPr>
        <w:fldChar w:fldCharType="end"/>
      </w:r>
    </w:p>
    <w:p w14:paraId="0245ECA0">
      <w:pPr>
        <w:pStyle w:val="21"/>
        <w:tabs>
          <w:tab w:val="right" w:leader="dot" w:pos="9071"/>
        </w:tabs>
        <w:rPr>
          <w:highlight w:val="none"/>
        </w:rPr>
      </w:pPr>
      <w:r>
        <w:rPr>
          <w:rFonts w:hAnsi="宋体"/>
          <w:bCs/>
          <w:szCs w:val="32"/>
          <w:highlight w:val="none"/>
        </w:rPr>
        <w:fldChar w:fldCharType="begin"/>
      </w:r>
      <w:r>
        <w:rPr>
          <w:rFonts w:hAnsi="宋体"/>
          <w:bCs/>
          <w:szCs w:val="32"/>
          <w:highlight w:val="none"/>
        </w:rPr>
        <w:instrText xml:space="preserve"> HYPERLINK \l _Toc7543 </w:instrText>
      </w:r>
      <w:r>
        <w:rPr>
          <w:rFonts w:hAnsi="宋体"/>
          <w:bCs/>
          <w:szCs w:val="32"/>
          <w:highlight w:val="none"/>
        </w:rPr>
        <w:fldChar w:fldCharType="separate"/>
      </w:r>
      <w:r>
        <w:rPr>
          <w:rFonts w:hint="eastAsia" w:ascii="黑体" w:hAnsi="黑体" w:cs="黑体"/>
          <w:szCs w:val="28"/>
          <w:highlight w:val="none"/>
        </w:rPr>
        <w:t>七、质量保证和期限</w:t>
      </w:r>
      <w:r>
        <w:rPr>
          <w:highlight w:val="none"/>
        </w:rPr>
        <w:tab/>
      </w:r>
      <w:r>
        <w:rPr>
          <w:highlight w:val="none"/>
        </w:rPr>
        <w:fldChar w:fldCharType="begin"/>
      </w:r>
      <w:r>
        <w:rPr>
          <w:highlight w:val="none"/>
        </w:rPr>
        <w:instrText xml:space="preserve"> PAGEREF _Toc7543 \h </w:instrText>
      </w:r>
      <w:r>
        <w:rPr>
          <w:highlight w:val="none"/>
        </w:rPr>
        <w:fldChar w:fldCharType="separate"/>
      </w:r>
      <w:r>
        <w:rPr>
          <w:highlight w:val="none"/>
        </w:rPr>
        <w:t>123</w:t>
      </w:r>
      <w:r>
        <w:rPr>
          <w:highlight w:val="none"/>
        </w:rPr>
        <w:fldChar w:fldCharType="end"/>
      </w:r>
      <w:r>
        <w:rPr>
          <w:rFonts w:hAnsi="宋体"/>
          <w:bCs/>
          <w:szCs w:val="32"/>
          <w:highlight w:val="none"/>
        </w:rPr>
        <w:fldChar w:fldCharType="end"/>
      </w:r>
    </w:p>
    <w:p w14:paraId="5FE9B24E">
      <w:pPr>
        <w:pStyle w:val="21"/>
        <w:tabs>
          <w:tab w:val="right" w:leader="dot" w:pos="9071"/>
        </w:tabs>
        <w:rPr>
          <w:highlight w:val="none"/>
        </w:rPr>
      </w:pPr>
      <w:r>
        <w:rPr>
          <w:rFonts w:hAnsi="宋体"/>
          <w:bCs/>
          <w:szCs w:val="32"/>
          <w:highlight w:val="none"/>
        </w:rPr>
        <w:fldChar w:fldCharType="begin"/>
      </w:r>
      <w:r>
        <w:rPr>
          <w:rFonts w:hAnsi="宋体"/>
          <w:bCs/>
          <w:szCs w:val="32"/>
          <w:highlight w:val="none"/>
        </w:rPr>
        <w:instrText xml:space="preserve"> HYPERLINK \l _Toc16648 </w:instrText>
      </w:r>
      <w:r>
        <w:rPr>
          <w:rFonts w:hAnsi="宋体"/>
          <w:bCs/>
          <w:szCs w:val="32"/>
          <w:highlight w:val="none"/>
        </w:rPr>
        <w:fldChar w:fldCharType="separate"/>
      </w:r>
      <w:r>
        <w:rPr>
          <w:rFonts w:hint="eastAsia" w:ascii="黑体" w:hAnsi="黑体" w:cs="黑体"/>
          <w:szCs w:val="28"/>
          <w:highlight w:val="none"/>
        </w:rPr>
        <w:t>□八、履约保证金</w:t>
      </w:r>
      <w:r>
        <w:rPr>
          <w:highlight w:val="none"/>
        </w:rPr>
        <w:tab/>
      </w:r>
      <w:r>
        <w:rPr>
          <w:highlight w:val="none"/>
        </w:rPr>
        <w:fldChar w:fldCharType="begin"/>
      </w:r>
      <w:r>
        <w:rPr>
          <w:highlight w:val="none"/>
        </w:rPr>
        <w:instrText xml:space="preserve"> PAGEREF _Toc16648 \h </w:instrText>
      </w:r>
      <w:r>
        <w:rPr>
          <w:highlight w:val="none"/>
        </w:rPr>
        <w:fldChar w:fldCharType="separate"/>
      </w:r>
      <w:r>
        <w:rPr>
          <w:highlight w:val="none"/>
        </w:rPr>
        <w:t>123</w:t>
      </w:r>
      <w:r>
        <w:rPr>
          <w:highlight w:val="none"/>
        </w:rPr>
        <w:fldChar w:fldCharType="end"/>
      </w:r>
      <w:r>
        <w:rPr>
          <w:rFonts w:hAnsi="宋体"/>
          <w:bCs/>
          <w:szCs w:val="32"/>
          <w:highlight w:val="none"/>
        </w:rPr>
        <w:fldChar w:fldCharType="end"/>
      </w:r>
    </w:p>
    <w:p w14:paraId="6F8D119B">
      <w:pPr>
        <w:pStyle w:val="21"/>
        <w:tabs>
          <w:tab w:val="right" w:leader="dot" w:pos="9071"/>
        </w:tabs>
        <w:rPr>
          <w:highlight w:val="none"/>
        </w:rPr>
      </w:pPr>
      <w:r>
        <w:rPr>
          <w:rFonts w:hAnsi="宋体"/>
          <w:bCs/>
          <w:szCs w:val="32"/>
          <w:highlight w:val="none"/>
        </w:rPr>
        <w:fldChar w:fldCharType="begin"/>
      </w:r>
      <w:r>
        <w:rPr>
          <w:rFonts w:hAnsi="宋体"/>
          <w:bCs/>
          <w:szCs w:val="32"/>
          <w:highlight w:val="none"/>
        </w:rPr>
        <w:instrText xml:space="preserve"> HYPERLINK \l _Toc14201 </w:instrText>
      </w:r>
      <w:r>
        <w:rPr>
          <w:rFonts w:hAnsi="宋体"/>
          <w:bCs/>
          <w:szCs w:val="32"/>
          <w:highlight w:val="none"/>
        </w:rPr>
        <w:fldChar w:fldCharType="separate"/>
      </w:r>
      <w:r>
        <w:rPr>
          <w:rFonts w:hint="eastAsia" w:ascii="黑体" w:hAnsi="黑体" w:cs="黑体"/>
          <w:szCs w:val="28"/>
          <w:highlight w:val="none"/>
        </w:rPr>
        <w:t>□九、质量保证金</w:t>
      </w:r>
      <w:r>
        <w:rPr>
          <w:highlight w:val="none"/>
        </w:rPr>
        <w:tab/>
      </w:r>
      <w:r>
        <w:rPr>
          <w:highlight w:val="none"/>
        </w:rPr>
        <w:fldChar w:fldCharType="begin"/>
      </w:r>
      <w:r>
        <w:rPr>
          <w:highlight w:val="none"/>
        </w:rPr>
        <w:instrText xml:space="preserve"> PAGEREF _Toc14201 \h </w:instrText>
      </w:r>
      <w:r>
        <w:rPr>
          <w:highlight w:val="none"/>
        </w:rPr>
        <w:fldChar w:fldCharType="separate"/>
      </w:r>
      <w:r>
        <w:rPr>
          <w:highlight w:val="none"/>
        </w:rPr>
        <w:t>123</w:t>
      </w:r>
      <w:r>
        <w:rPr>
          <w:highlight w:val="none"/>
        </w:rPr>
        <w:fldChar w:fldCharType="end"/>
      </w:r>
      <w:r>
        <w:rPr>
          <w:rFonts w:hAnsi="宋体"/>
          <w:bCs/>
          <w:szCs w:val="32"/>
          <w:highlight w:val="none"/>
        </w:rPr>
        <w:fldChar w:fldCharType="end"/>
      </w:r>
    </w:p>
    <w:p w14:paraId="086652EF">
      <w:pPr>
        <w:pStyle w:val="21"/>
        <w:tabs>
          <w:tab w:val="right" w:leader="dot" w:pos="9071"/>
        </w:tabs>
        <w:rPr>
          <w:highlight w:val="none"/>
        </w:rPr>
      </w:pPr>
      <w:r>
        <w:rPr>
          <w:rFonts w:hAnsi="宋体"/>
          <w:bCs/>
          <w:szCs w:val="32"/>
          <w:highlight w:val="none"/>
        </w:rPr>
        <w:fldChar w:fldCharType="begin"/>
      </w:r>
      <w:r>
        <w:rPr>
          <w:rFonts w:hAnsi="宋体"/>
          <w:bCs/>
          <w:szCs w:val="32"/>
          <w:highlight w:val="none"/>
        </w:rPr>
        <w:instrText xml:space="preserve"> HYPERLINK \l _Toc15269 </w:instrText>
      </w:r>
      <w:r>
        <w:rPr>
          <w:rFonts w:hAnsi="宋体"/>
          <w:bCs/>
          <w:szCs w:val="32"/>
          <w:highlight w:val="none"/>
        </w:rPr>
        <w:fldChar w:fldCharType="separate"/>
      </w:r>
      <w:r>
        <w:rPr>
          <w:rFonts w:hint="eastAsia" w:ascii="黑体" w:hAnsi="黑体" w:cs="黑体"/>
          <w:szCs w:val="28"/>
          <w:highlight w:val="none"/>
        </w:rPr>
        <w:t>十、资金结算</w:t>
      </w:r>
      <w:r>
        <w:rPr>
          <w:highlight w:val="none"/>
        </w:rPr>
        <w:tab/>
      </w:r>
      <w:r>
        <w:rPr>
          <w:highlight w:val="none"/>
        </w:rPr>
        <w:fldChar w:fldCharType="begin"/>
      </w:r>
      <w:r>
        <w:rPr>
          <w:highlight w:val="none"/>
        </w:rPr>
        <w:instrText xml:space="preserve"> PAGEREF _Toc15269 \h </w:instrText>
      </w:r>
      <w:r>
        <w:rPr>
          <w:highlight w:val="none"/>
        </w:rPr>
        <w:fldChar w:fldCharType="separate"/>
      </w:r>
      <w:r>
        <w:rPr>
          <w:highlight w:val="none"/>
        </w:rPr>
        <w:t>124</w:t>
      </w:r>
      <w:r>
        <w:rPr>
          <w:highlight w:val="none"/>
        </w:rPr>
        <w:fldChar w:fldCharType="end"/>
      </w:r>
      <w:r>
        <w:rPr>
          <w:rFonts w:hAnsi="宋体"/>
          <w:bCs/>
          <w:szCs w:val="32"/>
          <w:highlight w:val="none"/>
        </w:rPr>
        <w:fldChar w:fldCharType="end"/>
      </w:r>
    </w:p>
    <w:p w14:paraId="15980618">
      <w:pPr>
        <w:pStyle w:val="21"/>
        <w:tabs>
          <w:tab w:val="right" w:leader="dot" w:pos="9071"/>
        </w:tabs>
        <w:rPr>
          <w:highlight w:val="none"/>
        </w:rPr>
      </w:pPr>
      <w:r>
        <w:rPr>
          <w:rFonts w:hAnsi="宋体"/>
          <w:bCs/>
          <w:szCs w:val="32"/>
          <w:highlight w:val="none"/>
        </w:rPr>
        <w:fldChar w:fldCharType="begin"/>
      </w:r>
      <w:r>
        <w:rPr>
          <w:rFonts w:hAnsi="宋体"/>
          <w:bCs/>
          <w:szCs w:val="32"/>
          <w:highlight w:val="none"/>
        </w:rPr>
        <w:instrText xml:space="preserve"> HYPERLINK \l _Toc6104 </w:instrText>
      </w:r>
      <w:r>
        <w:rPr>
          <w:rFonts w:hAnsi="宋体"/>
          <w:bCs/>
          <w:szCs w:val="32"/>
          <w:highlight w:val="none"/>
        </w:rPr>
        <w:fldChar w:fldCharType="separate"/>
      </w:r>
      <w:r>
        <w:rPr>
          <w:rFonts w:hint="eastAsia" w:ascii="黑体" w:hAnsi="黑体" w:cs="黑体"/>
          <w:szCs w:val="28"/>
          <w:highlight w:val="none"/>
        </w:rPr>
        <w:t>十一、违约责任</w:t>
      </w:r>
      <w:r>
        <w:rPr>
          <w:highlight w:val="none"/>
        </w:rPr>
        <w:tab/>
      </w:r>
      <w:r>
        <w:rPr>
          <w:highlight w:val="none"/>
        </w:rPr>
        <w:fldChar w:fldCharType="begin"/>
      </w:r>
      <w:r>
        <w:rPr>
          <w:highlight w:val="none"/>
        </w:rPr>
        <w:instrText xml:space="preserve"> PAGEREF _Toc6104 \h </w:instrText>
      </w:r>
      <w:r>
        <w:rPr>
          <w:highlight w:val="none"/>
        </w:rPr>
        <w:fldChar w:fldCharType="separate"/>
      </w:r>
      <w:r>
        <w:rPr>
          <w:highlight w:val="none"/>
        </w:rPr>
        <w:t>125</w:t>
      </w:r>
      <w:r>
        <w:rPr>
          <w:highlight w:val="none"/>
        </w:rPr>
        <w:fldChar w:fldCharType="end"/>
      </w:r>
      <w:r>
        <w:rPr>
          <w:rFonts w:hAnsi="宋体"/>
          <w:bCs/>
          <w:szCs w:val="32"/>
          <w:highlight w:val="none"/>
        </w:rPr>
        <w:fldChar w:fldCharType="end"/>
      </w:r>
    </w:p>
    <w:p w14:paraId="426B4107">
      <w:pPr>
        <w:pStyle w:val="21"/>
        <w:tabs>
          <w:tab w:val="right" w:leader="dot" w:pos="9071"/>
        </w:tabs>
        <w:rPr>
          <w:highlight w:val="none"/>
        </w:rPr>
      </w:pPr>
      <w:r>
        <w:rPr>
          <w:rFonts w:hAnsi="宋体"/>
          <w:bCs/>
          <w:szCs w:val="32"/>
          <w:highlight w:val="none"/>
        </w:rPr>
        <w:fldChar w:fldCharType="begin"/>
      </w:r>
      <w:r>
        <w:rPr>
          <w:rFonts w:hAnsi="宋体"/>
          <w:bCs/>
          <w:szCs w:val="32"/>
          <w:highlight w:val="none"/>
        </w:rPr>
        <w:instrText xml:space="preserve"> HYPERLINK \l _Toc11149 </w:instrText>
      </w:r>
      <w:r>
        <w:rPr>
          <w:rFonts w:hAnsi="宋体"/>
          <w:bCs/>
          <w:szCs w:val="32"/>
          <w:highlight w:val="none"/>
        </w:rPr>
        <w:fldChar w:fldCharType="separate"/>
      </w:r>
      <w:r>
        <w:rPr>
          <w:rFonts w:hint="eastAsia" w:ascii="黑体" w:hAnsi="黑体" w:cs="黑体"/>
          <w:szCs w:val="28"/>
          <w:highlight w:val="none"/>
        </w:rPr>
        <w:t>十二、争议解决方式</w:t>
      </w:r>
      <w:r>
        <w:rPr>
          <w:highlight w:val="none"/>
        </w:rPr>
        <w:tab/>
      </w:r>
      <w:r>
        <w:rPr>
          <w:highlight w:val="none"/>
        </w:rPr>
        <w:fldChar w:fldCharType="begin"/>
      </w:r>
      <w:r>
        <w:rPr>
          <w:highlight w:val="none"/>
        </w:rPr>
        <w:instrText xml:space="preserve"> PAGEREF _Toc11149 \h </w:instrText>
      </w:r>
      <w:r>
        <w:rPr>
          <w:highlight w:val="none"/>
        </w:rPr>
        <w:fldChar w:fldCharType="separate"/>
      </w:r>
      <w:r>
        <w:rPr>
          <w:highlight w:val="none"/>
        </w:rPr>
        <w:t>125</w:t>
      </w:r>
      <w:r>
        <w:rPr>
          <w:highlight w:val="none"/>
        </w:rPr>
        <w:fldChar w:fldCharType="end"/>
      </w:r>
      <w:r>
        <w:rPr>
          <w:rFonts w:hAnsi="宋体"/>
          <w:bCs/>
          <w:szCs w:val="32"/>
          <w:highlight w:val="none"/>
        </w:rPr>
        <w:fldChar w:fldCharType="end"/>
      </w:r>
    </w:p>
    <w:p w14:paraId="79491968">
      <w:pPr>
        <w:pStyle w:val="21"/>
        <w:tabs>
          <w:tab w:val="right" w:leader="dot" w:pos="9071"/>
        </w:tabs>
        <w:rPr>
          <w:highlight w:val="none"/>
        </w:rPr>
      </w:pPr>
      <w:r>
        <w:rPr>
          <w:rFonts w:hAnsi="宋体"/>
          <w:bCs/>
          <w:szCs w:val="32"/>
          <w:highlight w:val="none"/>
        </w:rPr>
        <w:fldChar w:fldCharType="begin"/>
      </w:r>
      <w:r>
        <w:rPr>
          <w:rFonts w:hAnsi="宋体"/>
          <w:bCs/>
          <w:szCs w:val="32"/>
          <w:highlight w:val="none"/>
        </w:rPr>
        <w:instrText xml:space="preserve"> HYPERLINK \l _Toc4146 </w:instrText>
      </w:r>
      <w:r>
        <w:rPr>
          <w:rFonts w:hAnsi="宋体"/>
          <w:bCs/>
          <w:szCs w:val="32"/>
          <w:highlight w:val="none"/>
        </w:rPr>
        <w:fldChar w:fldCharType="separate"/>
      </w:r>
      <w:r>
        <w:rPr>
          <w:rFonts w:hint="eastAsia" w:ascii="黑体" w:hAnsi="黑体" w:cs="黑体"/>
          <w:szCs w:val="28"/>
          <w:highlight w:val="none"/>
        </w:rPr>
        <w:t>十三、合同生效</w:t>
      </w:r>
      <w:r>
        <w:rPr>
          <w:highlight w:val="none"/>
        </w:rPr>
        <w:tab/>
      </w:r>
      <w:r>
        <w:rPr>
          <w:highlight w:val="none"/>
        </w:rPr>
        <w:fldChar w:fldCharType="begin"/>
      </w:r>
      <w:r>
        <w:rPr>
          <w:highlight w:val="none"/>
        </w:rPr>
        <w:instrText xml:space="preserve"> PAGEREF _Toc4146 \h </w:instrText>
      </w:r>
      <w:r>
        <w:rPr>
          <w:highlight w:val="none"/>
        </w:rPr>
        <w:fldChar w:fldCharType="separate"/>
      </w:r>
      <w:r>
        <w:rPr>
          <w:highlight w:val="none"/>
        </w:rPr>
        <w:t>125</w:t>
      </w:r>
      <w:r>
        <w:rPr>
          <w:highlight w:val="none"/>
        </w:rPr>
        <w:fldChar w:fldCharType="end"/>
      </w:r>
      <w:r>
        <w:rPr>
          <w:rFonts w:hAnsi="宋体"/>
          <w:bCs/>
          <w:szCs w:val="32"/>
          <w:highlight w:val="none"/>
        </w:rPr>
        <w:fldChar w:fldCharType="end"/>
      </w:r>
    </w:p>
    <w:p w14:paraId="3CAB6FB9">
      <w:pPr>
        <w:pStyle w:val="21"/>
        <w:tabs>
          <w:tab w:val="right" w:leader="dot" w:pos="9071"/>
        </w:tabs>
        <w:rPr>
          <w:highlight w:val="none"/>
        </w:rPr>
      </w:pPr>
      <w:r>
        <w:rPr>
          <w:rFonts w:hAnsi="宋体"/>
          <w:bCs/>
          <w:szCs w:val="32"/>
          <w:highlight w:val="none"/>
        </w:rPr>
        <w:fldChar w:fldCharType="begin"/>
      </w:r>
      <w:r>
        <w:rPr>
          <w:rFonts w:hAnsi="宋体"/>
          <w:bCs/>
          <w:szCs w:val="32"/>
          <w:highlight w:val="none"/>
        </w:rPr>
        <w:instrText xml:space="preserve"> HYPERLINK \l _Toc30949 </w:instrText>
      </w:r>
      <w:r>
        <w:rPr>
          <w:rFonts w:hAnsi="宋体"/>
          <w:bCs/>
          <w:szCs w:val="32"/>
          <w:highlight w:val="none"/>
        </w:rPr>
        <w:fldChar w:fldCharType="separate"/>
      </w:r>
      <w:r>
        <w:rPr>
          <w:rFonts w:hint="eastAsia" w:ascii="黑体" w:hAnsi="黑体" w:cs="黑体"/>
          <w:szCs w:val="28"/>
          <w:highlight w:val="none"/>
        </w:rPr>
        <w:t>十四、其他事项</w:t>
      </w:r>
      <w:r>
        <w:rPr>
          <w:highlight w:val="none"/>
        </w:rPr>
        <w:tab/>
      </w:r>
      <w:r>
        <w:rPr>
          <w:highlight w:val="none"/>
        </w:rPr>
        <w:fldChar w:fldCharType="begin"/>
      </w:r>
      <w:r>
        <w:rPr>
          <w:highlight w:val="none"/>
        </w:rPr>
        <w:instrText xml:space="preserve"> PAGEREF _Toc30949 \h </w:instrText>
      </w:r>
      <w:r>
        <w:rPr>
          <w:highlight w:val="none"/>
        </w:rPr>
        <w:fldChar w:fldCharType="separate"/>
      </w:r>
      <w:r>
        <w:rPr>
          <w:highlight w:val="none"/>
        </w:rPr>
        <w:t>126</w:t>
      </w:r>
      <w:r>
        <w:rPr>
          <w:highlight w:val="none"/>
        </w:rPr>
        <w:fldChar w:fldCharType="end"/>
      </w:r>
      <w:r>
        <w:rPr>
          <w:rFonts w:hAnsi="宋体"/>
          <w:bCs/>
          <w:szCs w:val="32"/>
          <w:highlight w:val="none"/>
        </w:rPr>
        <w:fldChar w:fldCharType="end"/>
      </w:r>
    </w:p>
    <w:p w14:paraId="4C75B81A">
      <w:pPr>
        <w:pStyle w:val="22"/>
        <w:tabs>
          <w:tab w:val="right" w:leader="dot" w:pos="9487"/>
        </w:tabs>
        <w:adjustRightInd w:val="0"/>
        <w:snapToGrid w:val="0"/>
        <w:spacing w:line="560" w:lineRule="exact"/>
        <w:ind w:left="105" w:firstLine="420" w:firstLineChars="200"/>
        <w:jc w:val="center"/>
        <w:rPr>
          <w:rFonts w:hAnsi="宋体"/>
          <w:bCs/>
          <w:sz w:val="32"/>
          <w:szCs w:val="32"/>
          <w:highlight w:val="none"/>
        </w:rPr>
        <w:sectPr>
          <w:headerReference r:id="rId18" w:type="default"/>
          <w:footerReference r:id="rId19" w:type="default"/>
          <w:pgSz w:w="11906" w:h="16838"/>
          <w:pgMar w:top="1418" w:right="1417" w:bottom="1418" w:left="1418" w:header="851" w:footer="851" w:gutter="0"/>
          <w:pgNumType w:fmt="decimal"/>
          <w:cols w:space="720" w:num="1"/>
          <w:docGrid w:linePitch="388" w:charSpace="-1260"/>
        </w:sectPr>
      </w:pPr>
      <w:r>
        <w:rPr>
          <w:rFonts w:hAnsi="宋体"/>
          <w:bCs/>
          <w:szCs w:val="32"/>
          <w:highlight w:val="none"/>
        </w:rPr>
        <w:fldChar w:fldCharType="end"/>
      </w:r>
    </w:p>
    <w:p w14:paraId="4244CCB3">
      <w:pPr>
        <w:pStyle w:val="4"/>
        <w:keepNext w:val="0"/>
        <w:keepLines w:val="0"/>
        <w:adjustRightInd w:val="0"/>
        <w:snapToGrid w:val="0"/>
        <w:spacing w:line="560" w:lineRule="exact"/>
        <w:jc w:val="center"/>
        <w:rPr>
          <w:b w:val="0"/>
          <w:szCs w:val="44"/>
          <w:highlight w:val="none"/>
          <w:lang w:val="zh-CN"/>
        </w:rPr>
      </w:pPr>
      <w:bookmarkStart w:id="786" w:name="_Toc24328"/>
      <w:bookmarkStart w:id="787" w:name="_Toc132186966"/>
      <w:bookmarkStart w:id="788" w:name="_Toc132191250"/>
      <w:bookmarkStart w:id="789" w:name="_Toc128154359"/>
      <w:bookmarkStart w:id="790" w:name="_Toc6954"/>
      <w:bookmarkStart w:id="791" w:name="_Toc28515"/>
      <w:bookmarkStart w:id="792" w:name="_Toc21138"/>
      <w:bookmarkStart w:id="793" w:name="_Toc27201"/>
      <w:bookmarkStart w:id="794" w:name="_Toc130887998"/>
      <w:bookmarkStart w:id="795" w:name="_Toc21862"/>
      <w:bookmarkStart w:id="796" w:name="_Toc150421239"/>
      <w:bookmarkStart w:id="797" w:name="_Toc5384"/>
      <w:bookmarkStart w:id="798" w:name="_Toc128470286"/>
      <w:bookmarkStart w:id="799" w:name="_Toc130661169"/>
      <w:bookmarkStart w:id="800" w:name="_Toc32290"/>
      <w:bookmarkStart w:id="801" w:name="_Toc30198"/>
      <w:bookmarkStart w:id="802" w:name="_Toc112317780"/>
      <w:bookmarkStart w:id="803" w:name="_Toc20311"/>
      <w:bookmarkStart w:id="804" w:name="_Toc112768490"/>
      <w:bookmarkStart w:id="805" w:name="_Toc15622"/>
      <w:r>
        <w:rPr>
          <w:rFonts w:hint="eastAsia"/>
          <w:b w:val="0"/>
          <w:szCs w:val="44"/>
          <w:highlight w:val="none"/>
          <w:lang w:val="zh-CN"/>
        </w:rPr>
        <w:t xml:space="preserve">第四章 </w:t>
      </w:r>
      <w:bookmarkStart w:id="806" w:name="_Hlk117785343"/>
      <w:r>
        <w:rPr>
          <w:rFonts w:hint="eastAsia"/>
          <w:b w:val="0"/>
          <w:szCs w:val="44"/>
          <w:highlight w:val="none"/>
          <w:lang w:val="zh-CN"/>
        </w:rPr>
        <w:t>报价供应商须知前附表</w:t>
      </w:r>
      <w:bookmarkEnd w:id="786"/>
      <w:bookmarkEnd w:id="787"/>
      <w:bookmarkEnd w:id="788"/>
      <w:bookmarkEnd w:id="789"/>
      <w:bookmarkEnd w:id="790"/>
      <w:bookmarkEnd w:id="791"/>
      <w:bookmarkEnd w:id="792"/>
      <w:bookmarkEnd w:id="793"/>
      <w:bookmarkEnd w:id="794"/>
      <w:bookmarkEnd w:id="795"/>
      <w:bookmarkEnd w:id="796"/>
      <w:bookmarkEnd w:id="797"/>
      <w:bookmarkEnd w:id="798"/>
      <w:bookmarkEnd w:id="799"/>
      <w:bookmarkEnd w:id="806"/>
    </w:p>
    <w:p w14:paraId="025D3158">
      <w:pPr>
        <w:keepNext/>
        <w:keepLines/>
        <w:adjustRightInd w:val="0"/>
        <w:snapToGrid w:val="0"/>
        <w:spacing w:before="120" w:beforeLines="50" w:after="120" w:afterLines="50" w:line="560" w:lineRule="exact"/>
        <w:ind w:firstLine="560" w:firstLineChars="200"/>
        <w:jc w:val="left"/>
        <w:textAlignment w:val="baseline"/>
        <w:rPr>
          <w:rFonts w:ascii="宋体" w:hAnsi="宋体" w:cs="宋体"/>
          <w:bCs/>
          <w:sz w:val="28"/>
          <w:szCs w:val="28"/>
          <w:highlight w:val="none"/>
        </w:rPr>
      </w:pPr>
      <w:r>
        <w:rPr>
          <w:rFonts w:hint="eastAsia" w:ascii="宋体" w:hAnsi="宋体" w:cs="宋体"/>
          <w:bCs/>
          <w:sz w:val="28"/>
          <w:szCs w:val="28"/>
          <w:highlight w:val="none"/>
        </w:rPr>
        <w:t>本表是对本项目需重点关注内容的集中说明。专用文件与通用文件存在不一致的地方，以专用文件要求为准。</w:t>
      </w:r>
    </w:p>
    <w:tbl>
      <w:tblPr>
        <w:tblStyle w:val="42"/>
        <w:tblW w:w="9498"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993"/>
        <w:gridCol w:w="2693"/>
        <w:gridCol w:w="3544"/>
        <w:gridCol w:w="2268"/>
      </w:tblGrid>
      <w:tr w14:paraId="11D3EA1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20" w:hRule="atLeast"/>
          <w:tblHeader/>
          <w:jc w:val="center"/>
        </w:trPr>
        <w:tc>
          <w:tcPr>
            <w:tcW w:w="993" w:type="dxa"/>
            <w:vAlign w:val="center"/>
          </w:tcPr>
          <w:p w14:paraId="196371EA">
            <w:pPr>
              <w:adjustRightInd w:val="0"/>
              <w:snapToGrid w:val="0"/>
              <w:spacing w:line="360" w:lineRule="exact"/>
              <w:jc w:val="center"/>
              <w:rPr>
                <w:rFonts w:ascii="宋体" w:hAnsi="宋体"/>
                <w:sz w:val="21"/>
                <w:szCs w:val="21"/>
                <w:highlight w:val="none"/>
              </w:rPr>
            </w:pPr>
            <w:r>
              <w:rPr>
                <w:rFonts w:hint="eastAsia" w:ascii="宋体" w:hAnsi="宋体"/>
                <w:sz w:val="21"/>
                <w:szCs w:val="21"/>
                <w:highlight w:val="none"/>
              </w:rPr>
              <w:t>序号</w:t>
            </w:r>
          </w:p>
        </w:tc>
        <w:tc>
          <w:tcPr>
            <w:tcW w:w="2693" w:type="dxa"/>
            <w:vAlign w:val="center"/>
          </w:tcPr>
          <w:p w14:paraId="1E476352">
            <w:pPr>
              <w:adjustRightInd w:val="0"/>
              <w:snapToGrid w:val="0"/>
              <w:spacing w:line="360" w:lineRule="exact"/>
              <w:jc w:val="center"/>
              <w:rPr>
                <w:rFonts w:ascii="宋体" w:hAnsi="宋体"/>
                <w:sz w:val="21"/>
                <w:szCs w:val="21"/>
                <w:highlight w:val="none"/>
              </w:rPr>
            </w:pPr>
            <w:r>
              <w:rPr>
                <w:rFonts w:hint="eastAsia" w:ascii="宋体" w:hAnsi="宋体"/>
                <w:sz w:val="21"/>
                <w:szCs w:val="21"/>
                <w:highlight w:val="none"/>
              </w:rPr>
              <w:t>谈判报价相关事项</w:t>
            </w:r>
          </w:p>
        </w:tc>
        <w:tc>
          <w:tcPr>
            <w:tcW w:w="3544" w:type="dxa"/>
            <w:vAlign w:val="center"/>
          </w:tcPr>
          <w:p w14:paraId="442D8592">
            <w:pPr>
              <w:adjustRightInd w:val="0"/>
              <w:snapToGrid w:val="0"/>
              <w:spacing w:line="360" w:lineRule="exact"/>
              <w:jc w:val="center"/>
              <w:rPr>
                <w:rFonts w:ascii="宋体" w:hAnsi="宋体" w:cs="宋体"/>
                <w:bCs/>
                <w:sz w:val="21"/>
                <w:szCs w:val="21"/>
                <w:highlight w:val="none"/>
              </w:rPr>
            </w:pPr>
            <w:r>
              <w:rPr>
                <w:rFonts w:hint="eastAsia" w:ascii="宋体" w:hAnsi="宋体" w:cs="宋体"/>
                <w:bCs/>
                <w:sz w:val="21"/>
                <w:szCs w:val="21"/>
                <w:highlight w:val="none"/>
              </w:rPr>
              <w:t>项目具体要求</w:t>
            </w:r>
          </w:p>
          <w:p w14:paraId="110E1E54">
            <w:pPr>
              <w:adjustRightInd w:val="0"/>
              <w:snapToGrid w:val="0"/>
              <w:spacing w:line="360" w:lineRule="exact"/>
              <w:jc w:val="center"/>
              <w:rPr>
                <w:rFonts w:ascii="宋体" w:hAnsi="宋体"/>
                <w:sz w:val="21"/>
                <w:szCs w:val="21"/>
                <w:highlight w:val="none"/>
              </w:rPr>
            </w:pPr>
            <w:r>
              <w:rPr>
                <w:rFonts w:hint="eastAsia" w:ascii="宋体" w:hAnsi="宋体" w:cs="宋体"/>
                <w:bCs/>
                <w:sz w:val="21"/>
                <w:szCs w:val="21"/>
                <w:highlight w:val="none"/>
              </w:rPr>
              <w:t>（见专用文件）</w:t>
            </w:r>
          </w:p>
        </w:tc>
        <w:tc>
          <w:tcPr>
            <w:tcW w:w="2268" w:type="dxa"/>
            <w:vAlign w:val="center"/>
          </w:tcPr>
          <w:p w14:paraId="2A8A325D">
            <w:pPr>
              <w:adjustRightInd w:val="0"/>
              <w:snapToGrid w:val="0"/>
              <w:spacing w:line="360" w:lineRule="exact"/>
              <w:jc w:val="center"/>
              <w:rPr>
                <w:rFonts w:ascii="宋体" w:hAnsi="宋体"/>
                <w:sz w:val="21"/>
                <w:szCs w:val="21"/>
                <w:highlight w:val="none"/>
              </w:rPr>
            </w:pPr>
            <w:r>
              <w:rPr>
                <w:rFonts w:hint="eastAsia" w:ascii="宋体" w:hAnsi="宋体"/>
                <w:sz w:val="21"/>
                <w:szCs w:val="21"/>
                <w:highlight w:val="none"/>
              </w:rPr>
              <w:t>通用要求</w:t>
            </w:r>
          </w:p>
          <w:p w14:paraId="5A3BB191">
            <w:pPr>
              <w:adjustRightInd w:val="0"/>
              <w:snapToGrid w:val="0"/>
              <w:spacing w:line="360" w:lineRule="exact"/>
              <w:jc w:val="center"/>
              <w:rPr>
                <w:rFonts w:ascii="宋体" w:hAnsi="宋体"/>
                <w:sz w:val="21"/>
                <w:szCs w:val="21"/>
                <w:highlight w:val="none"/>
              </w:rPr>
            </w:pPr>
            <w:r>
              <w:rPr>
                <w:rFonts w:hint="eastAsia" w:ascii="宋体" w:hAnsi="宋体"/>
                <w:sz w:val="21"/>
                <w:szCs w:val="21"/>
                <w:highlight w:val="none"/>
              </w:rPr>
              <w:t>（见通用文件）</w:t>
            </w:r>
          </w:p>
        </w:tc>
      </w:tr>
      <w:tr w14:paraId="439F52B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2031" w:hRule="atLeast"/>
          <w:jc w:val="center"/>
        </w:trPr>
        <w:tc>
          <w:tcPr>
            <w:tcW w:w="993" w:type="dxa"/>
            <w:vAlign w:val="center"/>
          </w:tcPr>
          <w:p w14:paraId="540E55E6">
            <w:pPr>
              <w:adjustRightInd w:val="0"/>
              <w:snapToGrid w:val="0"/>
              <w:spacing w:line="360" w:lineRule="exact"/>
              <w:jc w:val="center"/>
              <w:rPr>
                <w:rFonts w:ascii="宋体" w:hAnsi="宋体"/>
                <w:sz w:val="21"/>
                <w:szCs w:val="21"/>
                <w:highlight w:val="none"/>
              </w:rPr>
            </w:pPr>
            <w:r>
              <w:rPr>
                <w:rFonts w:hint="eastAsia" w:ascii="宋体" w:hAnsi="宋体"/>
                <w:sz w:val="21"/>
                <w:szCs w:val="21"/>
                <w:highlight w:val="none"/>
              </w:rPr>
              <w:t>1</w:t>
            </w:r>
          </w:p>
        </w:tc>
        <w:tc>
          <w:tcPr>
            <w:tcW w:w="2693" w:type="dxa"/>
            <w:vAlign w:val="center"/>
          </w:tcPr>
          <w:p w14:paraId="48130ED1">
            <w:pPr>
              <w:adjustRightInd w:val="0"/>
              <w:snapToGrid w:val="0"/>
              <w:spacing w:line="360" w:lineRule="exact"/>
              <w:jc w:val="left"/>
              <w:rPr>
                <w:rFonts w:ascii="宋体" w:hAnsi="宋体"/>
                <w:sz w:val="21"/>
                <w:szCs w:val="21"/>
                <w:highlight w:val="none"/>
              </w:rPr>
            </w:pPr>
            <w:r>
              <w:rPr>
                <w:rFonts w:hint="eastAsia" w:ascii="宋体" w:hAnsi="宋体" w:cs="宋体"/>
                <w:sz w:val="21"/>
                <w:szCs w:val="21"/>
                <w:highlight w:val="none"/>
              </w:rPr>
              <w:t>项目概况</w:t>
            </w:r>
          </w:p>
        </w:tc>
        <w:tc>
          <w:tcPr>
            <w:tcW w:w="3544" w:type="dxa"/>
            <w:vAlign w:val="center"/>
          </w:tcPr>
          <w:p w14:paraId="261EFD49">
            <w:pPr>
              <w:spacing w:line="360" w:lineRule="exact"/>
              <w:rPr>
                <w:rFonts w:ascii="宋体" w:hAnsi="宋体" w:cs="宋体"/>
                <w:sz w:val="21"/>
                <w:szCs w:val="21"/>
                <w:highlight w:val="none"/>
              </w:rPr>
            </w:pPr>
            <w:r>
              <w:rPr>
                <w:rFonts w:hint="eastAsia" w:ascii="宋体" w:hAnsi="宋体" w:cs="宋体"/>
                <w:sz w:val="21"/>
                <w:szCs w:val="21"/>
                <w:highlight w:val="none"/>
                <w:u w:val="single"/>
                <w:lang w:eastAsia="zh-CN"/>
              </w:rPr>
              <w:t>细胞能量代谢系统（第三次）</w:t>
            </w:r>
            <w:r>
              <w:rPr>
                <w:rFonts w:hint="eastAsia" w:ascii="宋体" w:hAnsi="宋体" w:cs="宋体"/>
                <w:sz w:val="21"/>
                <w:szCs w:val="21"/>
                <w:highlight w:val="none"/>
              </w:rPr>
              <w:t>竞争性谈判</w:t>
            </w:r>
          </w:p>
          <w:p w14:paraId="5963170C">
            <w:pPr>
              <w:spacing w:line="360" w:lineRule="exact"/>
              <w:rPr>
                <w:rFonts w:hint="eastAsia" w:ascii="宋体" w:hAnsi="宋体" w:eastAsia="宋体" w:cs="宋体"/>
                <w:sz w:val="21"/>
                <w:szCs w:val="21"/>
                <w:highlight w:val="none"/>
                <w:u w:val="single"/>
                <w:lang w:eastAsia="zh-CN"/>
              </w:rPr>
            </w:pPr>
            <w:r>
              <w:rPr>
                <w:rFonts w:hint="eastAsia" w:ascii="宋体" w:hAnsi="宋体" w:cs="宋体"/>
                <w:sz w:val="21"/>
                <w:szCs w:val="21"/>
                <w:highlight w:val="none"/>
              </w:rPr>
              <w:t>采购机构：</w:t>
            </w:r>
            <w:r>
              <w:rPr>
                <w:rFonts w:hint="eastAsia" w:ascii="宋体" w:hAnsi="宋体" w:cs="宋体"/>
                <w:sz w:val="21"/>
                <w:szCs w:val="21"/>
                <w:highlight w:val="none"/>
                <w:u w:val="single"/>
                <w:lang w:eastAsia="zh-CN"/>
              </w:rPr>
              <w:t>物资采购中心</w:t>
            </w:r>
          </w:p>
          <w:p w14:paraId="5A830411">
            <w:pPr>
              <w:spacing w:line="360" w:lineRule="exact"/>
              <w:rPr>
                <w:rFonts w:hint="eastAsia" w:ascii="宋体" w:hAnsi="宋体" w:eastAsia="宋体" w:cs="宋体"/>
                <w:sz w:val="21"/>
                <w:szCs w:val="21"/>
                <w:highlight w:val="none"/>
                <w:u w:val="single"/>
                <w:lang w:eastAsia="zh-CN"/>
              </w:rPr>
            </w:pPr>
            <w:r>
              <w:rPr>
                <w:rFonts w:hint="eastAsia" w:ascii="宋体" w:hAnsi="宋体" w:cs="宋体"/>
                <w:sz w:val="21"/>
                <w:szCs w:val="21"/>
                <w:highlight w:val="none"/>
              </w:rPr>
              <w:t>联系人：</w:t>
            </w:r>
            <w:r>
              <w:rPr>
                <w:rFonts w:hint="eastAsia" w:ascii="宋体" w:hAnsi="宋体" w:cs="宋体"/>
                <w:sz w:val="21"/>
                <w:szCs w:val="21"/>
                <w:highlight w:val="none"/>
                <w:u w:val="single"/>
                <w:lang w:val="en-US" w:eastAsia="zh-CN"/>
              </w:rPr>
              <w:t>陈</w:t>
            </w:r>
            <w:r>
              <w:rPr>
                <w:rFonts w:hint="eastAsia" w:ascii="宋体" w:hAnsi="宋体" w:cs="宋体"/>
                <w:sz w:val="21"/>
                <w:szCs w:val="21"/>
                <w:highlight w:val="none"/>
                <w:u w:val="single"/>
                <w:lang w:eastAsia="zh-CN"/>
              </w:rPr>
              <w:t>助理</w:t>
            </w:r>
          </w:p>
          <w:p w14:paraId="4B710BA1">
            <w:pPr>
              <w:adjustRightInd w:val="0"/>
              <w:snapToGrid w:val="0"/>
              <w:spacing w:line="360" w:lineRule="exact"/>
              <w:rPr>
                <w:rFonts w:ascii="宋体" w:hAnsi="宋体"/>
                <w:sz w:val="21"/>
                <w:szCs w:val="21"/>
                <w:highlight w:val="none"/>
              </w:rPr>
            </w:pPr>
            <w:r>
              <w:rPr>
                <w:rFonts w:hint="eastAsia" w:ascii="宋体" w:hAnsi="宋体" w:cs="宋体"/>
                <w:sz w:val="21"/>
                <w:szCs w:val="21"/>
                <w:highlight w:val="none"/>
              </w:rPr>
              <w:t>项目预算：</w:t>
            </w:r>
            <w:r>
              <w:rPr>
                <w:rFonts w:hint="eastAsia" w:ascii="宋体" w:hAnsi="宋体" w:cs="宋体"/>
                <w:sz w:val="21"/>
                <w:szCs w:val="21"/>
                <w:highlight w:val="none"/>
                <w:u w:val="single"/>
                <w:lang w:val="en-US" w:eastAsia="zh-CN"/>
              </w:rPr>
              <w:t>97万元</w:t>
            </w:r>
          </w:p>
        </w:tc>
        <w:tc>
          <w:tcPr>
            <w:tcW w:w="2268" w:type="dxa"/>
            <w:vAlign w:val="center"/>
          </w:tcPr>
          <w:p w14:paraId="59E2214B">
            <w:pPr>
              <w:adjustRightInd w:val="0"/>
              <w:snapToGrid w:val="0"/>
              <w:spacing w:line="360" w:lineRule="exact"/>
              <w:rPr>
                <w:rFonts w:ascii="宋体" w:hAnsi="宋体"/>
                <w:sz w:val="21"/>
                <w:szCs w:val="21"/>
                <w:highlight w:val="none"/>
              </w:rPr>
            </w:pPr>
          </w:p>
        </w:tc>
      </w:tr>
      <w:tr w14:paraId="76DA863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1124" w:hRule="atLeast"/>
          <w:jc w:val="center"/>
        </w:trPr>
        <w:tc>
          <w:tcPr>
            <w:tcW w:w="993" w:type="dxa"/>
            <w:vAlign w:val="center"/>
          </w:tcPr>
          <w:p w14:paraId="4505AB19">
            <w:pPr>
              <w:adjustRightInd w:val="0"/>
              <w:snapToGrid w:val="0"/>
              <w:spacing w:line="360" w:lineRule="exact"/>
              <w:jc w:val="center"/>
              <w:rPr>
                <w:rFonts w:ascii="宋体" w:hAnsi="宋体"/>
                <w:sz w:val="21"/>
                <w:szCs w:val="21"/>
                <w:highlight w:val="none"/>
              </w:rPr>
            </w:pPr>
            <w:r>
              <w:rPr>
                <w:rFonts w:hint="eastAsia" w:ascii="宋体" w:hAnsi="宋体"/>
                <w:sz w:val="21"/>
                <w:szCs w:val="21"/>
                <w:highlight w:val="none"/>
              </w:rPr>
              <w:t>2</w:t>
            </w:r>
          </w:p>
        </w:tc>
        <w:tc>
          <w:tcPr>
            <w:tcW w:w="2693" w:type="dxa"/>
            <w:vAlign w:val="center"/>
          </w:tcPr>
          <w:p w14:paraId="414115E0">
            <w:pPr>
              <w:adjustRightInd w:val="0"/>
              <w:snapToGrid w:val="0"/>
              <w:spacing w:line="360" w:lineRule="exact"/>
              <w:jc w:val="left"/>
              <w:rPr>
                <w:rFonts w:ascii="宋体" w:hAnsi="宋体"/>
                <w:sz w:val="21"/>
                <w:szCs w:val="21"/>
                <w:highlight w:val="none"/>
              </w:rPr>
            </w:pPr>
            <w:r>
              <w:rPr>
                <w:rFonts w:hint="eastAsia" w:ascii="宋体" w:hAnsi="宋体"/>
                <w:sz w:val="21"/>
                <w:szCs w:val="21"/>
                <w:highlight w:val="none"/>
              </w:rPr>
              <w:t>报价供应商资格条件</w:t>
            </w:r>
          </w:p>
        </w:tc>
        <w:tc>
          <w:tcPr>
            <w:tcW w:w="3544" w:type="dxa"/>
            <w:vAlign w:val="center"/>
          </w:tcPr>
          <w:p w14:paraId="3E630AFD">
            <w:pPr>
              <w:adjustRightInd w:val="0"/>
              <w:snapToGrid w:val="0"/>
              <w:spacing w:line="360" w:lineRule="exact"/>
              <w:rPr>
                <w:rFonts w:ascii="宋体" w:hAnsi="宋体"/>
                <w:sz w:val="21"/>
                <w:szCs w:val="21"/>
                <w:highlight w:val="none"/>
              </w:rPr>
            </w:pPr>
            <w:r>
              <w:rPr>
                <w:rFonts w:hint="eastAsia" w:ascii="宋体" w:hAnsi="宋体"/>
                <w:sz w:val="21"/>
                <w:szCs w:val="21"/>
                <w:highlight w:val="none"/>
              </w:rPr>
              <w:t>第五章“竞争性谈判公告”第四条</w:t>
            </w:r>
          </w:p>
        </w:tc>
        <w:tc>
          <w:tcPr>
            <w:tcW w:w="2268" w:type="dxa"/>
            <w:vAlign w:val="center"/>
          </w:tcPr>
          <w:p w14:paraId="32CBAD87">
            <w:pPr>
              <w:adjustRightInd w:val="0"/>
              <w:snapToGrid w:val="0"/>
              <w:spacing w:line="360" w:lineRule="exact"/>
              <w:rPr>
                <w:rFonts w:ascii="宋体" w:hAnsi="宋体"/>
                <w:sz w:val="21"/>
                <w:szCs w:val="21"/>
                <w:highlight w:val="none"/>
              </w:rPr>
            </w:pPr>
            <w:r>
              <w:rPr>
                <w:rFonts w:hint="eastAsia" w:ascii="宋体" w:hAnsi="宋体"/>
                <w:sz w:val="21"/>
                <w:szCs w:val="21"/>
                <w:highlight w:val="none"/>
              </w:rPr>
              <w:t>第</w:t>
            </w:r>
            <w:r>
              <w:rPr>
                <w:rFonts w:ascii="宋体" w:hAnsi="宋体"/>
                <w:sz w:val="21"/>
                <w:szCs w:val="21"/>
                <w:highlight w:val="none"/>
              </w:rPr>
              <w:t>3.2</w:t>
            </w:r>
            <w:r>
              <w:rPr>
                <w:rFonts w:hint="eastAsia" w:ascii="宋体" w:hAnsi="宋体"/>
                <w:sz w:val="21"/>
                <w:szCs w:val="21"/>
                <w:highlight w:val="none"/>
              </w:rPr>
              <w:t>条</w:t>
            </w:r>
          </w:p>
        </w:tc>
      </w:tr>
      <w:tr w14:paraId="2F6A25D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1693" w:hRule="atLeast"/>
          <w:jc w:val="center"/>
        </w:trPr>
        <w:tc>
          <w:tcPr>
            <w:tcW w:w="993" w:type="dxa"/>
            <w:vAlign w:val="center"/>
          </w:tcPr>
          <w:p w14:paraId="241F4F5B">
            <w:pPr>
              <w:adjustRightInd w:val="0"/>
              <w:snapToGrid w:val="0"/>
              <w:spacing w:line="360" w:lineRule="exact"/>
              <w:jc w:val="center"/>
              <w:rPr>
                <w:rFonts w:ascii="宋体" w:hAnsi="宋体"/>
                <w:sz w:val="21"/>
                <w:szCs w:val="21"/>
                <w:highlight w:val="none"/>
              </w:rPr>
            </w:pPr>
            <w:r>
              <w:rPr>
                <w:rFonts w:ascii="宋体" w:hAnsi="宋体"/>
                <w:sz w:val="21"/>
                <w:szCs w:val="21"/>
                <w:highlight w:val="none"/>
              </w:rPr>
              <w:t>3</w:t>
            </w:r>
          </w:p>
        </w:tc>
        <w:tc>
          <w:tcPr>
            <w:tcW w:w="2693" w:type="dxa"/>
            <w:vAlign w:val="center"/>
          </w:tcPr>
          <w:p w14:paraId="2ADA3A71">
            <w:pPr>
              <w:adjustRightInd w:val="0"/>
              <w:snapToGrid w:val="0"/>
              <w:spacing w:line="360" w:lineRule="exact"/>
              <w:jc w:val="left"/>
              <w:rPr>
                <w:rFonts w:ascii="宋体" w:hAnsi="宋体"/>
                <w:sz w:val="21"/>
                <w:szCs w:val="21"/>
                <w:highlight w:val="none"/>
              </w:rPr>
            </w:pPr>
            <w:r>
              <w:rPr>
                <w:rFonts w:hint="eastAsia" w:ascii="宋体" w:hAnsi="宋体"/>
                <w:sz w:val="21"/>
                <w:szCs w:val="21"/>
                <w:highlight w:val="none"/>
              </w:rPr>
              <w:t>谈判文件申领时间</w:t>
            </w:r>
          </w:p>
        </w:tc>
        <w:tc>
          <w:tcPr>
            <w:tcW w:w="3544" w:type="dxa"/>
            <w:vAlign w:val="center"/>
          </w:tcPr>
          <w:p w14:paraId="3F617811">
            <w:pPr>
              <w:spacing w:line="360" w:lineRule="exact"/>
              <w:rPr>
                <w:rFonts w:ascii="宋体" w:hAnsi="宋体"/>
                <w:bCs/>
                <w:sz w:val="21"/>
                <w:szCs w:val="21"/>
                <w:highlight w:val="none"/>
              </w:rPr>
            </w:pPr>
            <w:r>
              <w:rPr>
                <w:rFonts w:hint="eastAsia" w:ascii="宋体" w:hAnsi="宋体"/>
                <w:bCs/>
                <w:sz w:val="21"/>
                <w:szCs w:val="21"/>
                <w:highlight w:val="none"/>
                <w:u w:val="single"/>
                <w:lang w:val="en-US" w:eastAsia="zh-CN"/>
              </w:rPr>
              <w:t>2024</w:t>
            </w:r>
            <w:r>
              <w:rPr>
                <w:rFonts w:ascii="宋体" w:hAnsi="宋体"/>
                <w:bCs/>
                <w:sz w:val="21"/>
                <w:szCs w:val="21"/>
                <w:highlight w:val="none"/>
              </w:rPr>
              <w:t>年</w:t>
            </w:r>
            <w:r>
              <w:rPr>
                <w:rFonts w:hint="eastAsia" w:ascii="宋体" w:hAnsi="宋体"/>
                <w:bCs/>
                <w:sz w:val="21"/>
                <w:szCs w:val="21"/>
                <w:highlight w:val="none"/>
                <w:u w:val="single"/>
                <w:lang w:val="en-US" w:eastAsia="zh-CN"/>
              </w:rPr>
              <w:t xml:space="preserve"> 10</w:t>
            </w:r>
            <w:r>
              <w:rPr>
                <w:rFonts w:ascii="宋体" w:hAnsi="宋体"/>
                <w:bCs/>
                <w:sz w:val="21"/>
                <w:szCs w:val="21"/>
                <w:highlight w:val="none"/>
              </w:rPr>
              <w:t>月</w:t>
            </w:r>
            <w:r>
              <w:rPr>
                <w:rFonts w:hint="eastAsia" w:ascii="宋体" w:hAnsi="宋体"/>
                <w:bCs/>
                <w:sz w:val="21"/>
                <w:szCs w:val="21"/>
                <w:highlight w:val="none"/>
                <w:u w:val="single"/>
                <w:lang w:val="en-US" w:eastAsia="zh-CN"/>
              </w:rPr>
              <w:t xml:space="preserve"> 28 </w:t>
            </w:r>
            <w:r>
              <w:rPr>
                <w:rFonts w:ascii="宋体" w:hAnsi="宋体"/>
                <w:bCs/>
                <w:sz w:val="21"/>
                <w:szCs w:val="21"/>
                <w:highlight w:val="none"/>
              </w:rPr>
              <w:t>日至</w:t>
            </w:r>
            <w:r>
              <w:rPr>
                <w:rFonts w:hint="eastAsia" w:ascii="宋体" w:hAnsi="宋体"/>
                <w:bCs/>
                <w:sz w:val="21"/>
                <w:szCs w:val="21"/>
                <w:highlight w:val="none"/>
                <w:u w:val="single"/>
                <w:lang w:val="en-US" w:eastAsia="zh-CN"/>
              </w:rPr>
              <w:t>11</w:t>
            </w:r>
            <w:r>
              <w:rPr>
                <w:rFonts w:ascii="宋体" w:hAnsi="宋体"/>
                <w:bCs/>
                <w:sz w:val="21"/>
                <w:szCs w:val="21"/>
                <w:highlight w:val="none"/>
              </w:rPr>
              <w:t>月</w:t>
            </w:r>
            <w:r>
              <w:rPr>
                <w:rFonts w:hint="eastAsia" w:ascii="宋体" w:hAnsi="宋体"/>
                <w:bCs/>
                <w:sz w:val="21"/>
                <w:szCs w:val="21"/>
                <w:highlight w:val="none"/>
                <w:u w:val="single"/>
                <w:lang w:val="en-US" w:eastAsia="zh-CN"/>
              </w:rPr>
              <w:t xml:space="preserve"> 1 </w:t>
            </w:r>
            <w:r>
              <w:rPr>
                <w:rFonts w:ascii="宋体" w:hAnsi="宋体"/>
                <w:bCs/>
                <w:sz w:val="21"/>
                <w:szCs w:val="21"/>
                <w:highlight w:val="none"/>
              </w:rPr>
              <w:t>日</w:t>
            </w:r>
            <w:r>
              <w:rPr>
                <w:rFonts w:hint="eastAsia" w:ascii="宋体" w:hAnsi="宋体"/>
                <w:bCs/>
                <w:sz w:val="21"/>
                <w:szCs w:val="21"/>
                <w:highlight w:val="none"/>
              </w:rPr>
              <w:t>，每日上午8:00至12:00，下午1</w:t>
            </w:r>
            <w:r>
              <w:rPr>
                <w:rFonts w:hint="eastAsia" w:ascii="宋体" w:hAnsi="宋体"/>
                <w:bCs/>
                <w:sz w:val="21"/>
                <w:szCs w:val="21"/>
                <w:highlight w:val="none"/>
                <w:lang w:val="en-US" w:eastAsia="zh-CN"/>
              </w:rPr>
              <w:t>4</w:t>
            </w:r>
            <w:r>
              <w:rPr>
                <w:rFonts w:hint="eastAsia" w:ascii="宋体" w:hAnsi="宋体"/>
                <w:bCs/>
                <w:sz w:val="21"/>
                <w:szCs w:val="21"/>
                <w:highlight w:val="none"/>
              </w:rPr>
              <w:t>:</w:t>
            </w:r>
            <w:r>
              <w:rPr>
                <w:rFonts w:hint="eastAsia" w:ascii="宋体" w:hAnsi="宋体"/>
                <w:bCs/>
                <w:sz w:val="21"/>
                <w:szCs w:val="21"/>
                <w:highlight w:val="none"/>
                <w:lang w:val="en-US" w:eastAsia="zh-CN"/>
              </w:rPr>
              <w:t>3</w:t>
            </w:r>
            <w:r>
              <w:rPr>
                <w:rFonts w:hint="eastAsia" w:ascii="宋体" w:hAnsi="宋体"/>
                <w:bCs/>
                <w:sz w:val="21"/>
                <w:szCs w:val="21"/>
                <w:highlight w:val="none"/>
              </w:rPr>
              <w:t>0至18:</w:t>
            </w:r>
            <w:r>
              <w:rPr>
                <w:rFonts w:hint="eastAsia" w:ascii="宋体" w:hAnsi="宋体"/>
                <w:bCs/>
                <w:sz w:val="21"/>
                <w:szCs w:val="21"/>
                <w:highlight w:val="none"/>
                <w:lang w:val="en-US" w:eastAsia="zh-CN"/>
              </w:rPr>
              <w:t>0</w:t>
            </w:r>
            <w:r>
              <w:rPr>
                <w:rFonts w:hint="eastAsia" w:ascii="宋体" w:hAnsi="宋体"/>
                <w:bCs/>
                <w:sz w:val="21"/>
                <w:szCs w:val="21"/>
                <w:highlight w:val="none"/>
              </w:rPr>
              <w:t>0</w:t>
            </w:r>
            <w:r>
              <w:rPr>
                <w:rFonts w:ascii="楷体" w:hAnsi="楷体" w:eastAsia="楷体"/>
                <w:bCs/>
                <w:sz w:val="21"/>
                <w:szCs w:val="21"/>
                <w:highlight w:val="none"/>
              </w:rPr>
              <w:t>（</w:t>
            </w:r>
            <w:r>
              <w:rPr>
                <w:rFonts w:hint="eastAsia" w:ascii="楷体" w:hAnsi="楷体" w:eastAsia="楷体"/>
                <w:bCs/>
                <w:sz w:val="21"/>
                <w:szCs w:val="21"/>
                <w:highlight w:val="none"/>
                <w:lang w:eastAsia="zh-CN"/>
              </w:rPr>
              <w:t>工作时间</w:t>
            </w:r>
            <w:r>
              <w:rPr>
                <w:rFonts w:ascii="楷体" w:hAnsi="楷体" w:eastAsia="楷体"/>
                <w:bCs/>
                <w:sz w:val="21"/>
                <w:szCs w:val="21"/>
                <w:highlight w:val="none"/>
              </w:rPr>
              <w:t>）</w:t>
            </w:r>
          </w:p>
        </w:tc>
        <w:tc>
          <w:tcPr>
            <w:tcW w:w="2268" w:type="dxa"/>
            <w:vAlign w:val="center"/>
          </w:tcPr>
          <w:p w14:paraId="1716BACD">
            <w:pPr>
              <w:adjustRightInd w:val="0"/>
              <w:snapToGrid w:val="0"/>
              <w:spacing w:line="360" w:lineRule="exact"/>
              <w:rPr>
                <w:rFonts w:ascii="宋体" w:hAnsi="宋体" w:cs="宋体"/>
                <w:sz w:val="21"/>
                <w:szCs w:val="21"/>
                <w:highlight w:val="none"/>
              </w:rPr>
            </w:pPr>
            <w:r>
              <w:rPr>
                <w:rFonts w:hint="eastAsia" w:ascii="宋体" w:hAnsi="宋体"/>
                <w:sz w:val="21"/>
                <w:szCs w:val="21"/>
                <w:highlight w:val="none"/>
              </w:rPr>
              <w:t>第</w:t>
            </w:r>
            <w:r>
              <w:rPr>
                <w:rFonts w:ascii="宋体" w:hAnsi="宋体"/>
                <w:sz w:val="21"/>
                <w:szCs w:val="21"/>
                <w:highlight w:val="none"/>
              </w:rPr>
              <w:t>7.1</w:t>
            </w:r>
            <w:r>
              <w:rPr>
                <w:rFonts w:hint="eastAsia" w:ascii="宋体" w:hAnsi="宋体"/>
                <w:sz w:val="21"/>
                <w:szCs w:val="21"/>
                <w:highlight w:val="none"/>
              </w:rPr>
              <w:t>条</w:t>
            </w:r>
          </w:p>
        </w:tc>
      </w:tr>
      <w:tr w14:paraId="1836A0D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986" w:hRule="atLeast"/>
          <w:jc w:val="center"/>
        </w:trPr>
        <w:tc>
          <w:tcPr>
            <w:tcW w:w="993" w:type="dxa"/>
            <w:vAlign w:val="center"/>
          </w:tcPr>
          <w:p w14:paraId="26A3249D">
            <w:pPr>
              <w:adjustRightInd w:val="0"/>
              <w:snapToGrid w:val="0"/>
              <w:spacing w:line="360" w:lineRule="exact"/>
              <w:jc w:val="center"/>
              <w:rPr>
                <w:rFonts w:ascii="宋体" w:hAnsi="宋体"/>
                <w:sz w:val="21"/>
                <w:szCs w:val="21"/>
                <w:highlight w:val="none"/>
              </w:rPr>
            </w:pPr>
            <w:r>
              <w:rPr>
                <w:rFonts w:ascii="宋体" w:hAnsi="宋体"/>
                <w:sz w:val="21"/>
                <w:szCs w:val="21"/>
                <w:highlight w:val="none"/>
              </w:rPr>
              <w:t>4</w:t>
            </w:r>
          </w:p>
        </w:tc>
        <w:tc>
          <w:tcPr>
            <w:tcW w:w="2693" w:type="dxa"/>
            <w:vAlign w:val="center"/>
          </w:tcPr>
          <w:p w14:paraId="3FE4C001">
            <w:pPr>
              <w:adjustRightInd w:val="0"/>
              <w:snapToGrid w:val="0"/>
              <w:spacing w:line="360" w:lineRule="exact"/>
              <w:jc w:val="left"/>
              <w:rPr>
                <w:rFonts w:ascii="宋体" w:hAnsi="宋体"/>
                <w:sz w:val="21"/>
                <w:szCs w:val="21"/>
                <w:highlight w:val="none"/>
              </w:rPr>
            </w:pPr>
            <w:r>
              <w:rPr>
                <w:rFonts w:hint="eastAsia" w:ascii="宋体" w:hAnsi="宋体"/>
                <w:sz w:val="21"/>
                <w:szCs w:val="21"/>
                <w:highlight w:val="none"/>
              </w:rPr>
              <w:t>组织现场踏勘或召开标前答疑会</w:t>
            </w:r>
          </w:p>
        </w:tc>
        <w:tc>
          <w:tcPr>
            <w:tcW w:w="3544" w:type="dxa"/>
            <w:vAlign w:val="center"/>
          </w:tcPr>
          <w:p w14:paraId="7E315C03">
            <w:pPr>
              <w:adjustRightInd w:val="0"/>
              <w:snapToGrid w:val="0"/>
              <w:spacing w:line="360" w:lineRule="exact"/>
              <w:jc w:val="left"/>
              <w:rPr>
                <w:rFonts w:ascii="宋体" w:hAnsi="宋体" w:cs="宋体"/>
                <w:bCs/>
                <w:sz w:val="21"/>
                <w:szCs w:val="21"/>
                <w:highlight w:val="none"/>
              </w:rPr>
            </w:pPr>
            <w:r>
              <w:rPr>
                <w:rFonts w:hint="eastAsia" w:ascii="宋体" w:hAnsi="宋体" w:cs="宋体"/>
                <w:bCs/>
                <w:sz w:val="21"/>
                <w:szCs w:val="21"/>
                <w:highlight w:val="none"/>
              </w:rPr>
              <w:t>现场踏勘：□是</w:t>
            </w:r>
            <w:r>
              <w:rPr>
                <w:rFonts w:ascii="宋体" w:hAnsi="宋体" w:cs="宋体"/>
                <w:bCs/>
                <w:sz w:val="21"/>
                <w:szCs w:val="21"/>
                <w:highlight w:val="none"/>
              </w:rPr>
              <w:t xml:space="preserve"> </w:t>
            </w:r>
            <w:r>
              <w:rPr>
                <w:rFonts w:hint="eastAsia" w:ascii="宋体" w:hAnsi="宋体" w:cs="宋体"/>
                <w:bCs/>
                <w:sz w:val="21"/>
                <w:szCs w:val="21"/>
                <w:highlight w:val="none"/>
                <w:lang w:eastAsia="zh-CN"/>
              </w:rPr>
              <w:t>☑</w:t>
            </w:r>
            <w:r>
              <w:rPr>
                <w:rFonts w:hint="eastAsia" w:ascii="宋体" w:hAnsi="宋体" w:cs="宋体"/>
                <w:bCs/>
                <w:sz w:val="21"/>
                <w:szCs w:val="21"/>
                <w:highlight w:val="none"/>
              </w:rPr>
              <w:t>否</w:t>
            </w:r>
          </w:p>
          <w:p w14:paraId="0FBEF5E2">
            <w:pPr>
              <w:adjustRightInd w:val="0"/>
              <w:snapToGrid w:val="0"/>
              <w:spacing w:line="360" w:lineRule="exact"/>
              <w:jc w:val="left"/>
              <w:rPr>
                <w:rFonts w:ascii="宋体" w:hAnsi="宋体"/>
                <w:sz w:val="21"/>
                <w:szCs w:val="21"/>
                <w:highlight w:val="none"/>
              </w:rPr>
            </w:pPr>
            <w:r>
              <w:rPr>
                <w:rFonts w:hint="eastAsia" w:ascii="宋体" w:hAnsi="宋体" w:cs="宋体"/>
                <w:bCs/>
                <w:sz w:val="21"/>
                <w:szCs w:val="21"/>
                <w:highlight w:val="none"/>
              </w:rPr>
              <w:t>标前答疑会：□是</w:t>
            </w:r>
            <w:r>
              <w:rPr>
                <w:rFonts w:ascii="宋体" w:hAnsi="宋体" w:cs="宋体"/>
                <w:bCs/>
                <w:sz w:val="21"/>
                <w:szCs w:val="21"/>
                <w:highlight w:val="none"/>
              </w:rPr>
              <w:t xml:space="preserve"> </w:t>
            </w:r>
            <w:r>
              <w:rPr>
                <w:rFonts w:hint="eastAsia" w:ascii="宋体" w:hAnsi="宋体" w:cs="宋体"/>
                <w:bCs/>
                <w:sz w:val="21"/>
                <w:szCs w:val="21"/>
                <w:highlight w:val="none"/>
                <w:lang w:eastAsia="zh-CN"/>
              </w:rPr>
              <w:t>☑</w:t>
            </w:r>
            <w:r>
              <w:rPr>
                <w:rFonts w:hint="eastAsia" w:ascii="宋体" w:hAnsi="宋体" w:cs="宋体"/>
                <w:bCs/>
                <w:sz w:val="21"/>
                <w:szCs w:val="21"/>
                <w:highlight w:val="none"/>
              </w:rPr>
              <w:t>否</w:t>
            </w:r>
          </w:p>
        </w:tc>
        <w:tc>
          <w:tcPr>
            <w:tcW w:w="2268" w:type="dxa"/>
            <w:vAlign w:val="center"/>
          </w:tcPr>
          <w:p w14:paraId="0A549E1B">
            <w:pPr>
              <w:adjustRightInd w:val="0"/>
              <w:snapToGrid w:val="0"/>
              <w:spacing w:line="360" w:lineRule="exact"/>
              <w:rPr>
                <w:rFonts w:ascii="宋体" w:hAnsi="宋体"/>
                <w:sz w:val="21"/>
                <w:szCs w:val="21"/>
                <w:highlight w:val="none"/>
              </w:rPr>
            </w:pPr>
            <w:r>
              <w:rPr>
                <w:rFonts w:hint="eastAsia" w:ascii="宋体" w:hAnsi="宋体"/>
                <w:sz w:val="21"/>
                <w:szCs w:val="21"/>
                <w:highlight w:val="none"/>
              </w:rPr>
              <w:t>第</w:t>
            </w:r>
            <w:r>
              <w:rPr>
                <w:rFonts w:ascii="宋体" w:hAnsi="宋体"/>
                <w:sz w:val="21"/>
                <w:szCs w:val="21"/>
                <w:highlight w:val="none"/>
              </w:rPr>
              <w:t>7.2</w:t>
            </w:r>
            <w:r>
              <w:rPr>
                <w:rFonts w:hint="eastAsia" w:ascii="宋体" w:hAnsi="宋体"/>
                <w:sz w:val="21"/>
                <w:szCs w:val="21"/>
                <w:highlight w:val="none"/>
              </w:rPr>
              <w:t>条</w:t>
            </w:r>
          </w:p>
        </w:tc>
      </w:tr>
      <w:tr w14:paraId="254A53A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836" w:hRule="atLeast"/>
          <w:jc w:val="center"/>
        </w:trPr>
        <w:tc>
          <w:tcPr>
            <w:tcW w:w="993" w:type="dxa"/>
            <w:vAlign w:val="center"/>
          </w:tcPr>
          <w:p w14:paraId="528B47A4">
            <w:pPr>
              <w:adjustRightInd w:val="0"/>
              <w:snapToGrid w:val="0"/>
              <w:spacing w:line="360" w:lineRule="exact"/>
              <w:jc w:val="center"/>
              <w:rPr>
                <w:rFonts w:ascii="宋体" w:hAnsi="宋体"/>
                <w:sz w:val="21"/>
                <w:szCs w:val="21"/>
                <w:highlight w:val="none"/>
              </w:rPr>
            </w:pPr>
            <w:r>
              <w:rPr>
                <w:rFonts w:ascii="宋体" w:hAnsi="宋体"/>
                <w:sz w:val="21"/>
                <w:szCs w:val="21"/>
                <w:highlight w:val="none"/>
              </w:rPr>
              <w:t>5</w:t>
            </w:r>
          </w:p>
        </w:tc>
        <w:tc>
          <w:tcPr>
            <w:tcW w:w="2693" w:type="dxa"/>
            <w:vAlign w:val="center"/>
          </w:tcPr>
          <w:p w14:paraId="465B1D0F">
            <w:pPr>
              <w:adjustRightInd w:val="0"/>
              <w:snapToGrid w:val="0"/>
              <w:spacing w:line="360" w:lineRule="exact"/>
              <w:jc w:val="left"/>
              <w:rPr>
                <w:rFonts w:ascii="宋体" w:hAnsi="宋体"/>
                <w:sz w:val="21"/>
                <w:szCs w:val="21"/>
                <w:highlight w:val="none"/>
              </w:rPr>
            </w:pPr>
            <w:r>
              <w:rPr>
                <w:rFonts w:hint="eastAsia" w:ascii="宋体" w:hAnsi="宋体"/>
                <w:sz w:val="21"/>
                <w:szCs w:val="21"/>
                <w:highlight w:val="none"/>
              </w:rPr>
              <w:t>信息发布媒体</w:t>
            </w:r>
          </w:p>
        </w:tc>
        <w:tc>
          <w:tcPr>
            <w:tcW w:w="3544" w:type="dxa"/>
            <w:vAlign w:val="center"/>
          </w:tcPr>
          <w:p w14:paraId="722281A3">
            <w:pPr>
              <w:adjustRightInd w:val="0"/>
              <w:snapToGrid w:val="0"/>
              <w:spacing w:line="360" w:lineRule="exact"/>
              <w:jc w:val="both"/>
              <w:rPr>
                <w:rFonts w:hint="eastAsia" w:ascii="宋体" w:hAnsi="宋体" w:eastAsia="宋体" w:cs="Times New Roman"/>
                <w:sz w:val="21"/>
                <w:szCs w:val="21"/>
                <w:highlight w:val="none"/>
              </w:rPr>
            </w:pPr>
            <w:r>
              <w:rPr>
                <w:rFonts w:hint="eastAsia" w:ascii="宋体" w:hAnsi="宋体" w:eastAsia="宋体" w:cs="Times New Roman"/>
                <w:sz w:val="21"/>
                <w:szCs w:val="21"/>
                <w:highlight w:val="none"/>
              </w:rPr>
              <w:fldChar w:fldCharType="begin"/>
            </w:r>
            <w:r>
              <w:rPr>
                <w:rFonts w:hint="eastAsia" w:ascii="宋体" w:hAnsi="宋体" w:eastAsia="宋体" w:cs="Times New Roman"/>
                <w:sz w:val="21"/>
                <w:szCs w:val="21"/>
                <w:highlight w:val="none"/>
              </w:rPr>
              <w:instrText xml:space="preserve"> HYPERLINK "http://www.plap.mil.cn、" </w:instrText>
            </w:r>
            <w:r>
              <w:rPr>
                <w:rFonts w:hint="eastAsia" w:ascii="宋体" w:hAnsi="宋体" w:eastAsia="宋体" w:cs="Times New Roman"/>
                <w:sz w:val="21"/>
                <w:szCs w:val="21"/>
                <w:highlight w:val="none"/>
              </w:rPr>
              <w:fldChar w:fldCharType="separate"/>
            </w:r>
            <w:r>
              <w:rPr>
                <w:rFonts w:hint="eastAsia" w:ascii="宋体" w:hAnsi="宋体" w:eastAsia="宋体" w:cs="Times New Roman"/>
                <w:sz w:val="21"/>
                <w:szCs w:val="21"/>
                <w:highlight w:val="none"/>
              </w:rPr>
              <w:t>www.plap.mil.cn</w:t>
            </w:r>
            <w:r>
              <w:rPr>
                <w:rFonts w:hint="eastAsia" w:ascii="宋体" w:hAnsi="宋体" w:eastAsia="宋体" w:cs="Times New Roman"/>
                <w:sz w:val="21"/>
                <w:szCs w:val="21"/>
                <w:highlight w:val="none"/>
              </w:rPr>
              <w:fldChar w:fldCharType="end"/>
            </w:r>
          </w:p>
          <w:p w14:paraId="55A4BC80">
            <w:pPr>
              <w:adjustRightInd w:val="0"/>
              <w:snapToGrid w:val="0"/>
              <w:spacing w:line="360" w:lineRule="exact"/>
              <w:jc w:val="both"/>
              <w:rPr>
                <w:rFonts w:hint="eastAsia" w:ascii="宋体" w:hAnsi="宋体" w:eastAsia="宋体" w:cs="Times New Roman"/>
                <w:sz w:val="21"/>
                <w:szCs w:val="21"/>
                <w:highlight w:val="none"/>
              </w:rPr>
            </w:pPr>
            <w:r>
              <w:rPr>
                <w:rFonts w:hint="eastAsia" w:ascii="宋体" w:hAnsi="宋体" w:eastAsia="宋体" w:cs="Times New Roman"/>
                <w:sz w:val="21"/>
                <w:szCs w:val="21"/>
                <w:highlight w:val="none"/>
              </w:rPr>
              <w:t>《中国政府采购网》</w:t>
            </w:r>
            <w:r>
              <w:rPr>
                <w:rFonts w:hint="eastAsia" w:ascii="宋体" w:hAnsi="宋体" w:eastAsia="宋体" w:cs="Times New Roman"/>
                <w:sz w:val="21"/>
                <w:szCs w:val="21"/>
                <w:highlight w:val="none"/>
                <w:lang w:eastAsia="zh-CN"/>
              </w:rPr>
              <w:t>：</w:t>
            </w:r>
            <w:r>
              <w:rPr>
                <w:rFonts w:hint="eastAsia" w:ascii="宋体" w:hAnsi="宋体" w:eastAsia="宋体" w:cs="Times New Roman"/>
                <w:sz w:val="21"/>
                <w:szCs w:val="21"/>
                <w:highlight w:val="none"/>
              </w:rPr>
              <w:t>www.ccgp.gov.cn/</w:t>
            </w:r>
          </w:p>
          <w:p w14:paraId="4800471A">
            <w:pPr>
              <w:adjustRightInd w:val="0"/>
              <w:snapToGrid w:val="0"/>
              <w:spacing w:line="360" w:lineRule="exact"/>
              <w:jc w:val="both"/>
              <w:rPr>
                <w:rFonts w:hint="eastAsia" w:ascii="宋体" w:hAnsi="宋体" w:eastAsia="宋体" w:cs="Times New Roman"/>
                <w:sz w:val="21"/>
                <w:szCs w:val="21"/>
                <w:highlight w:val="none"/>
              </w:rPr>
            </w:pPr>
            <w:r>
              <w:rPr>
                <w:rFonts w:hint="eastAsia" w:ascii="宋体" w:hAnsi="宋体" w:eastAsia="宋体" w:cs="Times New Roman"/>
                <w:sz w:val="21"/>
                <w:szCs w:val="21"/>
                <w:highlight w:val="none"/>
              </w:rPr>
              <w:t>医院官网</w:t>
            </w:r>
            <w:r>
              <w:rPr>
                <w:rFonts w:hint="eastAsia" w:ascii="宋体" w:hAnsi="宋体" w:eastAsia="宋体" w:cs="Times New Roman"/>
                <w:sz w:val="21"/>
                <w:szCs w:val="21"/>
                <w:highlight w:val="none"/>
                <w:lang w:eastAsia="zh-CN"/>
              </w:rPr>
              <w:t>：</w:t>
            </w:r>
            <w:r>
              <w:rPr>
                <w:rFonts w:hint="eastAsia" w:ascii="宋体" w:hAnsi="宋体" w:eastAsia="宋体" w:cs="Times New Roman"/>
                <w:sz w:val="21"/>
                <w:szCs w:val="21"/>
                <w:highlight w:val="none"/>
              </w:rPr>
              <w:t>www.xqhospital.com.cn</w:t>
            </w:r>
          </w:p>
        </w:tc>
        <w:tc>
          <w:tcPr>
            <w:tcW w:w="2268" w:type="dxa"/>
            <w:vAlign w:val="center"/>
          </w:tcPr>
          <w:p w14:paraId="2DF55149">
            <w:pPr>
              <w:overflowPunct w:val="0"/>
              <w:adjustRightInd w:val="0"/>
              <w:snapToGrid w:val="0"/>
              <w:spacing w:line="360" w:lineRule="exact"/>
              <w:rPr>
                <w:rFonts w:ascii="宋体" w:hAnsi="宋体" w:cs="宋体"/>
                <w:sz w:val="21"/>
                <w:szCs w:val="21"/>
                <w:highlight w:val="none"/>
              </w:rPr>
            </w:pPr>
            <w:r>
              <w:rPr>
                <w:rFonts w:hint="eastAsia" w:ascii="宋体" w:hAnsi="宋体"/>
                <w:sz w:val="21"/>
                <w:szCs w:val="21"/>
                <w:highlight w:val="none"/>
              </w:rPr>
              <w:t>第</w:t>
            </w:r>
            <w:r>
              <w:rPr>
                <w:rFonts w:ascii="宋体" w:hAnsi="宋体"/>
                <w:sz w:val="21"/>
                <w:szCs w:val="21"/>
                <w:highlight w:val="none"/>
              </w:rPr>
              <w:t>8.1</w:t>
            </w:r>
            <w:r>
              <w:rPr>
                <w:rFonts w:hint="eastAsia" w:ascii="宋体" w:hAnsi="宋体"/>
                <w:sz w:val="21"/>
                <w:szCs w:val="21"/>
                <w:highlight w:val="none"/>
              </w:rPr>
              <w:t>条</w:t>
            </w:r>
          </w:p>
        </w:tc>
      </w:tr>
      <w:tr w14:paraId="08499C0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1102" w:hRule="atLeast"/>
          <w:jc w:val="center"/>
        </w:trPr>
        <w:tc>
          <w:tcPr>
            <w:tcW w:w="993" w:type="dxa"/>
            <w:vAlign w:val="center"/>
          </w:tcPr>
          <w:p w14:paraId="634DF4EC">
            <w:pPr>
              <w:adjustRightInd w:val="0"/>
              <w:snapToGrid w:val="0"/>
              <w:spacing w:line="360" w:lineRule="exact"/>
              <w:jc w:val="center"/>
              <w:rPr>
                <w:rFonts w:ascii="宋体" w:hAnsi="宋体"/>
                <w:sz w:val="21"/>
                <w:szCs w:val="21"/>
                <w:highlight w:val="none"/>
              </w:rPr>
            </w:pPr>
            <w:r>
              <w:rPr>
                <w:rFonts w:ascii="宋体" w:hAnsi="宋体"/>
                <w:sz w:val="21"/>
                <w:szCs w:val="21"/>
                <w:highlight w:val="none"/>
              </w:rPr>
              <w:t>6</w:t>
            </w:r>
          </w:p>
        </w:tc>
        <w:tc>
          <w:tcPr>
            <w:tcW w:w="2693" w:type="dxa"/>
            <w:vAlign w:val="center"/>
          </w:tcPr>
          <w:p w14:paraId="2D844AF4">
            <w:pPr>
              <w:adjustRightInd w:val="0"/>
              <w:snapToGrid w:val="0"/>
              <w:spacing w:line="360" w:lineRule="exact"/>
              <w:rPr>
                <w:rFonts w:ascii="宋体" w:hAnsi="宋体"/>
                <w:sz w:val="21"/>
                <w:szCs w:val="21"/>
                <w:highlight w:val="none"/>
              </w:rPr>
            </w:pPr>
            <w:r>
              <w:rPr>
                <w:rFonts w:hint="eastAsia" w:ascii="宋体" w:hAnsi="宋体" w:cs="宋体"/>
                <w:bCs/>
                <w:sz w:val="21"/>
                <w:szCs w:val="21"/>
                <w:highlight w:val="none"/>
              </w:rPr>
              <w:t>成交供应商数量</w:t>
            </w:r>
          </w:p>
        </w:tc>
        <w:tc>
          <w:tcPr>
            <w:tcW w:w="3544" w:type="dxa"/>
            <w:vAlign w:val="center"/>
          </w:tcPr>
          <w:p w14:paraId="483AC4C2">
            <w:pPr>
              <w:adjustRightInd w:val="0"/>
              <w:snapToGrid w:val="0"/>
              <w:spacing w:line="360" w:lineRule="exact"/>
              <w:rPr>
                <w:rFonts w:hint="eastAsia" w:ascii="宋体" w:hAnsi="宋体" w:eastAsia="宋体"/>
                <w:sz w:val="21"/>
                <w:szCs w:val="21"/>
                <w:highlight w:val="none"/>
                <w:lang w:val="en-US" w:eastAsia="zh-CN"/>
              </w:rPr>
            </w:pPr>
            <w:r>
              <w:rPr>
                <w:rFonts w:hint="eastAsia" w:ascii="宋体" w:hAnsi="宋体"/>
                <w:sz w:val="21"/>
                <w:szCs w:val="21"/>
                <w:highlight w:val="none"/>
              </w:rPr>
              <w:t>本项目第</w:t>
            </w:r>
            <w:r>
              <w:rPr>
                <w:rFonts w:hint="eastAsia" w:ascii="宋体" w:hAnsi="宋体"/>
                <w:sz w:val="21"/>
                <w:szCs w:val="21"/>
                <w:highlight w:val="none"/>
                <w:u w:val="single"/>
                <w:lang w:val="en-US" w:eastAsia="zh-CN"/>
              </w:rPr>
              <w:t>1</w:t>
            </w:r>
            <w:r>
              <w:rPr>
                <w:rFonts w:hint="eastAsia" w:ascii="宋体" w:hAnsi="宋体"/>
                <w:sz w:val="21"/>
                <w:szCs w:val="21"/>
                <w:highlight w:val="none"/>
              </w:rPr>
              <w:t>包确定</w:t>
            </w:r>
            <w:r>
              <w:rPr>
                <w:rFonts w:hint="eastAsia" w:ascii="宋体" w:hAnsi="宋体"/>
                <w:sz w:val="21"/>
                <w:szCs w:val="21"/>
                <w:highlight w:val="none"/>
                <w:u w:val="single"/>
                <w:lang w:val="en-US" w:eastAsia="zh-CN"/>
              </w:rPr>
              <w:t>1</w:t>
            </w:r>
            <w:r>
              <w:rPr>
                <w:rFonts w:hint="eastAsia" w:ascii="宋体" w:hAnsi="宋体"/>
                <w:sz w:val="21"/>
                <w:szCs w:val="21"/>
                <w:highlight w:val="none"/>
              </w:rPr>
              <w:t>家供应商成交</w:t>
            </w:r>
            <w:r>
              <w:rPr>
                <w:rFonts w:hint="eastAsia" w:ascii="宋体" w:hAnsi="宋体"/>
                <w:sz w:val="21"/>
                <w:szCs w:val="21"/>
                <w:highlight w:val="none"/>
                <w:lang w:eastAsia="zh-CN"/>
              </w:rPr>
              <w:t>。</w:t>
            </w:r>
          </w:p>
        </w:tc>
        <w:tc>
          <w:tcPr>
            <w:tcW w:w="2268" w:type="dxa"/>
            <w:vAlign w:val="center"/>
          </w:tcPr>
          <w:p w14:paraId="56CCCA68">
            <w:pPr>
              <w:adjustRightInd w:val="0"/>
              <w:snapToGrid w:val="0"/>
              <w:spacing w:line="360" w:lineRule="exact"/>
              <w:rPr>
                <w:rFonts w:ascii="宋体" w:hAnsi="宋体"/>
                <w:sz w:val="21"/>
                <w:szCs w:val="21"/>
                <w:highlight w:val="none"/>
              </w:rPr>
            </w:pPr>
            <w:r>
              <w:rPr>
                <w:rFonts w:hint="eastAsia" w:ascii="宋体" w:hAnsi="宋体" w:cs="宋体"/>
                <w:bCs/>
                <w:sz w:val="21"/>
                <w:szCs w:val="21"/>
                <w:highlight w:val="none"/>
              </w:rPr>
              <w:t>第</w:t>
            </w:r>
            <w:r>
              <w:rPr>
                <w:rFonts w:ascii="宋体" w:hAnsi="宋体" w:cs="宋体"/>
                <w:bCs/>
                <w:sz w:val="21"/>
                <w:szCs w:val="21"/>
                <w:highlight w:val="none"/>
              </w:rPr>
              <w:t>34.3</w:t>
            </w:r>
            <w:r>
              <w:rPr>
                <w:rFonts w:hint="eastAsia" w:ascii="宋体" w:hAnsi="宋体"/>
                <w:sz w:val="21"/>
                <w:szCs w:val="21"/>
                <w:highlight w:val="none"/>
              </w:rPr>
              <w:t>条</w:t>
            </w:r>
          </w:p>
        </w:tc>
      </w:tr>
      <w:tr w14:paraId="3A5796C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2117" w:hRule="atLeast"/>
          <w:jc w:val="center"/>
        </w:trPr>
        <w:tc>
          <w:tcPr>
            <w:tcW w:w="993" w:type="dxa"/>
            <w:vAlign w:val="center"/>
          </w:tcPr>
          <w:p w14:paraId="08F7FE65">
            <w:pPr>
              <w:adjustRightInd w:val="0"/>
              <w:snapToGrid w:val="0"/>
              <w:spacing w:line="360" w:lineRule="exact"/>
              <w:jc w:val="center"/>
              <w:rPr>
                <w:rFonts w:ascii="宋体" w:hAnsi="宋体"/>
                <w:sz w:val="21"/>
                <w:szCs w:val="21"/>
                <w:highlight w:val="none"/>
              </w:rPr>
            </w:pPr>
            <w:r>
              <w:rPr>
                <w:rFonts w:ascii="宋体" w:hAnsi="宋体"/>
                <w:sz w:val="21"/>
                <w:szCs w:val="21"/>
                <w:highlight w:val="none"/>
              </w:rPr>
              <w:t>7</w:t>
            </w:r>
          </w:p>
        </w:tc>
        <w:tc>
          <w:tcPr>
            <w:tcW w:w="2693" w:type="dxa"/>
            <w:vAlign w:val="center"/>
          </w:tcPr>
          <w:p w14:paraId="7868739A">
            <w:pPr>
              <w:adjustRightInd w:val="0"/>
              <w:snapToGrid w:val="0"/>
              <w:spacing w:line="360" w:lineRule="exact"/>
              <w:rPr>
                <w:rFonts w:ascii="宋体" w:hAnsi="宋体"/>
                <w:sz w:val="21"/>
                <w:szCs w:val="21"/>
                <w:highlight w:val="none"/>
              </w:rPr>
            </w:pPr>
            <w:r>
              <w:rPr>
                <w:rFonts w:hint="eastAsia" w:ascii="宋体" w:hAnsi="宋体"/>
                <w:sz w:val="21"/>
                <w:szCs w:val="21"/>
                <w:highlight w:val="none"/>
              </w:rPr>
              <w:t>报价文件副本及电子版报价文件份数</w:t>
            </w:r>
          </w:p>
        </w:tc>
        <w:tc>
          <w:tcPr>
            <w:tcW w:w="3544" w:type="dxa"/>
            <w:vAlign w:val="center"/>
          </w:tcPr>
          <w:p w14:paraId="419FEF24">
            <w:pPr>
              <w:adjustRightInd w:val="0"/>
              <w:snapToGrid w:val="0"/>
              <w:spacing w:line="360" w:lineRule="exact"/>
              <w:rPr>
                <w:rFonts w:ascii="宋体" w:hAnsi="宋体" w:cs="宋体"/>
                <w:bCs/>
                <w:sz w:val="21"/>
                <w:szCs w:val="21"/>
                <w:highlight w:val="none"/>
              </w:rPr>
            </w:pPr>
            <w:r>
              <w:rPr>
                <w:rFonts w:hint="eastAsia" w:ascii="宋体" w:hAnsi="宋体" w:cs="宋体"/>
                <w:bCs/>
                <w:sz w:val="21"/>
                <w:szCs w:val="21"/>
                <w:highlight w:val="none"/>
              </w:rPr>
              <w:t>副本份数：</w:t>
            </w:r>
            <w:r>
              <w:rPr>
                <w:rFonts w:hint="eastAsia" w:ascii="宋体" w:hAnsi="宋体" w:cs="宋体"/>
                <w:bCs/>
                <w:sz w:val="21"/>
                <w:szCs w:val="21"/>
                <w:highlight w:val="none"/>
                <w:u w:val="single"/>
                <w:lang w:val="en-US" w:eastAsia="zh-CN"/>
              </w:rPr>
              <w:t>2</w:t>
            </w:r>
            <w:r>
              <w:rPr>
                <w:rFonts w:hint="eastAsia" w:ascii="宋体" w:hAnsi="宋体" w:cs="宋体"/>
                <w:bCs/>
                <w:sz w:val="21"/>
                <w:szCs w:val="21"/>
                <w:highlight w:val="none"/>
                <w:u w:val="single"/>
              </w:rPr>
              <w:t>份</w:t>
            </w:r>
            <w:r>
              <w:rPr>
                <w:rFonts w:hint="eastAsia" w:ascii="宋体" w:hAnsi="宋体" w:cs="宋体"/>
                <w:bCs/>
                <w:sz w:val="21"/>
                <w:szCs w:val="21"/>
                <w:highlight w:val="none"/>
              </w:rPr>
              <w:t>；</w:t>
            </w:r>
          </w:p>
          <w:p w14:paraId="0F1277C1">
            <w:pPr>
              <w:adjustRightInd w:val="0"/>
              <w:snapToGrid w:val="0"/>
              <w:spacing w:line="360" w:lineRule="exact"/>
              <w:rPr>
                <w:rFonts w:hint="eastAsia" w:ascii="宋体" w:hAnsi="宋体" w:eastAsia="宋体" w:cs="宋体"/>
                <w:bCs/>
                <w:sz w:val="21"/>
                <w:szCs w:val="21"/>
                <w:highlight w:val="none"/>
                <w:u w:val="single"/>
                <w:lang w:eastAsia="zh-CN"/>
              </w:rPr>
            </w:pPr>
            <w:r>
              <w:rPr>
                <w:rFonts w:hint="eastAsia" w:ascii="宋体" w:hAnsi="宋体" w:cs="宋体"/>
                <w:bCs/>
                <w:sz w:val="21"/>
                <w:szCs w:val="21"/>
                <w:highlight w:val="none"/>
              </w:rPr>
              <w:t>电子版投标文件（介质为光盘）：</w:t>
            </w:r>
            <w:r>
              <w:rPr>
                <w:rFonts w:hint="eastAsia" w:ascii="宋体" w:hAnsi="宋体" w:cs="宋体"/>
                <w:bCs/>
                <w:sz w:val="21"/>
                <w:szCs w:val="21"/>
                <w:highlight w:val="none"/>
                <w:u w:val="single"/>
                <w:lang w:val="en-US" w:eastAsia="zh-CN"/>
              </w:rPr>
              <w:t>1</w:t>
            </w:r>
            <w:r>
              <w:rPr>
                <w:rFonts w:hint="eastAsia" w:ascii="宋体" w:hAnsi="宋体" w:cs="宋体"/>
                <w:bCs/>
                <w:sz w:val="21"/>
                <w:szCs w:val="21"/>
                <w:highlight w:val="none"/>
                <w:u w:val="single"/>
              </w:rPr>
              <w:t>份</w:t>
            </w:r>
            <w:r>
              <w:rPr>
                <w:rFonts w:hint="eastAsia" w:ascii="宋体" w:hAnsi="宋体" w:cs="宋体"/>
                <w:bCs/>
                <w:sz w:val="21"/>
                <w:szCs w:val="21"/>
                <w:highlight w:val="none"/>
                <w:u w:val="single"/>
                <w:lang w:eastAsia="zh-CN"/>
              </w:rPr>
              <w:t>；</w:t>
            </w:r>
          </w:p>
          <w:p w14:paraId="426145F4">
            <w:pPr>
              <w:adjustRightInd w:val="0"/>
              <w:snapToGrid w:val="0"/>
              <w:spacing w:line="360" w:lineRule="exact"/>
              <w:rPr>
                <w:rFonts w:ascii="宋体" w:hAnsi="宋体" w:cs="宋体"/>
                <w:bCs/>
                <w:sz w:val="21"/>
                <w:szCs w:val="21"/>
                <w:highlight w:val="none"/>
              </w:rPr>
            </w:pPr>
            <w:r>
              <w:rPr>
                <w:rFonts w:hint="eastAsia" w:ascii="宋体" w:hAnsi="宋体" w:cs="宋体"/>
                <w:bCs/>
                <w:sz w:val="21"/>
                <w:szCs w:val="21"/>
                <w:highlight w:val="none"/>
              </w:rPr>
              <w:t>其中，《价格文件》</w:t>
            </w:r>
            <w:r>
              <w:rPr>
                <w:rFonts w:hint="eastAsia" w:ascii="宋体" w:hAnsi="宋体" w:cs="宋体"/>
                <w:bCs/>
                <w:sz w:val="21"/>
                <w:szCs w:val="21"/>
                <w:highlight w:val="none"/>
                <w:u w:val="single"/>
                <w:lang w:val="en-US" w:eastAsia="zh-CN"/>
              </w:rPr>
              <w:t>3</w:t>
            </w:r>
            <w:r>
              <w:rPr>
                <w:rFonts w:hint="eastAsia" w:ascii="宋体" w:hAnsi="宋体" w:cs="宋体"/>
                <w:bCs/>
                <w:sz w:val="21"/>
                <w:szCs w:val="21"/>
                <w:highlight w:val="none"/>
              </w:rPr>
              <w:t>份；</w:t>
            </w:r>
          </w:p>
          <w:p w14:paraId="5687F5FC">
            <w:pPr>
              <w:pStyle w:val="15"/>
              <w:rPr>
                <w:rFonts w:ascii="宋体" w:hAnsi="宋体"/>
                <w:sz w:val="21"/>
                <w:szCs w:val="21"/>
                <w:highlight w:val="none"/>
              </w:rPr>
            </w:pPr>
            <w:r>
              <w:rPr>
                <w:rFonts w:hint="eastAsia" w:ascii="宋体" w:hAnsi="宋体" w:cs="宋体"/>
                <w:bCs/>
                <w:sz w:val="21"/>
                <w:szCs w:val="21"/>
                <w:highlight w:val="none"/>
              </w:rPr>
              <w:t>□开标一览表（不含价格）（仅限质量优先法）</w:t>
            </w:r>
            <w:r>
              <w:rPr>
                <w:rFonts w:hint="eastAsia" w:ascii="宋体" w:hAnsi="宋体" w:cs="宋体"/>
                <w:bCs/>
                <w:sz w:val="21"/>
                <w:szCs w:val="21"/>
                <w:highlight w:val="none"/>
                <w:u w:val="single"/>
                <w:lang w:val="en-US" w:eastAsia="zh-CN"/>
              </w:rPr>
              <w:t>/</w:t>
            </w:r>
            <w:r>
              <w:rPr>
                <w:rFonts w:hint="eastAsia" w:ascii="宋体" w:hAnsi="宋体" w:cs="宋体"/>
                <w:bCs/>
                <w:sz w:val="21"/>
                <w:szCs w:val="21"/>
                <w:highlight w:val="none"/>
              </w:rPr>
              <w:t>份。</w:t>
            </w:r>
          </w:p>
        </w:tc>
        <w:tc>
          <w:tcPr>
            <w:tcW w:w="2268" w:type="dxa"/>
            <w:vAlign w:val="center"/>
          </w:tcPr>
          <w:p w14:paraId="47C58EAE">
            <w:pPr>
              <w:adjustRightInd w:val="0"/>
              <w:snapToGrid w:val="0"/>
              <w:spacing w:line="360" w:lineRule="exact"/>
              <w:rPr>
                <w:rFonts w:ascii="宋体" w:hAnsi="宋体"/>
                <w:sz w:val="21"/>
                <w:szCs w:val="21"/>
                <w:highlight w:val="none"/>
              </w:rPr>
            </w:pPr>
            <w:r>
              <w:rPr>
                <w:rFonts w:hint="eastAsia" w:ascii="宋体" w:hAnsi="宋体"/>
                <w:sz w:val="21"/>
                <w:szCs w:val="21"/>
                <w:highlight w:val="none"/>
              </w:rPr>
              <w:t>第</w:t>
            </w:r>
            <w:r>
              <w:rPr>
                <w:rFonts w:ascii="宋体" w:hAnsi="宋体"/>
                <w:sz w:val="21"/>
                <w:szCs w:val="21"/>
                <w:highlight w:val="none"/>
              </w:rPr>
              <w:t>14.6</w:t>
            </w:r>
            <w:r>
              <w:rPr>
                <w:rFonts w:hint="eastAsia" w:ascii="宋体" w:hAnsi="宋体"/>
                <w:sz w:val="21"/>
                <w:szCs w:val="21"/>
                <w:highlight w:val="none"/>
              </w:rPr>
              <w:t>条</w:t>
            </w:r>
          </w:p>
        </w:tc>
      </w:tr>
      <w:tr w14:paraId="7368552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831" w:hRule="atLeast"/>
          <w:jc w:val="center"/>
        </w:trPr>
        <w:tc>
          <w:tcPr>
            <w:tcW w:w="993" w:type="dxa"/>
            <w:vAlign w:val="center"/>
          </w:tcPr>
          <w:p w14:paraId="228DA91C">
            <w:pPr>
              <w:adjustRightInd w:val="0"/>
              <w:snapToGrid w:val="0"/>
              <w:spacing w:line="360" w:lineRule="exact"/>
              <w:jc w:val="center"/>
              <w:rPr>
                <w:rFonts w:ascii="宋体" w:hAnsi="宋体"/>
                <w:sz w:val="21"/>
                <w:szCs w:val="21"/>
                <w:highlight w:val="none"/>
              </w:rPr>
            </w:pPr>
            <w:r>
              <w:rPr>
                <w:rFonts w:ascii="宋体" w:hAnsi="宋体"/>
                <w:sz w:val="21"/>
                <w:szCs w:val="21"/>
                <w:highlight w:val="none"/>
              </w:rPr>
              <w:t>8</w:t>
            </w:r>
          </w:p>
        </w:tc>
        <w:tc>
          <w:tcPr>
            <w:tcW w:w="2693" w:type="dxa"/>
            <w:vAlign w:val="center"/>
          </w:tcPr>
          <w:p w14:paraId="19117099">
            <w:pPr>
              <w:adjustRightInd w:val="0"/>
              <w:snapToGrid w:val="0"/>
              <w:spacing w:line="360" w:lineRule="exact"/>
              <w:rPr>
                <w:rFonts w:ascii="宋体" w:hAnsi="宋体"/>
                <w:sz w:val="21"/>
                <w:szCs w:val="21"/>
                <w:highlight w:val="none"/>
              </w:rPr>
            </w:pPr>
            <w:r>
              <w:rPr>
                <w:rFonts w:hint="eastAsia" w:ascii="宋体" w:hAnsi="宋体"/>
                <w:sz w:val="21"/>
                <w:szCs w:val="21"/>
                <w:highlight w:val="none"/>
              </w:rPr>
              <w:t>报价有效期</w:t>
            </w:r>
          </w:p>
        </w:tc>
        <w:tc>
          <w:tcPr>
            <w:tcW w:w="3544" w:type="dxa"/>
            <w:vAlign w:val="center"/>
          </w:tcPr>
          <w:p w14:paraId="6A2BE3A5">
            <w:pPr>
              <w:tabs>
                <w:tab w:val="left" w:pos="888"/>
              </w:tabs>
              <w:spacing w:line="360" w:lineRule="exact"/>
              <w:rPr>
                <w:rFonts w:ascii="宋体" w:hAnsi="宋体"/>
                <w:sz w:val="21"/>
                <w:szCs w:val="21"/>
                <w:highlight w:val="none"/>
              </w:rPr>
            </w:pPr>
            <w:r>
              <w:rPr>
                <w:rFonts w:hint="eastAsia" w:ascii="宋体" w:hAnsi="宋体"/>
                <w:sz w:val="21"/>
                <w:szCs w:val="21"/>
                <w:highlight w:val="none"/>
              </w:rPr>
              <w:t>从提交报价文件的截止之日起</w:t>
            </w:r>
          </w:p>
          <w:p w14:paraId="48E7CE1D">
            <w:pPr>
              <w:tabs>
                <w:tab w:val="left" w:pos="888"/>
              </w:tabs>
              <w:spacing w:line="360" w:lineRule="exact"/>
              <w:rPr>
                <w:rFonts w:ascii="宋体" w:hAnsi="宋体"/>
                <w:sz w:val="21"/>
                <w:szCs w:val="21"/>
                <w:highlight w:val="none"/>
              </w:rPr>
            </w:pPr>
            <w:r>
              <w:rPr>
                <w:rFonts w:ascii="宋体" w:hAnsi="宋体"/>
                <w:sz w:val="21"/>
                <w:szCs w:val="21"/>
                <w:highlight w:val="none"/>
              </w:rPr>
              <w:t xml:space="preserve"> </w:t>
            </w:r>
            <w:r>
              <w:rPr>
                <w:rFonts w:ascii="宋体" w:hAnsi="宋体"/>
                <w:sz w:val="21"/>
                <w:szCs w:val="21"/>
                <w:highlight w:val="none"/>
                <w:u w:val="single"/>
              </w:rPr>
              <w:t xml:space="preserve"> </w:t>
            </w:r>
            <w:r>
              <w:rPr>
                <w:rFonts w:hint="eastAsia" w:ascii="宋体" w:hAnsi="宋体"/>
                <w:sz w:val="21"/>
                <w:szCs w:val="21"/>
                <w:highlight w:val="none"/>
                <w:u w:val="single"/>
                <w:lang w:val="en-US" w:eastAsia="zh-CN"/>
              </w:rPr>
              <w:t>180</w:t>
            </w:r>
            <w:r>
              <w:rPr>
                <w:rFonts w:ascii="宋体" w:hAnsi="宋体"/>
                <w:sz w:val="21"/>
                <w:szCs w:val="21"/>
                <w:highlight w:val="none"/>
                <w:u w:val="single"/>
              </w:rPr>
              <w:t xml:space="preserve"> </w:t>
            </w:r>
            <w:r>
              <w:rPr>
                <w:rFonts w:hint="eastAsia" w:ascii="宋体" w:hAnsi="宋体"/>
                <w:sz w:val="21"/>
                <w:szCs w:val="21"/>
                <w:highlight w:val="none"/>
              </w:rPr>
              <w:t>日</w:t>
            </w:r>
          </w:p>
        </w:tc>
        <w:tc>
          <w:tcPr>
            <w:tcW w:w="2268" w:type="dxa"/>
            <w:vAlign w:val="center"/>
          </w:tcPr>
          <w:p w14:paraId="6663C09B">
            <w:pPr>
              <w:adjustRightInd w:val="0"/>
              <w:snapToGrid w:val="0"/>
              <w:spacing w:line="360" w:lineRule="exact"/>
              <w:rPr>
                <w:rFonts w:ascii="宋体" w:hAnsi="宋体"/>
                <w:sz w:val="21"/>
                <w:szCs w:val="21"/>
                <w:highlight w:val="none"/>
              </w:rPr>
            </w:pPr>
            <w:r>
              <w:rPr>
                <w:rFonts w:hint="eastAsia" w:ascii="宋体" w:hAnsi="宋体"/>
                <w:sz w:val="21"/>
                <w:szCs w:val="21"/>
                <w:highlight w:val="none"/>
              </w:rPr>
              <w:t>第</w:t>
            </w:r>
            <w:r>
              <w:rPr>
                <w:rFonts w:ascii="宋体" w:hAnsi="宋体"/>
                <w:sz w:val="21"/>
                <w:szCs w:val="21"/>
                <w:highlight w:val="none"/>
              </w:rPr>
              <w:t>15.1</w:t>
            </w:r>
            <w:r>
              <w:rPr>
                <w:rFonts w:hint="eastAsia" w:ascii="宋体" w:hAnsi="宋体"/>
                <w:sz w:val="21"/>
                <w:szCs w:val="21"/>
                <w:highlight w:val="none"/>
              </w:rPr>
              <w:t>条</w:t>
            </w:r>
          </w:p>
        </w:tc>
      </w:tr>
      <w:tr w14:paraId="501C28B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658" w:hRule="atLeast"/>
          <w:jc w:val="center"/>
        </w:trPr>
        <w:tc>
          <w:tcPr>
            <w:tcW w:w="993" w:type="dxa"/>
            <w:vAlign w:val="center"/>
          </w:tcPr>
          <w:p w14:paraId="6AB0F5C6">
            <w:pPr>
              <w:adjustRightInd w:val="0"/>
              <w:snapToGrid w:val="0"/>
              <w:spacing w:line="360" w:lineRule="exact"/>
              <w:jc w:val="center"/>
              <w:rPr>
                <w:rFonts w:ascii="宋体" w:hAnsi="宋体"/>
                <w:sz w:val="21"/>
                <w:szCs w:val="21"/>
                <w:highlight w:val="none"/>
              </w:rPr>
            </w:pPr>
            <w:r>
              <w:rPr>
                <w:rFonts w:ascii="宋体" w:hAnsi="宋体"/>
                <w:sz w:val="21"/>
                <w:szCs w:val="21"/>
                <w:highlight w:val="none"/>
              </w:rPr>
              <w:t>9</w:t>
            </w:r>
          </w:p>
        </w:tc>
        <w:tc>
          <w:tcPr>
            <w:tcW w:w="2693" w:type="dxa"/>
            <w:vAlign w:val="center"/>
          </w:tcPr>
          <w:p w14:paraId="717D078C">
            <w:pPr>
              <w:adjustRightInd w:val="0"/>
              <w:snapToGrid w:val="0"/>
              <w:spacing w:line="360" w:lineRule="exact"/>
              <w:rPr>
                <w:rFonts w:ascii="宋体" w:hAnsi="宋体"/>
                <w:sz w:val="21"/>
                <w:szCs w:val="21"/>
                <w:highlight w:val="none"/>
              </w:rPr>
            </w:pPr>
            <w:r>
              <w:rPr>
                <w:rFonts w:hint="eastAsia" w:ascii="宋体" w:hAnsi="宋体"/>
                <w:sz w:val="21"/>
                <w:szCs w:val="21"/>
                <w:highlight w:val="none"/>
              </w:rPr>
              <w:t>谈判报价的其他要求</w:t>
            </w:r>
          </w:p>
        </w:tc>
        <w:tc>
          <w:tcPr>
            <w:tcW w:w="3544" w:type="dxa"/>
            <w:vAlign w:val="center"/>
          </w:tcPr>
          <w:p w14:paraId="6F764B3C">
            <w:pPr>
              <w:adjustRightInd w:val="0"/>
              <w:snapToGrid w:val="0"/>
              <w:spacing w:line="360" w:lineRule="exact"/>
              <w:rPr>
                <w:rFonts w:ascii="宋体" w:hAnsi="宋体"/>
                <w:sz w:val="21"/>
                <w:szCs w:val="21"/>
                <w:highlight w:val="none"/>
              </w:rPr>
            </w:pPr>
          </w:p>
        </w:tc>
        <w:tc>
          <w:tcPr>
            <w:tcW w:w="2268" w:type="dxa"/>
            <w:vAlign w:val="center"/>
          </w:tcPr>
          <w:p w14:paraId="3208A556">
            <w:pPr>
              <w:adjustRightInd w:val="0"/>
              <w:snapToGrid w:val="0"/>
              <w:spacing w:line="360" w:lineRule="exact"/>
              <w:rPr>
                <w:rFonts w:ascii="宋体" w:hAnsi="宋体" w:cs="宋体"/>
                <w:sz w:val="21"/>
                <w:szCs w:val="21"/>
                <w:highlight w:val="none"/>
              </w:rPr>
            </w:pPr>
          </w:p>
        </w:tc>
      </w:tr>
      <w:tr w14:paraId="1113B77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102" w:hRule="atLeast"/>
          <w:jc w:val="center"/>
        </w:trPr>
        <w:tc>
          <w:tcPr>
            <w:tcW w:w="993" w:type="dxa"/>
            <w:vAlign w:val="center"/>
          </w:tcPr>
          <w:p w14:paraId="2C8103C7">
            <w:pPr>
              <w:adjustRightInd w:val="0"/>
              <w:snapToGrid w:val="0"/>
              <w:spacing w:line="360" w:lineRule="exact"/>
              <w:jc w:val="center"/>
              <w:rPr>
                <w:rFonts w:ascii="宋体" w:hAnsi="宋体"/>
                <w:sz w:val="21"/>
                <w:szCs w:val="21"/>
                <w:highlight w:val="none"/>
              </w:rPr>
            </w:pPr>
            <w:r>
              <w:rPr>
                <w:rFonts w:ascii="宋体" w:hAnsi="宋体"/>
                <w:sz w:val="21"/>
                <w:szCs w:val="21"/>
                <w:highlight w:val="none"/>
              </w:rPr>
              <w:t>10</w:t>
            </w:r>
          </w:p>
        </w:tc>
        <w:tc>
          <w:tcPr>
            <w:tcW w:w="2693" w:type="dxa"/>
            <w:vAlign w:val="center"/>
          </w:tcPr>
          <w:p w14:paraId="21772E33">
            <w:pPr>
              <w:adjustRightInd w:val="0"/>
              <w:snapToGrid w:val="0"/>
              <w:spacing w:line="360" w:lineRule="exact"/>
              <w:rPr>
                <w:rFonts w:ascii="宋体" w:hAnsi="宋体"/>
                <w:sz w:val="21"/>
                <w:szCs w:val="21"/>
                <w:highlight w:val="none"/>
              </w:rPr>
            </w:pPr>
            <w:r>
              <w:rPr>
                <w:rFonts w:hint="eastAsia" w:ascii="宋体" w:hAnsi="宋体"/>
                <w:sz w:val="21"/>
                <w:szCs w:val="21"/>
                <w:highlight w:val="none"/>
              </w:rPr>
              <w:t>谈判保证金</w:t>
            </w:r>
          </w:p>
        </w:tc>
        <w:tc>
          <w:tcPr>
            <w:tcW w:w="3544" w:type="dxa"/>
            <w:vAlign w:val="center"/>
          </w:tcPr>
          <w:p w14:paraId="4B9DDF3D">
            <w:pPr>
              <w:adjustRightInd w:val="0"/>
              <w:snapToGrid w:val="0"/>
              <w:spacing w:line="360" w:lineRule="exact"/>
              <w:rPr>
                <w:rFonts w:ascii="宋体" w:hAnsi="宋体" w:cs="宋体"/>
                <w:sz w:val="21"/>
                <w:szCs w:val="21"/>
                <w:highlight w:val="none"/>
              </w:rPr>
            </w:pPr>
            <w:r>
              <w:rPr>
                <w:rFonts w:hint="eastAsia" w:ascii="宋体" w:hAnsi="宋体" w:cs="宋体"/>
                <w:sz w:val="21"/>
                <w:szCs w:val="21"/>
                <w:highlight w:val="none"/>
              </w:rPr>
              <w:t>金额：（大写）</w:t>
            </w:r>
            <w:r>
              <w:rPr>
                <w:rFonts w:hint="eastAsia" w:ascii="宋体" w:hAnsi="宋体" w:cs="宋体"/>
                <w:sz w:val="21"/>
                <w:szCs w:val="21"/>
                <w:highlight w:val="none"/>
                <w:u w:val="single"/>
                <w:lang w:val="en-US" w:eastAsia="zh-CN"/>
              </w:rPr>
              <w:t>壹万玖仟肆佰元整</w:t>
            </w:r>
            <w:r>
              <w:rPr>
                <w:rFonts w:hint="eastAsia" w:ascii="宋体" w:hAnsi="宋体" w:cs="宋体"/>
                <w:sz w:val="21"/>
                <w:szCs w:val="21"/>
                <w:highlight w:val="none"/>
              </w:rPr>
              <w:t>（</w:t>
            </w:r>
            <w:r>
              <w:rPr>
                <w:rFonts w:hint="eastAsia" w:ascii="宋体" w:hAnsi="宋体" w:cs="宋体"/>
                <w:sz w:val="21"/>
                <w:szCs w:val="21"/>
                <w:highlight w:val="none"/>
                <w:u w:val="single"/>
              </w:rPr>
              <w:t>¥</w:t>
            </w:r>
            <w:r>
              <w:rPr>
                <w:rFonts w:hint="eastAsia" w:ascii="宋体" w:hAnsi="宋体" w:cs="宋体"/>
                <w:sz w:val="21"/>
                <w:szCs w:val="21"/>
                <w:highlight w:val="none"/>
                <w:u w:val="single"/>
                <w:lang w:val="en-US" w:eastAsia="zh-CN"/>
              </w:rPr>
              <w:t>19400</w:t>
            </w:r>
            <w:r>
              <w:rPr>
                <w:rFonts w:hint="eastAsia" w:ascii="宋体" w:hAnsi="宋体" w:cs="宋体"/>
                <w:sz w:val="21"/>
                <w:szCs w:val="21"/>
                <w:highlight w:val="none"/>
              </w:rPr>
              <w:t>）</w:t>
            </w:r>
          </w:p>
          <w:p w14:paraId="0D2C2CE3">
            <w:pPr>
              <w:adjustRightInd w:val="0"/>
              <w:snapToGrid w:val="0"/>
              <w:spacing w:line="360" w:lineRule="exact"/>
              <w:rPr>
                <w:rFonts w:hint="eastAsia" w:ascii="宋体" w:hAnsi="宋体" w:eastAsia="宋体" w:cs="宋体"/>
                <w:sz w:val="21"/>
                <w:szCs w:val="21"/>
                <w:highlight w:val="none"/>
                <w:lang w:val="en-US" w:eastAsia="zh-CN"/>
              </w:rPr>
            </w:pPr>
            <w:r>
              <w:rPr>
                <w:rFonts w:hint="eastAsia" w:ascii="宋体" w:hAnsi="宋体" w:cs="宋体"/>
                <w:sz w:val="21"/>
                <w:szCs w:val="21"/>
                <w:highlight w:val="none"/>
              </w:rPr>
              <w:t>缴纳截止时间：</w:t>
            </w:r>
            <w:r>
              <w:rPr>
                <w:rFonts w:hint="eastAsia" w:ascii="宋体" w:hAnsi="宋体" w:cs="宋体"/>
                <w:sz w:val="21"/>
                <w:szCs w:val="21"/>
                <w:highlight w:val="none"/>
                <w:u w:val="single"/>
                <w:lang w:val="en-US" w:eastAsia="zh-CN"/>
              </w:rPr>
              <w:t>2024</w:t>
            </w:r>
            <w:r>
              <w:rPr>
                <w:rFonts w:hint="eastAsia" w:ascii="宋体" w:hAnsi="宋体" w:cs="宋体"/>
                <w:sz w:val="21"/>
                <w:szCs w:val="21"/>
                <w:highlight w:val="none"/>
              </w:rPr>
              <w:t>年</w:t>
            </w:r>
            <w:r>
              <w:rPr>
                <w:rFonts w:hint="eastAsia" w:ascii="宋体" w:hAnsi="宋体" w:cs="宋体"/>
                <w:sz w:val="21"/>
                <w:szCs w:val="21"/>
                <w:highlight w:val="none"/>
                <w:u w:val="single"/>
                <w:lang w:val="en-US" w:eastAsia="zh-CN"/>
              </w:rPr>
              <w:t>11</w:t>
            </w:r>
            <w:r>
              <w:rPr>
                <w:rFonts w:hint="eastAsia" w:ascii="宋体" w:hAnsi="宋体" w:cs="宋体"/>
                <w:sz w:val="21"/>
                <w:szCs w:val="21"/>
                <w:highlight w:val="none"/>
              </w:rPr>
              <w:t>月</w:t>
            </w:r>
            <w:r>
              <w:rPr>
                <w:rFonts w:hint="eastAsia" w:ascii="宋体" w:hAnsi="宋体" w:cs="宋体"/>
                <w:sz w:val="21"/>
                <w:szCs w:val="21"/>
                <w:highlight w:val="none"/>
                <w:u w:val="single"/>
                <w:lang w:val="en-US" w:eastAsia="zh-CN"/>
              </w:rPr>
              <w:t>8</w:t>
            </w:r>
            <w:r>
              <w:rPr>
                <w:rFonts w:hint="eastAsia" w:ascii="宋体" w:hAnsi="宋体" w:cs="宋体"/>
                <w:sz w:val="21"/>
                <w:szCs w:val="21"/>
                <w:highlight w:val="none"/>
                <w:lang w:val="en-US" w:eastAsia="zh-CN"/>
              </w:rPr>
              <w:t xml:space="preserve"> </w:t>
            </w:r>
            <w:r>
              <w:rPr>
                <w:rFonts w:hint="eastAsia" w:ascii="宋体" w:hAnsi="宋体" w:cs="宋体"/>
                <w:sz w:val="21"/>
                <w:szCs w:val="21"/>
                <w:highlight w:val="none"/>
              </w:rPr>
              <w:t>日</w:t>
            </w:r>
            <w:r>
              <w:rPr>
                <w:rFonts w:hint="eastAsia" w:ascii="宋体" w:hAnsi="宋体" w:cs="宋体"/>
                <w:sz w:val="21"/>
                <w:szCs w:val="21"/>
                <w:highlight w:val="none"/>
                <w:u w:val="single"/>
                <w:lang w:val="en-US" w:eastAsia="zh-CN"/>
              </w:rPr>
              <w:t>9</w:t>
            </w:r>
            <w:r>
              <w:rPr>
                <w:rFonts w:ascii="宋体" w:hAnsi="宋体" w:cs="宋体"/>
                <w:sz w:val="21"/>
                <w:szCs w:val="21"/>
                <w:highlight w:val="none"/>
              </w:rPr>
              <w:t>:</w:t>
            </w:r>
            <w:r>
              <w:rPr>
                <w:rFonts w:hint="eastAsia" w:ascii="宋体" w:hAnsi="宋体" w:cs="宋体"/>
                <w:sz w:val="21"/>
                <w:szCs w:val="21"/>
                <w:highlight w:val="none"/>
                <w:u w:val="single"/>
                <w:lang w:val="en-US" w:eastAsia="zh-CN"/>
              </w:rPr>
              <w:t>30</w:t>
            </w:r>
            <w:r>
              <w:rPr>
                <w:rFonts w:ascii="宋体" w:hAnsi="宋体" w:cs="宋体"/>
                <w:sz w:val="21"/>
                <w:szCs w:val="21"/>
                <w:highlight w:val="none"/>
              </w:rPr>
              <w:t>(本项目</w:t>
            </w:r>
            <w:r>
              <w:rPr>
                <w:rFonts w:hint="eastAsia" w:ascii="宋体" w:hAnsi="宋体" w:cs="仿宋_GB2312"/>
                <w:sz w:val="21"/>
                <w:szCs w:val="21"/>
                <w:highlight w:val="none"/>
              </w:rPr>
              <w:t>提交报价文件</w:t>
            </w:r>
            <w:r>
              <w:rPr>
                <w:rFonts w:hint="eastAsia" w:ascii="宋体" w:hAnsi="宋体"/>
                <w:sz w:val="21"/>
                <w:szCs w:val="21"/>
                <w:highlight w:val="none"/>
              </w:rPr>
              <w:t>截止时间</w:t>
            </w:r>
            <w:r>
              <w:rPr>
                <w:rFonts w:hint="eastAsia" w:ascii="宋体" w:hAnsi="宋体" w:cs="宋体"/>
                <w:sz w:val="21"/>
                <w:szCs w:val="21"/>
                <w:highlight w:val="none"/>
              </w:rPr>
              <w:t>），以谈判保证金账户实际收款时间为准</w:t>
            </w:r>
          </w:p>
          <w:p w14:paraId="32F2FE3B">
            <w:pPr>
              <w:tabs>
                <w:tab w:val="left" w:pos="888"/>
              </w:tabs>
              <w:spacing w:line="360" w:lineRule="exact"/>
              <w:rPr>
                <w:rFonts w:ascii="宋体" w:hAnsi="宋体"/>
                <w:sz w:val="21"/>
                <w:szCs w:val="21"/>
                <w:highlight w:val="none"/>
              </w:rPr>
            </w:pPr>
            <w:r>
              <w:rPr>
                <w:rFonts w:hint="eastAsia" w:ascii="宋体" w:hAnsi="宋体"/>
                <w:sz w:val="21"/>
                <w:szCs w:val="21"/>
                <w:highlight w:val="none"/>
              </w:rPr>
              <w:t>缴纳谈判保证金账户信息：供应商报名成功后发送至供应商报名邮箱</w:t>
            </w:r>
            <w:r>
              <w:rPr>
                <w:rFonts w:ascii="宋体" w:hAnsi="宋体"/>
                <w:sz w:val="21"/>
                <w:szCs w:val="21"/>
                <w:highlight w:val="none"/>
              </w:rPr>
              <w:t xml:space="preserve">            </w:t>
            </w:r>
          </w:p>
        </w:tc>
        <w:tc>
          <w:tcPr>
            <w:tcW w:w="2268" w:type="dxa"/>
            <w:vAlign w:val="center"/>
          </w:tcPr>
          <w:p w14:paraId="629B2DFB">
            <w:pPr>
              <w:adjustRightInd w:val="0"/>
              <w:snapToGrid w:val="0"/>
              <w:spacing w:line="360" w:lineRule="exact"/>
              <w:rPr>
                <w:rFonts w:ascii="宋体" w:hAnsi="宋体"/>
                <w:sz w:val="21"/>
                <w:szCs w:val="21"/>
                <w:highlight w:val="none"/>
              </w:rPr>
            </w:pPr>
            <w:r>
              <w:rPr>
                <w:rFonts w:hint="eastAsia" w:ascii="宋体" w:hAnsi="宋体"/>
                <w:sz w:val="21"/>
                <w:szCs w:val="21"/>
                <w:highlight w:val="none"/>
              </w:rPr>
              <w:t>第</w:t>
            </w:r>
            <w:r>
              <w:rPr>
                <w:rFonts w:ascii="宋体" w:hAnsi="宋体"/>
                <w:sz w:val="21"/>
                <w:szCs w:val="21"/>
                <w:highlight w:val="none"/>
              </w:rPr>
              <w:t>17</w:t>
            </w:r>
            <w:r>
              <w:rPr>
                <w:rFonts w:hint="eastAsia" w:ascii="宋体" w:hAnsi="宋体"/>
                <w:sz w:val="21"/>
                <w:szCs w:val="21"/>
                <w:highlight w:val="none"/>
              </w:rPr>
              <w:t>条</w:t>
            </w:r>
          </w:p>
        </w:tc>
      </w:tr>
      <w:tr w14:paraId="7EED113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253" w:hRule="atLeast"/>
          <w:jc w:val="center"/>
        </w:trPr>
        <w:tc>
          <w:tcPr>
            <w:tcW w:w="993" w:type="dxa"/>
            <w:vAlign w:val="center"/>
          </w:tcPr>
          <w:p w14:paraId="4C5FA6DF">
            <w:pPr>
              <w:adjustRightInd w:val="0"/>
              <w:snapToGrid w:val="0"/>
              <w:spacing w:line="360" w:lineRule="exact"/>
              <w:jc w:val="center"/>
              <w:rPr>
                <w:rFonts w:ascii="宋体" w:hAnsi="宋体"/>
                <w:sz w:val="21"/>
                <w:szCs w:val="21"/>
                <w:highlight w:val="none"/>
              </w:rPr>
            </w:pPr>
            <w:r>
              <w:rPr>
                <w:rFonts w:ascii="宋体" w:hAnsi="宋体"/>
                <w:sz w:val="21"/>
                <w:szCs w:val="21"/>
                <w:highlight w:val="none"/>
              </w:rPr>
              <w:t>11</w:t>
            </w:r>
          </w:p>
        </w:tc>
        <w:tc>
          <w:tcPr>
            <w:tcW w:w="2693" w:type="dxa"/>
            <w:vAlign w:val="center"/>
          </w:tcPr>
          <w:p w14:paraId="7108E468">
            <w:pPr>
              <w:adjustRightInd w:val="0"/>
              <w:snapToGrid w:val="0"/>
              <w:spacing w:line="360" w:lineRule="exact"/>
              <w:rPr>
                <w:rFonts w:ascii="宋体" w:hAnsi="宋体"/>
                <w:sz w:val="21"/>
                <w:szCs w:val="21"/>
                <w:highlight w:val="none"/>
              </w:rPr>
            </w:pPr>
            <w:r>
              <w:rPr>
                <w:rFonts w:hint="eastAsia" w:ascii="宋体" w:hAnsi="宋体" w:cs="仿宋_GB2312"/>
                <w:sz w:val="21"/>
                <w:szCs w:val="21"/>
                <w:highlight w:val="none"/>
              </w:rPr>
              <w:t>提交报价文件</w:t>
            </w:r>
            <w:r>
              <w:rPr>
                <w:rFonts w:hint="eastAsia" w:ascii="宋体" w:hAnsi="宋体"/>
                <w:sz w:val="21"/>
                <w:szCs w:val="21"/>
                <w:highlight w:val="none"/>
              </w:rPr>
              <w:t>截止时间及地点、方式</w:t>
            </w:r>
          </w:p>
        </w:tc>
        <w:tc>
          <w:tcPr>
            <w:tcW w:w="3544" w:type="dxa"/>
            <w:vAlign w:val="center"/>
          </w:tcPr>
          <w:p w14:paraId="0FAC0B79">
            <w:pPr>
              <w:tabs>
                <w:tab w:val="left" w:pos="888"/>
              </w:tabs>
              <w:spacing w:line="360" w:lineRule="exact"/>
              <w:rPr>
                <w:rFonts w:ascii="宋体" w:hAnsi="宋体"/>
                <w:sz w:val="21"/>
                <w:szCs w:val="21"/>
                <w:highlight w:val="none"/>
              </w:rPr>
            </w:pPr>
            <w:r>
              <w:rPr>
                <w:rFonts w:hint="eastAsia" w:ascii="宋体" w:hAnsi="宋体"/>
                <w:sz w:val="21"/>
                <w:szCs w:val="21"/>
                <w:highlight w:val="none"/>
              </w:rPr>
              <w:t>报价开始时间：</w:t>
            </w:r>
            <w:r>
              <w:rPr>
                <w:rFonts w:hint="eastAsia" w:ascii="宋体" w:hAnsi="宋体"/>
                <w:sz w:val="21"/>
                <w:szCs w:val="21"/>
                <w:highlight w:val="none"/>
                <w:u w:val="single"/>
                <w:lang w:val="en-US" w:eastAsia="zh-CN"/>
              </w:rPr>
              <w:t>2024</w:t>
            </w:r>
            <w:r>
              <w:rPr>
                <w:rFonts w:hint="eastAsia" w:ascii="宋体" w:hAnsi="宋体"/>
                <w:sz w:val="21"/>
                <w:szCs w:val="21"/>
                <w:highlight w:val="none"/>
              </w:rPr>
              <w:t>年</w:t>
            </w:r>
            <w:r>
              <w:rPr>
                <w:rFonts w:hint="eastAsia" w:ascii="宋体" w:hAnsi="宋体"/>
                <w:sz w:val="21"/>
                <w:szCs w:val="21"/>
                <w:highlight w:val="none"/>
                <w:u w:val="single"/>
                <w:lang w:val="en-US" w:eastAsia="zh-CN"/>
              </w:rPr>
              <w:t xml:space="preserve"> 11 </w:t>
            </w:r>
            <w:r>
              <w:rPr>
                <w:rFonts w:hint="eastAsia" w:ascii="宋体" w:hAnsi="宋体"/>
                <w:sz w:val="21"/>
                <w:szCs w:val="21"/>
                <w:highlight w:val="none"/>
              </w:rPr>
              <w:t>月</w:t>
            </w:r>
            <w:r>
              <w:rPr>
                <w:rFonts w:hint="eastAsia" w:ascii="宋体" w:hAnsi="宋体"/>
                <w:sz w:val="21"/>
                <w:szCs w:val="21"/>
                <w:highlight w:val="none"/>
                <w:u w:val="single"/>
                <w:lang w:val="en-US" w:eastAsia="zh-CN"/>
              </w:rPr>
              <w:t xml:space="preserve"> 8 </w:t>
            </w:r>
            <w:r>
              <w:rPr>
                <w:rFonts w:hint="eastAsia" w:ascii="宋体" w:hAnsi="宋体"/>
                <w:sz w:val="21"/>
                <w:szCs w:val="21"/>
                <w:highlight w:val="none"/>
              </w:rPr>
              <w:t>日</w:t>
            </w:r>
          </w:p>
          <w:p w14:paraId="7371A672">
            <w:pPr>
              <w:tabs>
                <w:tab w:val="left" w:pos="888"/>
              </w:tabs>
              <w:spacing w:line="360" w:lineRule="exact"/>
              <w:rPr>
                <w:rFonts w:ascii="宋体" w:hAnsi="宋体"/>
                <w:sz w:val="21"/>
                <w:szCs w:val="21"/>
                <w:highlight w:val="none"/>
              </w:rPr>
            </w:pPr>
            <w:r>
              <w:rPr>
                <w:rFonts w:hint="eastAsia" w:ascii="宋体" w:hAnsi="宋体"/>
                <w:sz w:val="21"/>
                <w:szCs w:val="21"/>
                <w:highlight w:val="none"/>
                <w:u w:val="single"/>
                <w:lang w:val="en-US" w:eastAsia="zh-CN"/>
              </w:rPr>
              <w:t>9</w:t>
            </w:r>
            <w:r>
              <w:rPr>
                <w:rFonts w:hint="eastAsia" w:ascii="宋体" w:hAnsi="宋体"/>
                <w:sz w:val="21"/>
                <w:szCs w:val="21"/>
                <w:highlight w:val="none"/>
              </w:rPr>
              <w:t>时</w:t>
            </w:r>
            <w:r>
              <w:rPr>
                <w:rFonts w:hint="eastAsia" w:ascii="宋体" w:hAnsi="宋体"/>
                <w:sz w:val="21"/>
                <w:szCs w:val="21"/>
                <w:highlight w:val="none"/>
                <w:u w:val="single"/>
                <w:lang w:val="en-US" w:eastAsia="zh-CN"/>
              </w:rPr>
              <w:t>00</w:t>
            </w:r>
            <w:r>
              <w:rPr>
                <w:rFonts w:hint="eastAsia" w:ascii="宋体" w:hAnsi="宋体"/>
                <w:sz w:val="21"/>
                <w:szCs w:val="21"/>
                <w:highlight w:val="none"/>
              </w:rPr>
              <w:t>分。</w:t>
            </w:r>
          </w:p>
          <w:p w14:paraId="5E872893">
            <w:pPr>
              <w:tabs>
                <w:tab w:val="left" w:pos="888"/>
              </w:tabs>
              <w:spacing w:line="360" w:lineRule="exact"/>
              <w:rPr>
                <w:rFonts w:ascii="宋体" w:hAnsi="宋体"/>
                <w:sz w:val="21"/>
                <w:szCs w:val="21"/>
                <w:highlight w:val="none"/>
              </w:rPr>
            </w:pPr>
            <w:r>
              <w:rPr>
                <w:rFonts w:hint="eastAsia" w:ascii="宋体" w:hAnsi="宋体"/>
                <w:sz w:val="21"/>
                <w:szCs w:val="21"/>
                <w:highlight w:val="none"/>
              </w:rPr>
              <w:t>报价截止时间：</w:t>
            </w:r>
            <w:r>
              <w:rPr>
                <w:rFonts w:hint="eastAsia" w:ascii="宋体" w:hAnsi="宋体"/>
                <w:sz w:val="21"/>
                <w:szCs w:val="21"/>
                <w:highlight w:val="none"/>
                <w:u w:val="single"/>
                <w:lang w:val="en-US" w:eastAsia="zh-CN"/>
              </w:rPr>
              <w:t>2024</w:t>
            </w:r>
            <w:r>
              <w:rPr>
                <w:rFonts w:hint="eastAsia" w:ascii="宋体" w:hAnsi="宋体"/>
                <w:sz w:val="21"/>
                <w:szCs w:val="21"/>
                <w:highlight w:val="none"/>
              </w:rPr>
              <w:t>年</w:t>
            </w:r>
            <w:r>
              <w:rPr>
                <w:rFonts w:hint="eastAsia" w:ascii="宋体" w:hAnsi="宋体"/>
                <w:sz w:val="21"/>
                <w:szCs w:val="21"/>
                <w:highlight w:val="none"/>
                <w:u w:val="single"/>
                <w:lang w:val="en-US" w:eastAsia="zh-CN"/>
              </w:rPr>
              <w:t xml:space="preserve"> 11 </w:t>
            </w:r>
            <w:r>
              <w:rPr>
                <w:rFonts w:hint="eastAsia" w:ascii="宋体" w:hAnsi="宋体"/>
                <w:sz w:val="21"/>
                <w:szCs w:val="21"/>
                <w:highlight w:val="none"/>
              </w:rPr>
              <w:t>月</w:t>
            </w:r>
            <w:r>
              <w:rPr>
                <w:rFonts w:hint="eastAsia" w:ascii="宋体" w:hAnsi="宋体"/>
                <w:sz w:val="21"/>
                <w:szCs w:val="21"/>
                <w:highlight w:val="none"/>
                <w:u w:val="single"/>
                <w:lang w:val="en-US" w:eastAsia="zh-CN"/>
              </w:rPr>
              <w:t xml:space="preserve"> 8  </w:t>
            </w:r>
            <w:r>
              <w:rPr>
                <w:rFonts w:hint="eastAsia" w:ascii="宋体" w:hAnsi="宋体"/>
                <w:sz w:val="21"/>
                <w:szCs w:val="21"/>
                <w:highlight w:val="none"/>
              </w:rPr>
              <w:t>日</w:t>
            </w:r>
          </w:p>
          <w:p w14:paraId="536A8852">
            <w:pPr>
              <w:tabs>
                <w:tab w:val="left" w:pos="888"/>
              </w:tabs>
              <w:spacing w:line="360" w:lineRule="exact"/>
              <w:rPr>
                <w:rFonts w:ascii="宋体" w:hAnsi="宋体"/>
                <w:sz w:val="21"/>
                <w:szCs w:val="21"/>
                <w:highlight w:val="none"/>
              </w:rPr>
            </w:pPr>
            <w:r>
              <w:rPr>
                <w:rFonts w:hint="eastAsia" w:ascii="宋体" w:hAnsi="宋体"/>
                <w:sz w:val="21"/>
                <w:szCs w:val="21"/>
                <w:highlight w:val="none"/>
                <w:u w:val="single"/>
                <w:lang w:val="en-US" w:eastAsia="zh-CN"/>
              </w:rPr>
              <w:t>9</w:t>
            </w:r>
            <w:r>
              <w:rPr>
                <w:rFonts w:hint="eastAsia" w:ascii="宋体" w:hAnsi="宋体"/>
                <w:sz w:val="21"/>
                <w:szCs w:val="21"/>
                <w:highlight w:val="none"/>
              </w:rPr>
              <w:t>时</w:t>
            </w:r>
            <w:r>
              <w:rPr>
                <w:rFonts w:hint="eastAsia" w:ascii="宋体" w:hAnsi="宋体"/>
                <w:sz w:val="21"/>
                <w:szCs w:val="21"/>
                <w:highlight w:val="none"/>
                <w:u w:val="single"/>
                <w:lang w:val="en-US" w:eastAsia="zh-CN"/>
              </w:rPr>
              <w:t>30</w:t>
            </w:r>
            <w:r>
              <w:rPr>
                <w:rFonts w:hint="eastAsia" w:ascii="宋体" w:hAnsi="宋体"/>
                <w:sz w:val="21"/>
                <w:szCs w:val="21"/>
                <w:highlight w:val="none"/>
              </w:rPr>
              <w:t>分。</w:t>
            </w:r>
          </w:p>
          <w:p w14:paraId="40C294CD">
            <w:pPr>
              <w:tabs>
                <w:tab w:val="left" w:pos="888"/>
              </w:tabs>
              <w:spacing w:line="360" w:lineRule="exact"/>
              <w:rPr>
                <w:rFonts w:ascii="宋体" w:hAnsi="宋体"/>
                <w:sz w:val="21"/>
                <w:szCs w:val="21"/>
                <w:highlight w:val="none"/>
              </w:rPr>
            </w:pPr>
            <w:r>
              <w:rPr>
                <w:rFonts w:hint="eastAsia" w:ascii="宋体" w:hAnsi="宋体"/>
                <w:sz w:val="21"/>
                <w:szCs w:val="21"/>
                <w:highlight w:val="none"/>
              </w:rPr>
              <w:t>报价地点：</w:t>
            </w:r>
            <w:r>
              <w:rPr>
                <w:rFonts w:hint="eastAsia" w:ascii="宋体" w:hAnsi="宋体"/>
                <w:sz w:val="21"/>
                <w:szCs w:val="21"/>
                <w:highlight w:val="none"/>
                <w:u w:val="single"/>
                <w:lang w:eastAsia="zh-CN"/>
              </w:rPr>
              <w:t>物资采购中心</w:t>
            </w:r>
          </w:p>
          <w:p w14:paraId="71123F59">
            <w:pPr>
              <w:tabs>
                <w:tab w:val="left" w:pos="888"/>
              </w:tabs>
              <w:spacing w:line="360" w:lineRule="exact"/>
              <w:rPr>
                <w:rFonts w:ascii="宋体" w:hAnsi="宋体"/>
                <w:sz w:val="21"/>
                <w:szCs w:val="21"/>
                <w:highlight w:val="none"/>
              </w:rPr>
            </w:pPr>
            <w:r>
              <w:rPr>
                <w:rFonts w:hint="eastAsia" w:ascii="宋体" w:hAnsi="宋体"/>
                <w:sz w:val="21"/>
                <w:szCs w:val="21"/>
                <w:highlight w:val="none"/>
              </w:rPr>
              <w:t>报价方式：由报价供应商法定代表人或授权代表现场提交报价文件，不接受邮寄等其他方式。</w:t>
            </w:r>
          </w:p>
        </w:tc>
        <w:tc>
          <w:tcPr>
            <w:tcW w:w="2268" w:type="dxa"/>
            <w:vAlign w:val="center"/>
          </w:tcPr>
          <w:p w14:paraId="05033CED">
            <w:pPr>
              <w:adjustRightInd w:val="0"/>
              <w:snapToGrid w:val="0"/>
              <w:spacing w:line="360" w:lineRule="exact"/>
              <w:rPr>
                <w:rFonts w:ascii="宋体" w:hAnsi="宋体" w:cs="宋体"/>
                <w:sz w:val="21"/>
                <w:szCs w:val="21"/>
                <w:highlight w:val="none"/>
              </w:rPr>
            </w:pPr>
            <w:r>
              <w:rPr>
                <w:rFonts w:hint="eastAsia" w:ascii="宋体" w:hAnsi="宋体"/>
                <w:sz w:val="21"/>
                <w:szCs w:val="21"/>
                <w:highlight w:val="none"/>
              </w:rPr>
              <w:t>第1</w:t>
            </w:r>
            <w:r>
              <w:rPr>
                <w:rFonts w:ascii="宋体" w:hAnsi="宋体"/>
                <w:sz w:val="21"/>
                <w:szCs w:val="21"/>
                <w:highlight w:val="none"/>
              </w:rPr>
              <w:t>0.1</w:t>
            </w:r>
            <w:r>
              <w:rPr>
                <w:rFonts w:hint="eastAsia" w:ascii="宋体" w:hAnsi="宋体"/>
                <w:sz w:val="21"/>
                <w:szCs w:val="21"/>
                <w:highlight w:val="none"/>
              </w:rPr>
              <w:t>条和第</w:t>
            </w:r>
            <w:r>
              <w:rPr>
                <w:rFonts w:ascii="宋体" w:hAnsi="宋体"/>
                <w:sz w:val="21"/>
                <w:szCs w:val="21"/>
                <w:highlight w:val="none"/>
              </w:rPr>
              <w:t>18.3</w:t>
            </w:r>
            <w:r>
              <w:rPr>
                <w:rFonts w:hint="eastAsia" w:ascii="宋体" w:hAnsi="宋体"/>
                <w:sz w:val="21"/>
                <w:szCs w:val="21"/>
                <w:highlight w:val="none"/>
              </w:rPr>
              <w:t>条</w:t>
            </w:r>
          </w:p>
        </w:tc>
      </w:tr>
      <w:tr w14:paraId="29965F7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1953" w:hRule="atLeast"/>
          <w:jc w:val="center"/>
        </w:trPr>
        <w:tc>
          <w:tcPr>
            <w:tcW w:w="993" w:type="dxa"/>
            <w:vAlign w:val="center"/>
          </w:tcPr>
          <w:p w14:paraId="4CBA38EC">
            <w:pPr>
              <w:adjustRightInd w:val="0"/>
              <w:snapToGrid w:val="0"/>
              <w:spacing w:line="360" w:lineRule="exact"/>
              <w:jc w:val="center"/>
              <w:rPr>
                <w:rFonts w:ascii="宋体" w:hAnsi="宋体"/>
                <w:sz w:val="21"/>
                <w:szCs w:val="21"/>
                <w:highlight w:val="none"/>
              </w:rPr>
            </w:pPr>
            <w:r>
              <w:rPr>
                <w:rFonts w:ascii="宋体" w:hAnsi="宋体"/>
                <w:sz w:val="21"/>
                <w:szCs w:val="21"/>
                <w:highlight w:val="none"/>
              </w:rPr>
              <w:t>12</w:t>
            </w:r>
          </w:p>
        </w:tc>
        <w:tc>
          <w:tcPr>
            <w:tcW w:w="2693" w:type="dxa"/>
            <w:vAlign w:val="center"/>
          </w:tcPr>
          <w:p w14:paraId="6C28EE55">
            <w:pPr>
              <w:adjustRightInd w:val="0"/>
              <w:snapToGrid w:val="0"/>
              <w:spacing w:line="360" w:lineRule="exact"/>
              <w:rPr>
                <w:rFonts w:ascii="宋体" w:hAnsi="宋体"/>
                <w:sz w:val="21"/>
                <w:szCs w:val="21"/>
                <w:highlight w:val="none"/>
              </w:rPr>
            </w:pPr>
            <w:r>
              <w:rPr>
                <w:rFonts w:hint="eastAsia" w:ascii="宋体" w:hAnsi="宋体" w:cs="宋体"/>
                <w:bCs/>
                <w:sz w:val="21"/>
                <w:szCs w:val="21"/>
                <w:highlight w:val="none"/>
              </w:rPr>
              <w:t>谈判时间及地点</w:t>
            </w:r>
          </w:p>
        </w:tc>
        <w:tc>
          <w:tcPr>
            <w:tcW w:w="3544" w:type="dxa"/>
            <w:vAlign w:val="center"/>
          </w:tcPr>
          <w:p w14:paraId="5B7E6CD5">
            <w:pPr>
              <w:tabs>
                <w:tab w:val="left" w:pos="888"/>
              </w:tabs>
              <w:spacing w:line="360" w:lineRule="exact"/>
              <w:rPr>
                <w:rFonts w:ascii="宋体" w:hAnsi="宋体"/>
                <w:sz w:val="21"/>
                <w:szCs w:val="21"/>
                <w:highlight w:val="none"/>
              </w:rPr>
            </w:pPr>
            <w:r>
              <w:rPr>
                <w:rFonts w:hint="eastAsia" w:ascii="宋体" w:hAnsi="宋体"/>
                <w:sz w:val="21"/>
                <w:szCs w:val="21"/>
                <w:highlight w:val="none"/>
              </w:rPr>
              <w:t>谈判时间：</w:t>
            </w:r>
            <w:r>
              <w:rPr>
                <w:rFonts w:hint="eastAsia" w:ascii="宋体" w:hAnsi="宋体"/>
                <w:sz w:val="21"/>
                <w:szCs w:val="21"/>
                <w:highlight w:val="none"/>
                <w:u w:val="single"/>
                <w:lang w:val="en-US" w:eastAsia="zh-CN"/>
              </w:rPr>
              <w:t>2024</w:t>
            </w:r>
            <w:r>
              <w:rPr>
                <w:rFonts w:hint="eastAsia" w:ascii="宋体" w:hAnsi="宋体"/>
                <w:sz w:val="21"/>
                <w:szCs w:val="21"/>
                <w:highlight w:val="none"/>
              </w:rPr>
              <w:t>年</w:t>
            </w:r>
            <w:r>
              <w:rPr>
                <w:rFonts w:hint="eastAsia" w:ascii="宋体" w:hAnsi="宋体"/>
                <w:sz w:val="21"/>
                <w:szCs w:val="21"/>
                <w:highlight w:val="none"/>
                <w:u w:val="single"/>
                <w:lang w:val="en-US" w:eastAsia="zh-CN"/>
              </w:rPr>
              <w:t xml:space="preserve"> 11 </w:t>
            </w:r>
            <w:r>
              <w:rPr>
                <w:rFonts w:hint="eastAsia" w:ascii="宋体" w:hAnsi="宋体"/>
                <w:sz w:val="21"/>
                <w:szCs w:val="21"/>
                <w:highlight w:val="none"/>
              </w:rPr>
              <w:t>月</w:t>
            </w:r>
            <w:r>
              <w:rPr>
                <w:rFonts w:hint="eastAsia" w:ascii="宋体" w:hAnsi="宋体"/>
                <w:sz w:val="21"/>
                <w:szCs w:val="21"/>
                <w:highlight w:val="none"/>
                <w:u w:val="single"/>
                <w:lang w:val="en-US" w:eastAsia="zh-CN"/>
              </w:rPr>
              <w:t xml:space="preserve"> 8</w:t>
            </w:r>
            <w:r>
              <w:rPr>
                <w:rFonts w:hint="eastAsia" w:ascii="宋体" w:hAnsi="宋体"/>
                <w:sz w:val="21"/>
                <w:szCs w:val="21"/>
                <w:highlight w:val="none"/>
              </w:rPr>
              <w:t>日</w:t>
            </w:r>
          </w:p>
          <w:p w14:paraId="3E9F9423">
            <w:pPr>
              <w:adjustRightInd w:val="0"/>
              <w:snapToGrid w:val="0"/>
              <w:spacing w:line="360" w:lineRule="exact"/>
              <w:rPr>
                <w:rFonts w:ascii="宋体" w:hAnsi="宋体"/>
                <w:i/>
                <w:sz w:val="21"/>
                <w:szCs w:val="21"/>
                <w:highlight w:val="none"/>
              </w:rPr>
            </w:pPr>
            <w:r>
              <w:rPr>
                <w:rFonts w:hint="eastAsia" w:ascii="宋体" w:hAnsi="宋体"/>
                <w:sz w:val="21"/>
                <w:szCs w:val="21"/>
                <w:highlight w:val="none"/>
                <w:u w:val="single"/>
                <w:lang w:val="en-US" w:eastAsia="zh-CN"/>
              </w:rPr>
              <w:t>9</w:t>
            </w:r>
            <w:r>
              <w:rPr>
                <w:rFonts w:hint="eastAsia" w:ascii="宋体" w:hAnsi="宋体"/>
                <w:sz w:val="21"/>
                <w:szCs w:val="21"/>
                <w:highlight w:val="none"/>
              </w:rPr>
              <w:t>时</w:t>
            </w:r>
            <w:r>
              <w:rPr>
                <w:rFonts w:hint="eastAsia" w:ascii="宋体" w:hAnsi="宋体"/>
                <w:sz w:val="21"/>
                <w:szCs w:val="21"/>
                <w:highlight w:val="none"/>
                <w:u w:val="single"/>
                <w:lang w:val="en-US" w:eastAsia="zh-CN"/>
              </w:rPr>
              <w:t>30</w:t>
            </w:r>
            <w:r>
              <w:rPr>
                <w:rFonts w:hint="eastAsia" w:ascii="宋体" w:hAnsi="宋体"/>
                <w:sz w:val="21"/>
                <w:szCs w:val="21"/>
                <w:highlight w:val="none"/>
              </w:rPr>
              <w:t>分</w:t>
            </w:r>
          </w:p>
          <w:p w14:paraId="24F8F5A4">
            <w:pPr>
              <w:tabs>
                <w:tab w:val="left" w:pos="888"/>
              </w:tabs>
              <w:spacing w:line="360" w:lineRule="exact"/>
              <w:rPr>
                <w:rFonts w:ascii="宋体" w:hAnsi="宋体"/>
                <w:sz w:val="21"/>
                <w:szCs w:val="21"/>
                <w:highlight w:val="none"/>
              </w:rPr>
            </w:pPr>
            <w:r>
              <w:rPr>
                <w:rFonts w:hint="eastAsia" w:ascii="宋体" w:hAnsi="宋体"/>
                <w:sz w:val="21"/>
                <w:szCs w:val="21"/>
                <w:highlight w:val="none"/>
              </w:rPr>
              <w:t>谈判地点：</w:t>
            </w:r>
            <w:r>
              <w:rPr>
                <w:rFonts w:hint="eastAsia" w:ascii="宋体" w:hAnsi="宋体"/>
                <w:sz w:val="21"/>
                <w:szCs w:val="21"/>
                <w:highlight w:val="none"/>
                <w:u w:val="single"/>
                <w:lang w:eastAsia="zh-CN"/>
              </w:rPr>
              <w:t>物资采购中心</w:t>
            </w:r>
            <w:r>
              <w:rPr>
                <w:rFonts w:hint="eastAsia" w:ascii="宋体" w:hAnsi="宋体"/>
                <w:sz w:val="21"/>
                <w:szCs w:val="21"/>
                <w:highlight w:val="none"/>
              </w:rPr>
              <w:t>。</w:t>
            </w:r>
          </w:p>
        </w:tc>
        <w:tc>
          <w:tcPr>
            <w:tcW w:w="2268" w:type="dxa"/>
            <w:vAlign w:val="center"/>
          </w:tcPr>
          <w:p w14:paraId="4305C6E6">
            <w:pPr>
              <w:adjustRightInd w:val="0"/>
              <w:snapToGrid w:val="0"/>
              <w:spacing w:line="360" w:lineRule="exact"/>
              <w:rPr>
                <w:rFonts w:ascii="宋体" w:hAnsi="宋体"/>
                <w:sz w:val="21"/>
                <w:szCs w:val="21"/>
                <w:highlight w:val="none"/>
              </w:rPr>
            </w:pPr>
            <w:r>
              <w:rPr>
                <w:rFonts w:hint="eastAsia" w:ascii="宋体" w:hAnsi="宋体" w:cs="宋体"/>
                <w:bCs/>
                <w:sz w:val="21"/>
                <w:szCs w:val="21"/>
                <w:highlight w:val="none"/>
              </w:rPr>
              <w:t>第2</w:t>
            </w:r>
            <w:r>
              <w:rPr>
                <w:rFonts w:ascii="宋体" w:hAnsi="宋体" w:cs="宋体"/>
                <w:bCs/>
                <w:sz w:val="21"/>
                <w:szCs w:val="21"/>
                <w:highlight w:val="none"/>
              </w:rPr>
              <w:t>0</w:t>
            </w:r>
            <w:r>
              <w:rPr>
                <w:rFonts w:hint="eastAsia" w:ascii="宋体" w:hAnsi="宋体" w:cs="宋体"/>
                <w:bCs/>
                <w:sz w:val="21"/>
                <w:szCs w:val="21"/>
                <w:highlight w:val="none"/>
              </w:rPr>
              <w:t>.1</w:t>
            </w:r>
            <w:r>
              <w:rPr>
                <w:rFonts w:hint="eastAsia" w:ascii="宋体" w:hAnsi="宋体"/>
                <w:sz w:val="21"/>
                <w:szCs w:val="21"/>
                <w:highlight w:val="none"/>
              </w:rPr>
              <w:t>条</w:t>
            </w:r>
          </w:p>
        </w:tc>
      </w:tr>
      <w:tr w14:paraId="583DCFB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680" w:hRule="atLeast"/>
          <w:jc w:val="center"/>
        </w:trPr>
        <w:tc>
          <w:tcPr>
            <w:tcW w:w="993" w:type="dxa"/>
            <w:vAlign w:val="center"/>
          </w:tcPr>
          <w:p w14:paraId="02755FB5">
            <w:pPr>
              <w:adjustRightInd w:val="0"/>
              <w:snapToGrid w:val="0"/>
              <w:spacing w:line="360" w:lineRule="exact"/>
              <w:jc w:val="center"/>
              <w:rPr>
                <w:rFonts w:ascii="宋体" w:hAnsi="宋体"/>
                <w:sz w:val="21"/>
                <w:szCs w:val="21"/>
                <w:highlight w:val="none"/>
              </w:rPr>
            </w:pPr>
            <w:r>
              <w:rPr>
                <w:rFonts w:ascii="宋体" w:hAnsi="宋体"/>
                <w:sz w:val="21"/>
                <w:szCs w:val="21"/>
                <w:highlight w:val="none"/>
              </w:rPr>
              <w:t>13</w:t>
            </w:r>
          </w:p>
        </w:tc>
        <w:tc>
          <w:tcPr>
            <w:tcW w:w="2693" w:type="dxa"/>
            <w:vAlign w:val="center"/>
          </w:tcPr>
          <w:p w14:paraId="1B80A623">
            <w:pPr>
              <w:adjustRightInd w:val="0"/>
              <w:snapToGrid w:val="0"/>
              <w:spacing w:line="360" w:lineRule="exact"/>
              <w:rPr>
                <w:rFonts w:ascii="宋体" w:hAnsi="宋体"/>
                <w:sz w:val="21"/>
                <w:szCs w:val="21"/>
                <w:highlight w:val="none"/>
              </w:rPr>
            </w:pPr>
            <w:r>
              <w:rPr>
                <w:rFonts w:hint="eastAsia" w:ascii="宋体" w:hAnsi="宋体"/>
                <w:sz w:val="21"/>
                <w:szCs w:val="21"/>
                <w:highlight w:val="none"/>
              </w:rPr>
              <w:t>资格性审查标准</w:t>
            </w:r>
          </w:p>
        </w:tc>
        <w:tc>
          <w:tcPr>
            <w:tcW w:w="3544" w:type="dxa"/>
            <w:vAlign w:val="center"/>
          </w:tcPr>
          <w:p w14:paraId="087BE2A8">
            <w:pPr>
              <w:adjustRightInd w:val="0"/>
              <w:snapToGrid w:val="0"/>
              <w:spacing w:line="360" w:lineRule="exact"/>
              <w:rPr>
                <w:rFonts w:ascii="宋体" w:hAnsi="宋体"/>
                <w:sz w:val="21"/>
                <w:szCs w:val="21"/>
                <w:highlight w:val="none"/>
              </w:rPr>
            </w:pPr>
            <w:r>
              <w:rPr>
                <w:rFonts w:hint="eastAsia" w:ascii="宋体" w:hAnsi="宋体"/>
                <w:sz w:val="21"/>
                <w:szCs w:val="21"/>
                <w:highlight w:val="none"/>
              </w:rPr>
              <w:t>本章附表</w:t>
            </w:r>
            <w:r>
              <w:rPr>
                <w:rFonts w:ascii="宋体" w:hAnsi="宋体"/>
                <w:sz w:val="21"/>
                <w:szCs w:val="21"/>
                <w:highlight w:val="none"/>
              </w:rPr>
              <w:t>1</w:t>
            </w:r>
          </w:p>
        </w:tc>
        <w:tc>
          <w:tcPr>
            <w:tcW w:w="2268" w:type="dxa"/>
            <w:vAlign w:val="center"/>
          </w:tcPr>
          <w:p w14:paraId="00B16A19">
            <w:pPr>
              <w:adjustRightInd w:val="0"/>
              <w:snapToGrid w:val="0"/>
              <w:spacing w:line="360" w:lineRule="exact"/>
              <w:rPr>
                <w:rFonts w:ascii="宋体" w:hAnsi="宋体"/>
                <w:sz w:val="21"/>
                <w:szCs w:val="21"/>
                <w:highlight w:val="none"/>
              </w:rPr>
            </w:pPr>
            <w:r>
              <w:rPr>
                <w:rFonts w:hint="eastAsia" w:ascii="宋体" w:hAnsi="宋体"/>
                <w:sz w:val="21"/>
                <w:szCs w:val="21"/>
                <w:highlight w:val="none"/>
              </w:rPr>
              <w:t>第</w:t>
            </w:r>
            <w:r>
              <w:rPr>
                <w:rFonts w:ascii="宋体" w:hAnsi="宋体"/>
                <w:sz w:val="21"/>
                <w:szCs w:val="21"/>
                <w:highlight w:val="none"/>
              </w:rPr>
              <w:t>23.1</w:t>
            </w:r>
            <w:r>
              <w:rPr>
                <w:rFonts w:hint="eastAsia" w:ascii="宋体" w:hAnsi="宋体"/>
                <w:sz w:val="21"/>
                <w:szCs w:val="21"/>
                <w:highlight w:val="none"/>
              </w:rPr>
              <w:t>条</w:t>
            </w:r>
          </w:p>
        </w:tc>
      </w:tr>
      <w:tr w14:paraId="4BF9FE4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680" w:hRule="atLeast"/>
          <w:jc w:val="center"/>
        </w:trPr>
        <w:tc>
          <w:tcPr>
            <w:tcW w:w="993" w:type="dxa"/>
            <w:vAlign w:val="center"/>
          </w:tcPr>
          <w:p w14:paraId="5B963ADE">
            <w:pPr>
              <w:adjustRightInd w:val="0"/>
              <w:snapToGrid w:val="0"/>
              <w:spacing w:line="360" w:lineRule="exact"/>
              <w:jc w:val="center"/>
              <w:rPr>
                <w:rFonts w:ascii="宋体" w:hAnsi="宋体"/>
                <w:sz w:val="21"/>
                <w:szCs w:val="21"/>
                <w:highlight w:val="none"/>
              </w:rPr>
            </w:pPr>
            <w:r>
              <w:rPr>
                <w:rFonts w:ascii="宋体" w:hAnsi="宋体"/>
                <w:sz w:val="21"/>
                <w:szCs w:val="21"/>
                <w:highlight w:val="none"/>
              </w:rPr>
              <w:t>14</w:t>
            </w:r>
          </w:p>
        </w:tc>
        <w:tc>
          <w:tcPr>
            <w:tcW w:w="2693" w:type="dxa"/>
            <w:vAlign w:val="center"/>
          </w:tcPr>
          <w:p w14:paraId="18714B35">
            <w:pPr>
              <w:adjustRightInd w:val="0"/>
              <w:snapToGrid w:val="0"/>
              <w:spacing w:line="360" w:lineRule="exact"/>
              <w:rPr>
                <w:rFonts w:ascii="宋体" w:hAnsi="宋体"/>
                <w:sz w:val="21"/>
                <w:szCs w:val="21"/>
                <w:highlight w:val="none"/>
              </w:rPr>
            </w:pPr>
            <w:r>
              <w:rPr>
                <w:rFonts w:hint="eastAsia" w:ascii="宋体" w:hAnsi="宋体"/>
                <w:sz w:val="21"/>
                <w:szCs w:val="21"/>
                <w:highlight w:val="none"/>
              </w:rPr>
              <w:t>符合性审查标准</w:t>
            </w:r>
          </w:p>
        </w:tc>
        <w:tc>
          <w:tcPr>
            <w:tcW w:w="3544" w:type="dxa"/>
            <w:vAlign w:val="center"/>
          </w:tcPr>
          <w:p w14:paraId="7740EB0E">
            <w:pPr>
              <w:adjustRightInd w:val="0"/>
              <w:snapToGrid w:val="0"/>
              <w:spacing w:line="360" w:lineRule="exact"/>
              <w:rPr>
                <w:rFonts w:ascii="宋体" w:hAnsi="宋体"/>
                <w:sz w:val="21"/>
                <w:szCs w:val="21"/>
                <w:highlight w:val="none"/>
              </w:rPr>
            </w:pPr>
            <w:r>
              <w:rPr>
                <w:rFonts w:hint="eastAsia" w:ascii="宋体" w:hAnsi="宋体"/>
                <w:sz w:val="21"/>
                <w:szCs w:val="21"/>
                <w:highlight w:val="none"/>
              </w:rPr>
              <w:t>本章附表</w:t>
            </w:r>
            <w:r>
              <w:rPr>
                <w:rFonts w:ascii="宋体" w:hAnsi="宋体"/>
                <w:sz w:val="21"/>
                <w:szCs w:val="21"/>
                <w:highlight w:val="none"/>
              </w:rPr>
              <w:t>2</w:t>
            </w:r>
          </w:p>
        </w:tc>
        <w:tc>
          <w:tcPr>
            <w:tcW w:w="2268" w:type="dxa"/>
            <w:vAlign w:val="center"/>
          </w:tcPr>
          <w:p w14:paraId="6B92D5E6">
            <w:pPr>
              <w:adjustRightInd w:val="0"/>
              <w:snapToGrid w:val="0"/>
              <w:spacing w:line="360" w:lineRule="exact"/>
              <w:rPr>
                <w:rFonts w:ascii="宋体" w:hAnsi="宋体"/>
                <w:sz w:val="21"/>
                <w:szCs w:val="21"/>
                <w:highlight w:val="none"/>
              </w:rPr>
            </w:pPr>
            <w:r>
              <w:rPr>
                <w:rFonts w:hint="eastAsia" w:ascii="宋体" w:hAnsi="宋体"/>
                <w:sz w:val="21"/>
                <w:szCs w:val="21"/>
                <w:highlight w:val="none"/>
              </w:rPr>
              <w:t>第</w:t>
            </w:r>
            <w:r>
              <w:rPr>
                <w:rFonts w:ascii="宋体" w:hAnsi="宋体"/>
                <w:sz w:val="21"/>
                <w:szCs w:val="21"/>
                <w:highlight w:val="none"/>
              </w:rPr>
              <w:t>23.2</w:t>
            </w:r>
            <w:r>
              <w:rPr>
                <w:rFonts w:hint="eastAsia" w:ascii="宋体" w:hAnsi="宋体"/>
                <w:sz w:val="21"/>
                <w:szCs w:val="21"/>
                <w:highlight w:val="none"/>
              </w:rPr>
              <w:t>条</w:t>
            </w:r>
          </w:p>
        </w:tc>
      </w:tr>
      <w:tr w14:paraId="578695A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680" w:hRule="atLeast"/>
          <w:jc w:val="center"/>
        </w:trPr>
        <w:tc>
          <w:tcPr>
            <w:tcW w:w="993" w:type="dxa"/>
            <w:vAlign w:val="center"/>
          </w:tcPr>
          <w:p w14:paraId="1D545073">
            <w:pPr>
              <w:adjustRightInd w:val="0"/>
              <w:snapToGrid w:val="0"/>
              <w:spacing w:line="360" w:lineRule="exact"/>
              <w:jc w:val="center"/>
              <w:rPr>
                <w:rFonts w:ascii="宋体" w:hAnsi="宋体"/>
                <w:sz w:val="21"/>
                <w:szCs w:val="21"/>
                <w:highlight w:val="none"/>
              </w:rPr>
            </w:pPr>
            <w:r>
              <w:rPr>
                <w:rFonts w:ascii="宋体" w:hAnsi="宋体"/>
                <w:sz w:val="21"/>
                <w:szCs w:val="21"/>
                <w:highlight w:val="none"/>
              </w:rPr>
              <w:t>15</w:t>
            </w:r>
          </w:p>
        </w:tc>
        <w:tc>
          <w:tcPr>
            <w:tcW w:w="2693" w:type="dxa"/>
            <w:vAlign w:val="center"/>
          </w:tcPr>
          <w:p w14:paraId="70A2F2D5">
            <w:pPr>
              <w:adjustRightInd w:val="0"/>
              <w:snapToGrid w:val="0"/>
              <w:spacing w:line="360" w:lineRule="exact"/>
              <w:rPr>
                <w:rFonts w:ascii="宋体" w:hAnsi="宋体"/>
                <w:sz w:val="21"/>
                <w:szCs w:val="21"/>
                <w:highlight w:val="none"/>
              </w:rPr>
            </w:pPr>
            <w:r>
              <w:rPr>
                <w:rFonts w:hint="eastAsia" w:ascii="宋体" w:hAnsi="宋体"/>
                <w:sz w:val="21"/>
                <w:szCs w:val="21"/>
                <w:highlight w:val="none"/>
              </w:rPr>
              <w:t>商务评审标准</w:t>
            </w:r>
          </w:p>
        </w:tc>
        <w:tc>
          <w:tcPr>
            <w:tcW w:w="3544" w:type="dxa"/>
            <w:vAlign w:val="center"/>
          </w:tcPr>
          <w:p w14:paraId="3327AE9B">
            <w:pPr>
              <w:adjustRightInd w:val="0"/>
              <w:snapToGrid w:val="0"/>
              <w:spacing w:line="360" w:lineRule="exact"/>
              <w:rPr>
                <w:rFonts w:ascii="宋体" w:hAnsi="宋体"/>
                <w:sz w:val="21"/>
                <w:szCs w:val="21"/>
                <w:highlight w:val="none"/>
              </w:rPr>
            </w:pPr>
            <w:r>
              <w:rPr>
                <w:rFonts w:hint="eastAsia" w:ascii="宋体" w:hAnsi="宋体"/>
                <w:sz w:val="21"/>
                <w:szCs w:val="21"/>
                <w:highlight w:val="none"/>
              </w:rPr>
              <w:t>本章附表</w:t>
            </w:r>
            <w:r>
              <w:rPr>
                <w:rFonts w:ascii="宋体" w:hAnsi="宋体"/>
                <w:sz w:val="21"/>
                <w:szCs w:val="21"/>
                <w:highlight w:val="none"/>
              </w:rPr>
              <w:t>3</w:t>
            </w:r>
          </w:p>
        </w:tc>
        <w:tc>
          <w:tcPr>
            <w:tcW w:w="2268" w:type="dxa"/>
            <w:vAlign w:val="center"/>
          </w:tcPr>
          <w:p w14:paraId="0CC47ECF">
            <w:pPr>
              <w:adjustRightInd w:val="0"/>
              <w:snapToGrid w:val="0"/>
              <w:spacing w:line="360" w:lineRule="exact"/>
              <w:rPr>
                <w:rFonts w:ascii="宋体" w:hAnsi="宋体"/>
                <w:sz w:val="21"/>
                <w:szCs w:val="21"/>
                <w:highlight w:val="none"/>
              </w:rPr>
            </w:pPr>
            <w:r>
              <w:rPr>
                <w:rFonts w:hint="eastAsia" w:ascii="宋体" w:hAnsi="宋体"/>
                <w:sz w:val="21"/>
                <w:szCs w:val="21"/>
                <w:highlight w:val="none"/>
              </w:rPr>
              <w:t>第</w:t>
            </w:r>
            <w:r>
              <w:rPr>
                <w:rFonts w:ascii="宋体" w:hAnsi="宋体"/>
                <w:sz w:val="21"/>
                <w:szCs w:val="21"/>
                <w:highlight w:val="none"/>
              </w:rPr>
              <w:t>23.3</w:t>
            </w:r>
            <w:r>
              <w:rPr>
                <w:rFonts w:hint="eastAsia" w:ascii="宋体" w:hAnsi="宋体"/>
                <w:sz w:val="21"/>
                <w:szCs w:val="21"/>
                <w:highlight w:val="none"/>
              </w:rPr>
              <w:t>条第</w:t>
            </w:r>
            <w:r>
              <w:rPr>
                <w:rFonts w:ascii="宋体" w:hAnsi="宋体"/>
                <w:sz w:val="21"/>
                <w:szCs w:val="21"/>
                <w:highlight w:val="none"/>
              </w:rPr>
              <w:t>（1）项</w:t>
            </w:r>
          </w:p>
        </w:tc>
      </w:tr>
      <w:tr w14:paraId="5327078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680" w:hRule="atLeast"/>
          <w:jc w:val="center"/>
        </w:trPr>
        <w:tc>
          <w:tcPr>
            <w:tcW w:w="993" w:type="dxa"/>
            <w:vAlign w:val="center"/>
          </w:tcPr>
          <w:p w14:paraId="534641B4">
            <w:pPr>
              <w:adjustRightInd w:val="0"/>
              <w:snapToGrid w:val="0"/>
              <w:spacing w:line="360" w:lineRule="exact"/>
              <w:jc w:val="center"/>
              <w:rPr>
                <w:rFonts w:ascii="宋体" w:hAnsi="宋体"/>
                <w:sz w:val="21"/>
                <w:szCs w:val="21"/>
                <w:highlight w:val="none"/>
              </w:rPr>
            </w:pPr>
            <w:r>
              <w:rPr>
                <w:rFonts w:ascii="宋体" w:hAnsi="宋体"/>
                <w:sz w:val="21"/>
                <w:szCs w:val="21"/>
                <w:highlight w:val="none"/>
              </w:rPr>
              <w:t>16</w:t>
            </w:r>
          </w:p>
        </w:tc>
        <w:tc>
          <w:tcPr>
            <w:tcW w:w="2693" w:type="dxa"/>
            <w:vAlign w:val="center"/>
          </w:tcPr>
          <w:p w14:paraId="36B7A9FB">
            <w:pPr>
              <w:adjustRightInd w:val="0"/>
              <w:snapToGrid w:val="0"/>
              <w:spacing w:line="360" w:lineRule="exact"/>
              <w:rPr>
                <w:rFonts w:ascii="宋体" w:hAnsi="宋体"/>
                <w:sz w:val="21"/>
                <w:szCs w:val="21"/>
                <w:highlight w:val="none"/>
              </w:rPr>
            </w:pPr>
            <w:r>
              <w:rPr>
                <w:rFonts w:hint="eastAsia" w:ascii="宋体" w:hAnsi="宋体"/>
                <w:sz w:val="21"/>
                <w:szCs w:val="21"/>
                <w:highlight w:val="none"/>
              </w:rPr>
              <w:t>技术评审标准</w:t>
            </w:r>
          </w:p>
        </w:tc>
        <w:tc>
          <w:tcPr>
            <w:tcW w:w="3544" w:type="dxa"/>
            <w:vAlign w:val="center"/>
          </w:tcPr>
          <w:p w14:paraId="294094A1">
            <w:pPr>
              <w:adjustRightInd w:val="0"/>
              <w:snapToGrid w:val="0"/>
              <w:spacing w:line="360" w:lineRule="exact"/>
              <w:rPr>
                <w:rFonts w:ascii="宋体" w:hAnsi="宋体"/>
                <w:sz w:val="21"/>
                <w:szCs w:val="21"/>
                <w:highlight w:val="none"/>
              </w:rPr>
            </w:pPr>
            <w:r>
              <w:rPr>
                <w:rFonts w:hint="eastAsia" w:ascii="宋体" w:hAnsi="宋体"/>
                <w:sz w:val="21"/>
                <w:szCs w:val="21"/>
                <w:highlight w:val="none"/>
              </w:rPr>
              <w:t>本章附表</w:t>
            </w:r>
            <w:r>
              <w:rPr>
                <w:rFonts w:ascii="宋体" w:hAnsi="宋体"/>
                <w:sz w:val="21"/>
                <w:szCs w:val="21"/>
                <w:highlight w:val="none"/>
              </w:rPr>
              <w:t>4</w:t>
            </w:r>
          </w:p>
        </w:tc>
        <w:tc>
          <w:tcPr>
            <w:tcW w:w="2268" w:type="dxa"/>
            <w:vAlign w:val="center"/>
          </w:tcPr>
          <w:p w14:paraId="1DD4DEBC">
            <w:pPr>
              <w:adjustRightInd w:val="0"/>
              <w:snapToGrid w:val="0"/>
              <w:spacing w:line="360" w:lineRule="exact"/>
              <w:rPr>
                <w:rFonts w:ascii="宋体" w:hAnsi="宋体"/>
                <w:sz w:val="21"/>
                <w:szCs w:val="21"/>
                <w:highlight w:val="none"/>
              </w:rPr>
            </w:pPr>
            <w:r>
              <w:rPr>
                <w:rFonts w:hint="eastAsia" w:ascii="宋体" w:hAnsi="宋体"/>
                <w:sz w:val="21"/>
                <w:szCs w:val="21"/>
                <w:highlight w:val="none"/>
              </w:rPr>
              <w:t>第</w:t>
            </w:r>
            <w:r>
              <w:rPr>
                <w:rFonts w:ascii="宋体" w:hAnsi="宋体"/>
                <w:sz w:val="21"/>
                <w:szCs w:val="21"/>
                <w:highlight w:val="none"/>
              </w:rPr>
              <w:t>23.3</w:t>
            </w:r>
            <w:r>
              <w:rPr>
                <w:rFonts w:hint="eastAsia" w:ascii="宋体" w:hAnsi="宋体"/>
                <w:sz w:val="21"/>
                <w:szCs w:val="21"/>
                <w:highlight w:val="none"/>
              </w:rPr>
              <w:t>条第</w:t>
            </w:r>
            <w:r>
              <w:rPr>
                <w:rFonts w:ascii="宋体" w:hAnsi="宋体"/>
                <w:sz w:val="21"/>
                <w:szCs w:val="21"/>
                <w:highlight w:val="none"/>
              </w:rPr>
              <w:t>（2）项</w:t>
            </w:r>
          </w:p>
        </w:tc>
      </w:tr>
      <w:tr w14:paraId="3055152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680" w:hRule="atLeast"/>
          <w:jc w:val="center"/>
        </w:trPr>
        <w:tc>
          <w:tcPr>
            <w:tcW w:w="993" w:type="dxa"/>
            <w:vAlign w:val="center"/>
          </w:tcPr>
          <w:p w14:paraId="1B2CB850">
            <w:pPr>
              <w:adjustRightInd w:val="0"/>
              <w:snapToGrid w:val="0"/>
              <w:spacing w:line="360" w:lineRule="exact"/>
              <w:jc w:val="center"/>
              <w:rPr>
                <w:rFonts w:ascii="宋体" w:hAnsi="宋体"/>
                <w:sz w:val="21"/>
                <w:szCs w:val="21"/>
                <w:highlight w:val="none"/>
              </w:rPr>
            </w:pPr>
            <w:r>
              <w:rPr>
                <w:rFonts w:ascii="宋体" w:hAnsi="宋体"/>
                <w:sz w:val="21"/>
                <w:szCs w:val="21"/>
                <w:highlight w:val="none"/>
              </w:rPr>
              <w:t>17</w:t>
            </w:r>
          </w:p>
        </w:tc>
        <w:tc>
          <w:tcPr>
            <w:tcW w:w="2693" w:type="dxa"/>
            <w:vAlign w:val="center"/>
          </w:tcPr>
          <w:p w14:paraId="6C4441E7">
            <w:pPr>
              <w:adjustRightInd w:val="0"/>
              <w:snapToGrid w:val="0"/>
              <w:spacing w:line="360" w:lineRule="exact"/>
              <w:rPr>
                <w:rFonts w:ascii="宋体" w:hAnsi="宋体"/>
                <w:sz w:val="21"/>
                <w:szCs w:val="21"/>
                <w:highlight w:val="none"/>
              </w:rPr>
            </w:pPr>
            <w:r>
              <w:rPr>
                <w:rFonts w:hint="eastAsia" w:ascii="宋体" w:hAnsi="宋体"/>
                <w:sz w:val="21"/>
                <w:szCs w:val="21"/>
                <w:highlight w:val="none"/>
              </w:rPr>
              <w:t>价格评审标准</w:t>
            </w:r>
          </w:p>
        </w:tc>
        <w:tc>
          <w:tcPr>
            <w:tcW w:w="3544" w:type="dxa"/>
            <w:vAlign w:val="center"/>
          </w:tcPr>
          <w:p w14:paraId="1710E970">
            <w:pPr>
              <w:adjustRightInd w:val="0"/>
              <w:snapToGrid w:val="0"/>
              <w:spacing w:line="360" w:lineRule="exact"/>
              <w:rPr>
                <w:rFonts w:ascii="宋体" w:hAnsi="宋体"/>
                <w:sz w:val="21"/>
                <w:szCs w:val="21"/>
                <w:highlight w:val="none"/>
              </w:rPr>
            </w:pPr>
            <w:r>
              <w:rPr>
                <w:rFonts w:hint="eastAsia" w:ascii="宋体" w:hAnsi="宋体"/>
                <w:sz w:val="21"/>
                <w:szCs w:val="21"/>
                <w:highlight w:val="none"/>
              </w:rPr>
              <w:t>本章附表</w:t>
            </w:r>
            <w:r>
              <w:rPr>
                <w:rFonts w:ascii="宋体" w:hAnsi="宋体"/>
                <w:sz w:val="21"/>
                <w:szCs w:val="21"/>
                <w:highlight w:val="none"/>
              </w:rPr>
              <w:t>5</w:t>
            </w:r>
          </w:p>
        </w:tc>
        <w:tc>
          <w:tcPr>
            <w:tcW w:w="2268" w:type="dxa"/>
            <w:vAlign w:val="center"/>
          </w:tcPr>
          <w:p w14:paraId="29BD7444">
            <w:pPr>
              <w:adjustRightInd w:val="0"/>
              <w:snapToGrid w:val="0"/>
              <w:spacing w:line="360" w:lineRule="exact"/>
              <w:rPr>
                <w:rFonts w:ascii="宋体" w:hAnsi="宋体"/>
                <w:sz w:val="21"/>
                <w:szCs w:val="21"/>
                <w:highlight w:val="none"/>
              </w:rPr>
            </w:pPr>
            <w:r>
              <w:rPr>
                <w:rFonts w:hint="eastAsia" w:ascii="宋体" w:hAnsi="宋体"/>
                <w:sz w:val="21"/>
                <w:szCs w:val="21"/>
                <w:highlight w:val="none"/>
              </w:rPr>
              <w:t>第</w:t>
            </w:r>
            <w:r>
              <w:rPr>
                <w:rFonts w:ascii="宋体" w:hAnsi="宋体"/>
                <w:sz w:val="21"/>
                <w:szCs w:val="21"/>
                <w:highlight w:val="none"/>
              </w:rPr>
              <w:t>23.3</w:t>
            </w:r>
            <w:r>
              <w:rPr>
                <w:rFonts w:hint="eastAsia" w:ascii="宋体" w:hAnsi="宋体"/>
                <w:sz w:val="21"/>
                <w:szCs w:val="21"/>
                <w:highlight w:val="none"/>
              </w:rPr>
              <w:t>条第</w:t>
            </w:r>
            <w:r>
              <w:rPr>
                <w:rFonts w:ascii="宋体" w:hAnsi="宋体"/>
                <w:sz w:val="21"/>
                <w:szCs w:val="21"/>
                <w:highlight w:val="none"/>
              </w:rPr>
              <w:t>（3）项</w:t>
            </w:r>
          </w:p>
        </w:tc>
      </w:tr>
      <w:tr w14:paraId="301944F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993" w:type="dxa"/>
            <w:vAlign w:val="center"/>
          </w:tcPr>
          <w:p w14:paraId="58679AD6">
            <w:pPr>
              <w:adjustRightInd w:val="0"/>
              <w:snapToGrid w:val="0"/>
              <w:spacing w:line="360" w:lineRule="exact"/>
              <w:jc w:val="center"/>
              <w:rPr>
                <w:rFonts w:ascii="宋体" w:hAnsi="宋体"/>
                <w:sz w:val="21"/>
                <w:szCs w:val="21"/>
                <w:highlight w:val="none"/>
              </w:rPr>
            </w:pPr>
            <w:r>
              <w:rPr>
                <w:rFonts w:ascii="宋体" w:hAnsi="宋体"/>
                <w:sz w:val="21"/>
                <w:szCs w:val="21"/>
                <w:highlight w:val="none"/>
              </w:rPr>
              <w:t>18</w:t>
            </w:r>
          </w:p>
        </w:tc>
        <w:tc>
          <w:tcPr>
            <w:tcW w:w="2693" w:type="dxa"/>
            <w:vAlign w:val="center"/>
          </w:tcPr>
          <w:p w14:paraId="43681D6D">
            <w:pPr>
              <w:adjustRightInd w:val="0"/>
              <w:snapToGrid w:val="0"/>
              <w:spacing w:line="360" w:lineRule="exact"/>
              <w:rPr>
                <w:rFonts w:ascii="宋体" w:hAnsi="宋体"/>
                <w:sz w:val="21"/>
                <w:szCs w:val="21"/>
                <w:highlight w:val="none"/>
              </w:rPr>
            </w:pPr>
            <w:r>
              <w:rPr>
                <w:rFonts w:hint="eastAsia" w:ascii="宋体" w:hAnsi="宋体"/>
                <w:sz w:val="21"/>
                <w:szCs w:val="21"/>
                <w:highlight w:val="none"/>
              </w:rPr>
              <w:t>非实质性负偏离的项数</w:t>
            </w:r>
          </w:p>
        </w:tc>
        <w:tc>
          <w:tcPr>
            <w:tcW w:w="3544" w:type="dxa"/>
            <w:vAlign w:val="center"/>
          </w:tcPr>
          <w:p w14:paraId="33AD28B9">
            <w:pPr>
              <w:adjustRightInd w:val="0"/>
              <w:snapToGrid w:val="0"/>
              <w:spacing w:line="360" w:lineRule="exact"/>
              <w:rPr>
                <w:rFonts w:ascii="宋体" w:hAnsi="宋体"/>
                <w:sz w:val="21"/>
                <w:szCs w:val="21"/>
                <w:highlight w:val="none"/>
              </w:rPr>
            </w:pPr>
            <w:r>
              <w:rPr>
                <w:rFonts w:hint="eastAsia" w:ascii="宋体" w:hAnsi="宋体"/>
                <w:sz w:val="21"/>
                <w:szCs w:val="21"/>
                <w:highlight w:val="none"/>
              </w:rPr>
              <w:t>□</w:t>
            </w:r>
            <w:r>
              <w:rPr>
                <w:rFonts w:hint="eastAsia" w:ascii="宋体" w:hAnsi="宋体" w:cs="宋体"/>
                <w:bCs/>
                <w:sz w:val="21"/>
                <w:szCs w:val="21"/>
                <w:highlight w:val="none"/>
              </w:rPr>
              <w:t>报价</w:t>
            </w:r>
            <w:r>
              <w:rPr>
                <w:rFonts w:hint="eastAsia" w:ascii="宋体" w:hAnsi="宋体"/>
                <w:sz w:val="21"/>
                <w:szCs w:val="21"/>
                <w:highlight w:val="none"/>
              </w:rPr>
              <w:t>文件中非实质性商务条款负偏离</w:t>
            </w:r>
            <w:r>
              <w:rPr>
                <w:rFonts w:ascii="宋体" w:hAnsi="宋体"/>
                <w:sz w:val="21"/>
                <w:szCs w:val="21"/>
                <w:highlight w:val="none"/>
                <w:u w:val="single"/>
              </w:rPr>
              <w:t xml:space="preserve">   </w:t>
            </w:r>
            <w:r>
              <w:rPr>
                <w:rFonts w:hint="eastAsia" w:ascii="宋体" w:hAnsi="宋体"/>
                <w:sz w:val="21"/>
                <w:szCs w:val="21"/>
                <w:highlight w:val="none"/>
              </w:rPr>
              <w:t>项以上，视为无效报价；</w:t>
            </w:r>
          </w:p>
          <w:p w14:paraId="5859B3F4">
            <w:pPr>
              <w:adjustRightInd w:val="0"/>
              <w:snapToGrid w:val="0"/>
              <w:spacing w:line="360" w:lineRule="exact"/>
              <w:rPr>
                <w:rFonts w:ascii="宋体" w:hAnsi="宋体"/>
                <w:sz w:val="21"/>
                <w:szCs w:val="21"/>
                <w:highlight w:val="none"/>
              </w:rPr>
            </w:pPr>
            <w:r>
              <w:rPr>
                <w:rFonts w:hint="eastAsia" w:ascii="宋体" w:hAnsi="宋体"/>
                <w:sz w:val="21"/>
                <w:szCs w:val="21"/>
                <w:highlight w:val="none"/>
                <w:lang w:eastAsia="zh-CN"/>
              </w:rPr>
              <w:t>□</w:t>
            </w:r>
            <w:r>
              <w:rPr>
                <w:rFonts w:hint="eastAsia" w:ascii="宋体" w:hAnsi="宋体" w:cs="宋体"/>
                <w:bCs/>
                <w:sz w:val="21"/>
                <w:szCs w:val="21"/>
                <w:highlight w:val="none"/>
              </w:rPr>
              <w:t>报价</w:t>
            </w:r>
            <w:r>
              <w:rPr>
                <w:rFonts w:hint="eastAsia" w:ascii="宋体" w:hAnsi="宋体"/>
                <w:sz w:val="21"/>
                <w:szCs w:val="21"/>
                <w:highlight w:val="none"/>
              </w:rPr>
              <w:t>文件中非实质性技术指标参数负偏离</w:t>
            </w:r>
            <w:r>
              <w:rPr>
                <w:rFonts w:hint="eastAsia" w:ascii="宋体" w:hAnsi="宋体"/>
                <w:sz w:val="21"/>
                <w:szCs w:val="21"/>
                <w:highlight w:val="none"/>
                <w:u w:val="single"/>
                <w:lang w:val="en-US" w:eastAsia="zh-CN"/>
              </w:rPr>
              <w:t xml:space="preserve">   </w:t>
            </w:r>
            <w:r>
              <w:rPr>
                <w:rFonts w:hint="eastAsia" w:ascii="宋体" w:hAnsi="宋体"/>
                <w:sz w:val="21"/>
                <w:szCs w:val="21"/>
                <w:highlight w:val="none"/>
              </w:rPr>
              <w:t>项以上，视为无效报价；</w:t>
            </w:r>
          </w:p>
          <w:p w14:paraId="6A4960BE">
            <w:pPr>
              <w:adjustRightInd w:val="0"/>
              <w:snapToGrid w:val="0"/>
              <w:spacing w:line="360" w:lineRule="exact"/>
              <w:rPr>
                <w:rFonts w:ascii="宋体" w:hAnsi="宋体"/>
                <w:sz w:val="21"/>
                <w:szCs w:val="21"/>
                <w:highlight w:val="none"/>
              </w:rPr>
            </w:pPr>
            <w:r>
              <w:rPr>
                <w:rFonts w:hint="eastAsia" w:ascii="宋体" w:hAnsi="宋体"/>
                <w:sz w:val="21"/>
                <w:szCs w:val="21"/>
                <w:highlight w:val="none"/>
                <w:lang w:eastAsia="zh-CN"/>
              </w:rPr>
              <w:t>□</w:t>
            </w:r>
            <w:r>
              <w:rPr>
                <w:rFonts w:ascii="宋体" w:hAnsi="宋体"/>
                <w:sz w:val="21"/>
                <w:szCs w:val="21"/>
                <w:highlight w:val="none"/>
                <w:u w:val="single"/>
              </w:rPr>
              <w:t xml:space="preserve">  </w:t>
            </w:r>
            <w:r>
              <w:rPr>
                <w:rFonts w:hint="eastAsia" w:ascii="宋体" w:hAnsi="宋体"/>
                <w:sz w:val="21"/>
                <w:szCs w:val="21"/>
                <w:highlight w:val="none"/>
                <w:u w:val="single"/>
              </w:rPr>
              <w:t>（其他要求）</w:t>
            </w:r>
            <w:r>
              <w:rPr>
                <w:rFonts w:ascii="宋体" w:hAnsi="宋体"/>
                <w:sz w:val="21"/>
                <w:szCs w:val="21"/>
                <w:highlight w:val="none"/>
                <w:u w:val="single"/>
              </w:rPr>
              <w:t xml:space="preserve">  </w:t>
            </w:r>
            <w:r>
              <w:rPr>
                <w:rFonts w:ascii="宋体" w:hAnsi="宋体"/>
                <w:sz w:val="21"/>
                <w:szCs w:val="21"/>
                <w:highlight w:val="none"/>
              </w:rPr>
              <w:t xml:space="preserve">  </w:t>
            </w:r>
          </w:p>
        </w:tc>
        <w:tc>
          <w:tcPr>
            <w:tcW w:w="2268" w:type="dxa"/>
            <w:vAlign w:val="center"/>
          </w:tcPr>
          <w:p w14:paraId="7109BCA0">
            <w:pPr>
              <w:adjustRightInd w:val="0"/>
              <w:snapToGrid w:val="0"/>
              <w:spacing w:line="360" w:lineRule="exact"/>
              <w:rPr>
                <w:rFonts w:ascii="宋体" w:hAnsi="宋体"/>
                <w:sz w:val="21"/>
                <w:szCs w:val="21"/>
                <w:highlight w:val="none"/>
              </w:rPr>
            </w:pPr>
            <w:r>
              <w:rPr>
                <w:rFonts w:hint="eastAsia" w:ascii="宋体" w:hAnsi="宋体"/>
                <w:sz w:val="21"/>
                <w:szCs w:val="21"/>
                <w:highlight w:val="none"/>
              </w:rPr>
              <w:t>第</w:t>
            </w:r>
            <w:r>
              <w:rPr>
                <w:rFonts w:ascii="宋体" w:hAnsi="宋体"/>
                <w:sz w:val="21"/>
                <w:szCs w:val="21"/>
                <w:highlight w:val="none"/>
              </w:rPr>
              <w:t>28.1</w:t>
            </w:r>
            <w:r>
              <w:rPr>
                <w:rFonts w:hint="eastAsia" w:ascii="宋体" w:hAnsi="宋体"/>
                <w:sz w:val="21"/>
                <w:szCs w:val="21"/>
                <w:highlight w:val="none"/>
              </w:rPr>
              <w:t>条第</w:t>
            </w:r>
            <w:r>
              <w:rPr>
                <w:rFonts w:ascii="宋体" w:hAnsi="宋体"/>
                <w:sz w:val="21"/>
                <w:szCs w:val="21"/>
                <w:highlight w:val="none"/>
              </w:rPr>
              <w:t>（2）项</w:t>
            </w:r>
          </w:p>
        </w:tc>
      </w:tr>
      <w:tr w14:paraId="0B262B1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20" w:hRule="atLeast"/>
          <w:jc w:val="center"/>
        </w:trPr>
        <w:tc>
          <w:tcPr>
            <w:tcW w:w="993" w:type="dxa"/>
            <w:vAlign w:val="center"/>
          </w:tcPr>
          <w:p w14:paraId="5CD0F705">
            <w:pPr>
              <w:adjustRightInd w:val="0"/>
              <w:snapToGrid w:val="0"/>
              <w:spacing w:line="360" w:lineRule="exact"/>
              <w:jc w:val="center"/>
              <w:rPr>
                <w:rFonts w:ascii="宋体" w:hAnsi="宋体"/>
                <w:sz w:val="21"/>
                <w:szCs w:val="21"/>
                <w:highlight w:val="none"/>
              </w:rPr>
            </w:pPr>
            <w:r>
              <w:rPr>
                <w:rFonts w:ascii="宋体" w:hAnsi="宋体"/>
                <w:sz w:val="21"/>
                <w:szCs w:val="21"/>
                <w:highlight w:val="none"/>
              </w:rPr>
              <w:t>19</w:t>
            </w:r>
          </w:p>
        </w:tc>
        <w:tc>
          <w:tcPr>
            <w:tcW w:w="2693" w:type="dxa"/>
            <w:vAlign w:val="center"/>
          </w:tcPr>
          <w:p w14:paraId="0E7CFE07">
            <w:pPr>
              <w:adjustRightInd w:val="0"/>
              <w:snapToGrid w:val="0"/>
              <w:spacing w:line="360" w:lineRule="exact"/>
              <w:rPr>
                <w:rFonts w:ascii="宋体" w:hAnsi="宋体"/>
                <w:sz w:val="21"/>
                <w:szCs w:val="21"/>
                <w:highlight w:val="none"/>
              </w:rPr>
            </w:pPr>
            <w:r>
              <w:rPr>
                <w:rFonts w:hint="eastAsia" w:ascii="宋体" w:hAnsi="宋体"/>
                <w:sz w:val="21"/>
                <w:szCs w:val="21"/>
                <w:highlight w:val="none"/>
              </w:rPr>
              <w:t>评审方法</w:t>
            </w:r>
          </w:p>
        </w:tc>
        <w:tc>
          <w:tcPr>
            <w:tcW w:w="3544" w:type="dxa"/>
            <w:vAlign w:val="center"/>
          </w:tcPr>
          <w:p w14:paraId="729AAAF4">
            <w:pPr>
              <w:adjustRightInd w:val="0"/>
              <w:snapToGrid w:val="0"/>
              <w:spacing w:line="360" w:lineRule="exact"/>
              <w:rPr>
                <w:rFonts w:ascii="宋体" w:hAnsi="宋体"/>
                <w:sz w:val="21"/>
                <w:szCs w:val="21"/>
                <w:highlight w:val="none"/>
              </w:rPr>
            </w:pPr>
            <w:r>
              <w:rPr>
                <w:rFonts w:hint="eastAsia" w:ascii="宋体" w:hAnsi="宋体"/>
                <w:sz w:val="21"/>
                <w:szCs w:val="21"/>
                <w:highlight w:val="none"/>
                <w:lang w:eastAsia="zh-CN"/>
              </w:rPr>
              <w:t>☑</w:t>
            </w:r>
            <w:r>
              <w:rPr>
                <w:rFonts w:hint="eastAsia" w:ascii="宋体" w:hAnsi="宋体"/>
                <w:sz w:val="21"/>
                <w:szCs w:val="21"/>
                <w:highlight w:val="none"/>
              </w:rPr>
              <w:t>综合评分法</w:t>
            </w:r>
          </w:p>
          <w:p w14:paraId="2EF4617D">
            <w:pPr>
              <w:adjustRightInd w:val="0"/>
              <w:snapToGrid w:val="0"/>
              <w:spacing w:line="360" w:lineRule="exact"/>
              <w:rPr>
                <w:rFonts w:ascii="宋体" w:hAnsi="宋体"/>
                <w:sz w:val="21"/>
                <w:szCs w:val="21"/>
                <w:highlight w:val="none"/>
              </w:rPr>
            </w:pPr>
            <w:r>
              <w:rPr>
                <w:rFonts w:hint="eastAsia" w:ascii="宋体" w:hAnsi="宋体"/>
                <w:sz w:val="21"/>
                <w:szCs w:val="21"/>
                <w:highlight w:val="none"/>
              </w:rPr>
              <w:t>□经评审的最低价法</w:t>
            </w:r>
          </w:p>
        </w:tc>
        <w:tc>
          <w:tcPr>
            <w:tcW w:w="2268" w:type="dxa"/>
            <w:vAlign w:val="center"/>
          </w:tcPr>
          <w:p w14:paraId="7F8E530D">
            <w:pPr>
              <w:adjustRightInd w:val="0"/>
              <w:snapToGrid w:val="0"/>
              <w:spacing w:line="360" w:lineRule="exact"/>
              <w:rPr>
                <w:rFonts w:ascii="宋体" w:hAnsi="宋体"/>
                <w:sz w:val="21"/>
                <w:szCs w:val="21"/>
                <w:highlight w:val="none"/>
              </w:rPr>
            </w:pPr>
            <w:r>
              <w:rPr>
                <w:rFonts w:hint="eastAsia" w:ascii="宋体" w:hAnsi="宋体"/>
                <w:sz w:val="21"/>
                <w:szCs w:val="21"/>
                <w:highlight w:val="none"/>
              </w:rPr>
              <w:t>第</w:t>
            </w:r>
            <w:r>
              <w:rPr>
                <w:rFonts w:ascii="宋体" w:hAnsi="宋体"/>
                <w:sz w:val="21"/>
                <w:szCs w:val="21"/>
                <w:highlight w:val="none"/>
              </w:rPr>
              <w:t>22</w:t>
            </w:r>
            <w:r>
              <w:rPr>
                <w:rFonts w:hint="eastAsia" w:ascii="宋体" w:hAnsi="宋体"/>
                <w:sz w:val="21"/>
                <w:szCs w:val="21"/>
                <w:highlight w:val="none"/>
              </w:rPr>
              <w:t>.</w:t>
            </w:r>
            <w:r>
              <w:rPr>
                <w:rFonts w:ascii="宋体" w:hAnsi="宋体"/>
                <w:sz w:val="21"/>
                <w:szCs w:val="21"/>
                <w:highlight w:val="none"/>
              </w:rPr>
              <w:t>1</w:t>
            </w:r>
            <w:r>
              <w:rPr>
                <w:rFonts w:hint="eastAsia" w:ascii="宋体" w:hAnsi="宋体"/>
                <w:sz w:val="21"/>
                <w:szCs w:val="21"/>
                <w:highlight w:val="none"/>
              </w:rPr>
              <w:t>条</w:t>
            </w:r>
          </w:p>
        </w:tc>
      </w:tr>
      <w:tr w14:paraId="4A4E18E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669" w:hRule="atLeast"/>
          <w:jc w:val="center"/>
        </w:trPr>
        <w:tc>
          <w:tcPr>
            <w:tcW w:w="993" w:type="dxa"/>
            <w:vAlign w:val="center"/>
          </w:tcPr>
          <w:p w14:paraId="1516E671">
            <w:pPr>
              <w:adjustRightInd w:val="0"/>
              <w:snapToGrid w:val="0"/>
              <w:spacing w:line="360" w:lineRule="exact"/>
              <w:jc w:val="center"/>
              <w:rPr>
                <w:rFonts w:ascii="宋体" w:hAnsi="宋体"/>
                <w:sz w:val="21"/>
                <w:szCs w:val="21"/>
                <w:highlight w:val="none"/>
              </w:rPr>
            </w:pPr>
            <w:r>
              <w:rPr>
                <w:rFonts w:ascii="宋体" w:hAnsi="宋体"/>
                <w:sz w:val="21"/>
                <w:szCs w:val="21"/>
                <w:highlight w:val="none"/>
              </w:rPr>
              <w:t>20</w:t>
            </w:r>
          </w:p>
        </w:tc>
        <w:tc>
          <w:tcPr>
            <w:tcW w:w="2693" w:type="dxa"/>
            <w:shd w:val="clear" w:color="auto" w:fill="auto"/>
            <w:vAlign w:val="center"/>
          </w:tcPr>
          <w:p w14:paraId="52EC0F0C">
            <w:pPr>
              <w:adjustRightInd w:val="0"/>
              <w:snapToGrid w:val="0"/>
              <w:spacing w:line="360" w:lineRule="exact"/>
              <w:rPr>
                <w:rFonts w:ascii="宋体" w:hAnsi="宋体"/>
                <w:sz w:val="21"/>
                <w:szCs w:val="21"/>
                <w:highlight w:val="none"/>
              </w:rPr>
            </w:pPr>
            <w:r>
              <w:rPr>
                <w:rFonts w:hint="eastAsia" w:ascii="宋体" w:hAnsi="宋体" w:cs="宋体"/>
                <w:bCs/>
                <w:sz w:val="21"/>
                <w:szCs w:val="21"/>
                <w:highlight w:val="none"/>
              </w:rPr>
              <w:t>※样品评审方法</w:t>
            </w:r>
          </w:p>
        </w:tc>
        <w:tc>
          <w:tcPr>
            <w:tcW w:w="3544" w:type="dxa"/>
            <w:shd w:val="clear" w:color="auto" w:fill="auto"/>
            <w:vAlign w:val="center"/>
          </w:tcPr>
          <w:p w14:paraId="390E84AF">
            <w:pPr>
              <w:adjustRightInd w:val="0"/>
              <w:snapToGrid w:val="0"/>
              <w:spacing w:line="360" w:lineRule="exact"/>
              <w:rPr>
                <w:rFonts w:ascii="宋体" w:hAnsi="宋体"/>
                <w:sz w:val="21"/>
                <w:szCs w:val="21"/>
                <w:highlight w:val="none"/>
              </w:rPr>
            </w:pPr>
            <w:r>
              <w:rPr>
                <w:rFonts w:hint="eastAsia" w:ascii="宋体" w:hAnsi="宋体" w:eastAsia="宋体" w:cs="宋体"/>
                <w:b w:val="0"/>
                <w:bCs/>
                <w:sz w:val="21"/>
                <w:szCs w:val="21"/>
                <w:highlight w:val="none"/>
                <w:shd w:val="clear"/>
                <w:lang w:val="en-US" w:eastAsia="zh-CN"/>
              </w:rPr>
              <w:t>本项目不涉及</w:t>
            </w:r>
          </w:p>
        </w:tc>
        <w:tc>
          <w:tcPr>
            <w:tcW w:w="2268" w:type="dxa"/>
            <w:vAlign w:val="center"/>
          </w:tcPr>
          <w:p w14:paraId="1FE4B525">
            <w:pPr>
              <w:adjustRightInd w:val="0"/>
              <w:snapToGrid w:val="0"/>
              <w:spacing w:line="360" w:lineRule="exact"/>
              <w:rPr>
                <w:rFonts w:ascii="宋体" w:hAnsi="宋体"/>
                <w:sz w:val="21"/>
                <w:szCs w:val="21"/>
                <w:highlight w:val="none"/>
              </w:rPr>
            </w:pPr>
            <w:r>
              <w:rPr>
                <w:rFonts w:hint="eastAsia" w:ascii="宋体" w:hAnsi="宋体" w:cs="宋体"/>
                <w:bCs/>
                <w:sz w:val="21"/>
                <w:szCs w:val="21"/>
                <w:highlight w:val="none"/>
              </w:rPr>
              <w:t>第</w:t>
            </w:r>
            <w:r>
              <w:rPr>
                <w:rFonts w:ascii="宋体" w:hAnsi="宋体" w:cs="宋体"/>
                <w:bCs/>
                <w:sz w:val="21"/>
                <w:szCs w:val="21"/>
                <w:highlight w:val="none"/>
              </w:rPr>
              <w:t>30</w:t>
            </w:r>
            <w:r>
              <w:rPr>
                <w:rFonts w:hint="eastAsia" w:ascii="宋体" w:hAnsi="宋体" w:cs="宋体"/>
                <w:bCs/>
                <w:sz w:val="21"/>
                <w:szCs w:val="21"/>
                <w:highlight w:val="none"/>
              </w:rPr>
              <w:t>.</w:t>
            </w:r>
            <w:r>
              <w:rPr>
                <w:rFonts w:ascii="宋体" w:hAnsi="宋体" w:cs="宋体"/>
                <w:bCs/>
                <w:sz w:val="21"/>
                <w:szCs w:val="21"/>
                <w:highlight w:val="none"/>
              </w:rPr>
              <w:t>3</w:t>
            </w:r>
            <w:r>
              <w:rPr>
                <w:rFonts w:hint="eastAsia" w:ascii="宋体" w:hAnsi="宋体"/>
                <w:sz w:val="21"/>
                <w:szCs w:val="21"/>
                <w:highlight w:val="none"/>
              </w:rPr>
              <w:t>条</w:t>
            </w:r>
          </w:p>
        </w:tc>
      </w:tr>
      <w:tr w14:paraId="7AC8F75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1045" w:hRule="atLeast"/>
          <w:jc w:val="center"/>
        </w:trPr>
        <w:tc>
          <w:tcPr>
            <w:tcW w:w="993" w:type="dxa"/>
            <w:vAlign w:val="center"/>
          </w:tcPr>
          <w:p w14:paraId="6527C21B">
            <w:pPr>
              <w:adjustRightInd w:val="0"/>
              <w:snapToGrid w:val="0"/>
              <w:spacing w:line="360" w:lineRule="exact"/>
              <w:jc w:val="center"/>
              <w:rPr>
                <w:rFonts w:ascii="宋体" w:hAnsi="宋体"/>
                <w:sz w:val="21"/>
                <w:szCs w:val="21"/>
                <w:highlight w:val="none"/>
              </w:rPr>
            </w:pPr>
            <w:r>
              <w:rPr>
                <w:rFonts w:ascii="宋体" w:hAnsi="宋体"/>
                <w:sz w:val="21"/>
                <w:szCs w:val="21"/>
                <w:highlight w:val="none"/>
              </w:rPr>
              <w:t>21</w:t>
            </w:r>
          </w:p>
        </w:tc>
        <w:tc>
          <w:tcPr>
            <w:tcW w:w="2693" w:type="dxa"/>
            <w:vAlign w:val="center"/>
          </w:tcPr>
          <w:p w14:paraId="3D81A18F">
            <w:pPr>
              <w:adjustRightInd w:val="0"/>
              <w:snapToGrid w:val="0"/>
              <w:spacing w:line="360" w:lineRule="exact"/>
              <w:rPr>
                <w:rFonts w:ascii="宋体" w:hAnsi="宋体"/>
                <w:sz w:val="21"/>
                <w:szCs w:val="21"/>
                <w:highlight w:val="none"/>
              </w:rPr>
            </w:pPr>
            <w:r>
              <w:rPr>
                <w:rFonts w:hint="eastAsia" w:ascii="宋体" w:hAnsi="宋体" w:cs="宋体"/>
                <w:bCs/>
                <w:sz w:val="21"/>
                <w:szCs w:val="21"/>
                <w:highlight w:val="none"/>
              </w:rPr>
              <w:t>相同品牌供应商得分或报价相同的规定</w:t>
            </w:r>
          </w:p>
        </w:tc>
        <w:tc>
          <w:tcPr>
            <w:tcW w:w="3544" w:type="dxa"/>
            <w:vAlign w:val="center"/>
          </w:tcPr>
          <w:p w14:paraId="07A11F64">
            <w:pPr>
              <w:adjustRightInd w:val="0"/>
              <w:snapToGrid w:val="0"/>
              <w:spacing w:line="360" w:lineRule="exact"/>
              <w:rPr>
                <w:rFonts w:ascii="宋体" w:hAnsi="宋体"/>
                <w:sz w:val="21"/>
                <w:szCs w:val="21"/>
                <w:highlight w:val="none"/>
              </w:rPr>
            </w:pPr>
          </w:p>
        </w:tc>
        <w:tc>
          <w:tcPr>
            <w:tcW w:w="2268" w:type="dxa"/>
            <w:vAlign w:val="center"/>
          </w:tcPr>
          <w:p w14:paraId="3DC8136E">
            <w:pPr>
              <w:adjustRightInd w:val="0"/>
              <w:snapToGrid w:val="0"/>
              <w:spacing w:line="360" w:lineRule="exact"/>
              <w:rPr>
                <w:rFonts w:ascii="宋体" w:hAnsi="宋体"/>
                <w:sz w:val="21"/>
                <w:szCs w:val="21"/>
                <w:highlight w:val="none"/>
              </w:rPr>
            </w:pPr>
            <w:r>
              <w:rPr>
                <w:rFonts w:hint="eastAsia" w:ascii="宋体" w:hAnsi="宋体" w:cs="宋体"/>
                <w:bCs/>
                <w:sz w:val="21"/>
                <w:szCs w:val="21"/>
                <w:highlight w:val="none"/>
              </w:rPr>
              <w:t>第</w:t>
            </w:r>
            <w:r>
              <w:rPr>
                <w:rFonts w:ascii="宋体" w:hAnsi="宋体" w:cs="宋体"/>
                <w:bCs/>
                <w:sz w:val="21"/>
                <w:szCs w:val="21"/>
                <w:highlight w:val="none"/>
              </w:rPr>
              <w:t>30</w:t>
            </w:r>
            <w:r>
              <w:rPr>
                <w:rFonts w:hint="eastAsia" w:ascii="宋体" w:hAnsi="宋体" w:cs="宋体"/>
                <w:bCs/>
                <w:sz w:val="21"/>
                <w:szCs w:val="21"/>
                <w:highlight w:val="none"/>
              </w:rPr>
              <w:t>.</w:t>
            </w:r>
            <w:r>
              <w:rPr>
                <w:rFonts w:ascii="宋体" w:hAnsi="宋体" w:cs="宋体"/>
                <w:bCs/>
                <w:sz w:val="21"/>
                <w:szCs w:val="21"/>
                <w:highlight w:val="none"/>
              </w:rPr>
              <w:t>4</w:t>
            </w:r>
            <w:r>
              <w:rPr>
                <w:rFonts w:hint="eastAsia" w:ascii="宋体" w:hAnsi="宋体" w:cs="宋体"/>
                <w:bCs/>
                <w:sz w:val="21"/>
                <w:szCs w:val="21"/>
                <w:highlight w:val="none"/>
              </w:rPr>
              <w:t>条第（1）项</w:t>
            </w:r>
          </w:p>
        </w:tc>
      </w:tr>
      <w:tr w14:paraId="3C1BF3C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658" w:hRule="atLeast"/>
          <w:jc w:val="center"/>
        </w:trPr>
        <w:tc>
          <w:tcPr>
            <w:tcW w:w="993" w:type="dxa"/>
            <w:vAlign w:val="center"/>
          </w:tcPr>
          <w:p w14:paraId="450264AA">
            <w:pPr>
              <w:adjustRightInd w:val="0"/>
              <w:snapToGrid w:val="0"/>
              <w:spacing w:line="360" w:lineRule="exact"/>
              <w:jc w:val="center"/>
              <w:rPr>
                <w:rFonts w:ascii="宋体" w:hAnsi="宋体"/>
                <w:sz w:val="21"/>
                <w:szCs w:val="21"/>
                <w:highlight w:val="none"/>
              </w:rPr>
            </w:pPr>
            <w:r>
              <w:rPr>
                <w:rFonts w:ascii="宋体" w:hAnsi="宋体"/>
                <w:sz w:val="21"/>
                <w:szCs w:val="21"/>
                <w:highlight w:val="none"/>
              </w:rPr>
              <w:t>22</w:t>
            </w:r>
          </w:p>
        </w:tc>
        <w:tc>
          <w:tcPr>
            <w:tcW w:w="2693" w:type="dxa"/>
            <w:vAlign w:val="center"/>
          </w:tcPr>
          <w:p w14:paraId="41BC5673">
            <w:pPr>
              <w:adjustRightInd w:val="0"/>
              <w:snapToGrid w:val="0"/>
              <w:spacing w:line="360" w:lineRule="exact"/>
              <w:rPr>
                <w:rFonts w:ascii="宋体" w:hAnsi="宋体"/>
                <w:sz w:val="21"/>
                <w:szCs w:val="21"/>
                <w:highlight w:val="none"/>
              </w:rPr>
            </w:pPr>
            <w:r>
              <w:rPr>
                <w:rFonts w:hint="eastAsia" w:ascii="宋体" w:hAnsi="宋体" w:cs="宋体"/>
                <w:bCs/>
                <w:sz w:val="21"/>
                <w:szCs w:val="21"/>
                <w:highlight w:val="none"/>
              </w:rPr>
              <w:t>核心产品的规定</w:t>
            </w:r>
          </w:p>
        </w:tc>
        <w:tc>
          <w:tcPr>
            <w:tcW w:w="3544" w:type="dxa"/>
            <w:vAlign w:val="center"/>
          </w:tcPr>
          <w:p w14:paraId="4479B79D">
            <w:pPr>
              <w:adjustRightInd w:val="0"/>
              <w:snapToGrid w:val="0"/>
              <w:spacing w:line="360" w:lineRule="exact"/>
              <w:rPr>
                <w:rFonts w:ascii="宋体" w:hAnsi="宋体"/>
                <w:sz w:val="21"/>
                <w:szCs w:val="21"/>
                <w:highlight w:val="none"/>
              </w:rPr>
            </w:pPr>
          </w:p>
        </w:tc>
        <w:tc>
          <w:tcPr>
            <w:tcW w:w="2268" w:type="dxa"/>
            <w:vAlign w:val="center"/>
          </w:tcPr>
          <w:p w14:paraId="4575CC2A">
            <w:pPr>
              <w:adjustRightInd w:val="0"/>
              <w:snapToGrid w:val="0"/>
              <w:spacing w:line="360" w:lineRule="exact"/>
              <w:rPr>
                <w:rFonts w:ascii="宋体" w:hAnsi="宋体"/>
                <w:sz w:val="21"/>
                <w:szCs w:val="21"/>
                <w:highlight w:val="none"/>
              </w:rPr>
            </w:pPr>
            <w:r>
              <w:rPr>
                <w:rFonts w:hint="eastAsia" w:ascii="宋体" w:hAnsi="宋体" w:cs="宋体"/>
                <w:bCs/>
                <w:sz w:val="21"/>
                <w:szCs w:val="21"/>
                <w:highlight w:val="none"/>
              </w:rPr>
              <w:t>第</w:t>
            </w:r>
            <w:r>
              <w:rPr>
                <w:rFonts w:ascii="宋体" w:hAnsi="宋体" w:cs="宋体"/>
                <w:bCs/>
                <w:sz w:val="21"/>
                <w:szCs w:val="21"/>
                <w:highlight w:val="none"/>
              </w:rPr>
              <w:t>30</w:t>
            </w:r>
            <w:r>
              <w:rPr>
                <w:rFonts w:hint="eastAsia" w:ascii="宋体" w:hAnsi="宋体" w:cs="宋体"/>
                <w:bCs/>
                <w:sz w:val="21"/>
                <w:szCs w:val="21"/>
                <w:highlight w:val="none"/>
              </w:rPr>
              <w:t>.</w:t>
            </w:r>
            <w:r>
              <w:rPr>
                <w:rFonts w:ascii="宋体" w:hAnsi="宋体" w:cs="宋体"/>
                <w:bCs/>
                <w:sz w:val="21"/>
                <w:szCs w:val="21"/>
                <w:highlight w:val="none"/>
              </w:rPr>
              <w:t>4</w:t>
            </w:r>
            <w:r>
              <w:rPr>
                <w:rFonts w:hint="eastAsia" w:ascii="宋体" w:hAnsi="宋体" w:cs="宋体"/>
                <w:bCs/>
                <w:sz w:val="21"/>
                <w:szCs w:val="21"/>
                <w:highlight w:val="none"/>
              </w:rPr>
              <w:t>条第（2）项</w:t>
            </w:r>
          </w:p>
        </w:tc>
      </w:tr>
      <w:tr w14:paraId="5FE3C29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1370" w:hRule="atLeast"/>
          <w:jc w:val="center"/>
        </w:trPr>
        <w:tc>
          <w:tcPr>
            <w:tcW w:w="993" w:type="dxa"/>
            <w:vAlign w:val="center"/>
          </w:tcPr>
          <w:p w14:paraId="56C52891">
            <w:pPr>
              <w:adjustRightInd w:val="0"/>
              <w:snapToGrid w:val="0"/>
              <w:spacing w:line="360" w:lineRule="exact"/>
              <w:jc w:val="center"/>
              <w:rPr>
                <w:rFonts w:ascii="宋体" w:hAnsi="宋体"/>
                <w:sz w:val="21"/>
                <w:szCs w:val="21"/>
                <w:highlight w:val="none"/>
              </w:rPr>
            </w:pPr>
            <w:r>
              <w:rPr>
                <w:rFonts w:ascii="宋体" w:hAnsi="宋体"/>
                <w:sz w:val="21"/>
                <w:szCs w:val="21"/>
                <w:highlight w:val="none"/>
              </w:rPr>
              <w:t>23</w:t>
            </w:r>
          </w:p>
        </w:tc>
        <w:tc>
          <w:tcPr>
            <w:tcW w:w="2693" w:type="dxa"/>
            <w:vAlign w:val="center"/>
          </w:tcPr>
          <w:p w14:paraId="233455BD">
            <w:pPr>
              <w:adjustRightInd w:val="0"/>
              <w:snapToGrid w:val="0"/>
              <w:spacing w:line="360" w:lineRule="exact"/>
              <w:rPr>
                <w:rFonts w:ascii="宋体" w:hAnsi="宋体"/>
                <w:sz w:val="21"/>
                <w:szCs w:val="21"/>
                <w:highlight w:val="none"/>
              </w:rPr>
            </w:pPr>
            <w:r>
              <w:rPr>
                <w:rFonts w:hint="eastAsia" w:ascii="宋体" w:hAnsi="宋体"/>
                <w:sz w:val="21"/>
                <w:szCs w:val="21"/>
                <w:highlight w:val="none"/>
              </w:rPr>
              <w:t>质疑受理单位及联系方式</w:t>
            </w:r>
          </w:p>
        </w:tc>
        <w:tc>
          <w:tcPr>
            <w:tcW w:w="3544" w:type="dxa"/>
            <w:vAlign w:val="center"/>
          </w:tcPr>
          <w:p w14:paraId="1BB91432">
            <w:pPr>
              <w:tabs>
                <w:tab w:val="left" w:pos="888"/>
              </w:tabs>
              <w:spacing w:line="360" w:lineRule="exact"/>
              <w:rPr>
                <w:rFonts w:ascii="宋体" w:hAnsi="宋体"/>
                <w:sz w:val="21"/>
                <w:szCs w:val="21"/>
                <w:highlight w:val="none"/>
                <w:u w:val="single"/>
              </w:rPr>
            </w:pPr>
            <w:r>
              <w:rPr>
                <w:rFonts w:hint="eastAsia" w:ascii="宋体" w:hAnsi="宋体"/>
                <w:sz w:val="21"/>
                <w:szCs w:val="21"/>
                <w:highlight w:val="none"/>
              </w:rPr>
              <w:t>受理单位：</w:t>
            </w:r>
            <w:r>
              <w:rPr>
                <w:rFonts w:ascii="宋体" w:hAnsi="宋体"/>
                <w:sz w:val="21"/>
                <w:szCs w:val="21"/>
                <w:highlight w:val="none"/>
                <w:u w:val="none"/>
              </w:rPr>
              <w:t xml:space="preserve"> </w:t>
            </w:r>
            <w:r>
              <w:rPr>
                <w:rFonts w:hint="eastAsia" w:ascii="宋体" w:hAnsi="宋体"/>
                <w:sz w:val="21"/>
                <w:szCs w:val="21"/>
                <w:highlight w:val="none"/>
                <w:u w:val="none"/>
                <w:lang w:eastAsia="zh-CN"/>
              </w:rPr>
              <w:t>物资采购中心</w:t>
            </w:r>
            <w:r>
              <w:rPr>
                <w:rFonts w:ascii="宋体" w:hAnsi="宋体"/>
                <w:sz w:val="21"/>
                <w:szCs w:val="21"/>
                <w:highlight w:val="none"/>
                <w:u w:val="none"/>
              </w:rPr>
              <w:t xml:space="preserve"> </w:t>
            </w:r>
          </w:p>
          <w:p w14:paraId="21A7B31E">
            <w:pPr>
              <w:tabs>
                <w:tab w:val="left" w:pos="888"/>
              </w:tabs>
              <w:spacing w:line="360" w:lineRule="exact"/>
              <w:rPr>
                <w:rFonts w:ascii="宋体" w:hAnsi="宋体"/>
                <w:sz w:val="21"/>
                <w:szCs w:val="21"/>
                <w:highlight w:val="none"/>
              </w:rPr>
            </w:pPr>
            <w:r>
              <w:rPr>
                <w:rFonts w:hint="eastAsia" w:ascii="宋体" w:hAnsi="宋体"/>
                <w:sz w:val="21"/>
                <w:szCs w:val="21"/>
                <w:highlight w:val="none"/>
              </w:rPr>
              <w:t>联系人：</w:t>
            </w:r>
            <w:r>
              <w:rPr>
                <w:rFonts w:hint="eastAsia"/>
                <w:highlight w:val="none"/>
                <w:lang w:val="en-US" w:eastAsia="zh-CN"/>
              </w:rPr>
              <w:t>麦助理</w:t>
            </w:r>
            <w:r>
              <w:rPr>
                <w:rFonts w:ascii="宋体" w:hAnsi="宋体"/>
                <w:sz w:val="21"/>
                <w:szCs w:val="21"/>
                <w:highlight w:val="none"/>
              </w:rPr>
              <w:t xml:space="preserve">         </w:t>
            </w:r>
          </w:p>
          <w:p w14:paraId="0B597550">
            <w:pPr>
              <w:tabs>
                <w:tab w:val="left" w:pos="888"/>
              </w:tabs>
              <w:spacing w:line="360" w:lineRule="exact"/>
              <w:rPr>
                <w:rFonts w:ascii="宋体" w:hAnsi="宋体"/>
                <w:sz w:val="21"/>
                <w:szCs w:val="21"/>
                <w:highlight w:val="none"/>
              </w:rPr>
            </w:pPr>
            <w:r>
              <w:rPr>
                <w:rFonts w:hint="eastAsia" w:ascii="宋体" w:hAnsi="宋体"/>
                <w:sz w:val="21"/>
                <w:szCs w:val="21"/>
                <w:highlight w:val="none"/>
              </w:rPr>
              <w:t>联系方式：</w:t>
            </w:r>
            <w:r>
              <w:rPr>
                <w:rFonts w:hint="eastAsia" w:ascii="宋体" w:hAnsi="宋体" w:eastAsia="宋体" w:cs="宋体"/>
                <w:b w:val="0"/>
                <w:bCs/>
                <w:sz w:val="21"/>
                <w:szCs w:val="21"/>
                <w:highlight w:val="none"/>
                <w:lang w:val="en-US" w:eastAsia="zh-CN"/>
              </w:rPr>
              <w:t>023-68763908</w:t>
            </w:r>
            <w:r>
              <w:rPr>
                <w:rFonts w:ascii="宋体" w:hAnsi="宋体"/>
                <w:sz w:val="21"/>
                <w:szCs w:val="21"/>
                <w:highlight w:val="none"/>
              </w:rPr>
              <w:t xml:space="preserve">       </w:t>
            </w:r>
          </w:p>
        </w:tc>
        <w:tc>
          <w:tcPr>
            <w:tcW w:w="2268" w:type="dxa"/>
            <w:vAlign w:val="center"/>
          </w:tcPr>
          <w:p w14:paraId="4A037CAE">
            <w:pPr>
              <w:adjustRightInd w:val="0"/>
              <w:snapToGrid w:val="0"/>
              <w:spacing w:line="360" w:lineRule="exact"/>
              <w:rPr>
                <w:rFonts w:ascii="宋体" w:hAnsi="宋体"/>
                <w:sz w:val="21"/>
                <w:szCs w:val="21"/>
                <w:highlight w:val="none"/>
              </w:rPr>
            </w:pPr>
            <w:r>
              <w:rPr>
                <w:rFonts w:hint="eastAsia" w:ascii="宋体" w:hAnsi="宋体"/>
                <w:sz w:val="21"/>
                <w:szCs w:val="21"/>
                <w:highlight w:val="none"/>
              </w:rPr>
              <w:t>第</w:t>
            </w:r>
            <w:r>
              <w:rPr>
                <w:rFonts w:ascii="宋体" w:hAnsi="宋体"/>
                <w:sz w:val="21"/>
                <w:szCs w:val="21"/>
                <w:highlight w:val="none"/>
              </w:rPr>
              <w:t>44.4</w:t>
            </w:r>
            <w:r>
              <w:rPr>
                <w:rFonts w:hint="eastAsia" w:ascii="宋体" w:hAnsi="宋体"/>
                <w:sz w:val="21"/>
                <w:szCs w:val="21"/>
                <w:highlight w:val="none"/>
              </w:rPr>
              <w:t>条</w:t>
            </w:r>
          </w:p>
        </w:tc>
      </w:tr>
      <w:tr w14:paraId="3FDAD98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1555" w:hRule="atLeast"/>
          <w:jc w:val="center"/>
        </w:trPr>
        <w:tc>
          <w:tcPr>
            <w:tcW w:w="993" w:type="dxa"/>
            <w:vAlign w:val="center"/>
          </w:tcPr>
          <w:p w14:paraId="4DCEBE9F">
            <w:pPr>
              <w:adjustRightInd w:val="0"/>
              <w:snapToGrid w:val="0"/>
              <w:spacing w:line="360" w:lineRule="exact"/>
              <w:jc w:val="center"/>
              <w:rPr>
                <w:rFonts w:ascii="宋体" w:hAnsi="宋体"/>
                <w:sz w:val="21"/>
                <w:szCs w:val="21"/>
                <w:highlight w:val="none"/>
              </w:rPr>
            </w:pPr>
            <w:r>
              <w:rPr>
                <w:rFonts w:ascii="宋体" w:hAnsi="宋体"/>
                <w:sz w:val="21"/>
                <w:szCs w:val="21"/>
                <w:highlight w:val="none"/>
              </w:rPr>
              <w:t>24</w:t>
            </w:r>
          </w:p>
        </w:tc>
        <w:tc>
          <w:tcPr>
            <w:tcW w:w="2693" w:type="dxa"/>
            <w:vAlign w:val="center"/>
          </w:tcPr>
          <w:p w14:paraId="785C2529">
            <w:pPr>
              <w:adjustRightInd w:val="0"/>
              <w:snapToGrid w:val="0"/>
              <w:spacing w:line="360" w:lineRule="exact"/>
              <w:rPr>
                <w:rFonts w:ascii="宋体" w:hAnsi="宋体"/>
                <w:sz w:val="21"/>
                <w:szCs w:val="21"/>
                <w:highlight w:val="none"/>
              </w:rPr>
            </w:pPr>
            <w:r>
              <w:rPr>
                <w:rFonts w:hint="eastAsia" w:ascii="宋体" w:hAnsi="宋体"/>
                <w:sz w:val="21"/>
                <w:szCs w:val="21"/>
                <w:highlight w:val="none"/>
              </w:rPr>
              <w:t>受理、处理投诉申请部门及联系方式</w:t>
            </w:r>
          </w:p>
        </w:tc>
        <w:tc>
          <w:tcPr>
            <w:tcW w:w="3544" w:type="dxa"/>
            <w:vAlign w:val="center"/>
          </w:tcPr>
          <w:p w14:paraId="3BE3EAC5">
            <w:pPr>
              <w:pageBreakBefore w:val="0"/>
              <w:widowControl w:val="0"/>
              <w:kinsoku/>
              <w:wordWrap/>
              <w:topLinePunct w:val="0"/>
              <w:autoSpaceDE/>
              <w:autoSpaceDN/>
              <w:bidi w:val="0"/>
              <w:adjustRightInd w:val="0"/>
              <w:snapToGrid w:val="0"/>
              <w:spacing w:before="156" w:beforeLines="50" w:line="240" w:lineRule="auto"/>
              <w:jc w:val="both"/>
              <w:rPr>
                <w:rFonts w:hint="eastAsia" w:ascii="宋体" w:hAnsi="宋体" w:eastAsia="宋体" w:cs="宋体"/>
                <w:b w:val="0"/>
                <w:bCs/>
                <w:sz w:val="21"/>
                <w:szCs w:val="21"/>
                <w:highlight w:val="none"/>
                <w:lang w:val="en-US" w:eastAsia="zh-CN"/>
              </w:rPr>
            </w:pPr>
            <w:r>
              <w:rPr>
                <w:rFonts w:hint="eastAsia" w:ascii="宋体" w:hAnsi="宋体" w:eastAsia="宋体" w:cs="宋体"/>
                <w:b w:val="0"/>
                <w:bCs/>
                <w:sz w:val="21"/>
                <w:szCs w:val="21"/>
                <w:highlight w:val="none"/>
                <w:lang w:val="en-US" w:eastAsia="zh-CN"/>
              </w:rPr>
              <w:t>处理部门：大学供应保障处</w:t>
            </w:r>
          </w:p>
          <w:p w14:paraId="0BDF2B9B">
            <w:pPr>
              <w:pageBreakBefore w:val="0"/>
              <w:widowControl w:val="0"/>
              <w:kinsoku/>
              <w:wordWrap/>
              <w:topLinePunct w:val="0"/>
              <w:autoSpaceDE/>
              <w:autoSpaceDN/>
              <w:bidi w:val="0"/>
              <w:adjustRightInd w:val="0"/>
              <w:snapToGrid w:val="0"/>
              <w:spacing w:before="156" w:beforeLines="50" w:line="240" w:lineRule="auto"/>
              <w:jc w:val="both"/>
              <w:rPr>
                <w:rFonts w:hint="eastAsia" w:ascii="宋体" w:hAnsi="宋体" w:eastAsia="宋体" w:cs="宋体"/>
                <w:b w:val="0"/>
                <w:bCs/>
                <w:sz w:val="21"/>
                <w:szCs w:val="21"/>
                <w:highlight w:val="none"/>
                <w:lang w:val="en-US" w:eastAsia="zh-CN"/>
              </w:rPr>
            </w:pPr>
            <w:r>
              <w:rPr>
                <w:rFonts w:hint="eastAsia" w:ascii="宋体" w:hAnsi="宋体" w:eastAsia="宋体" w:cs="宋体"/>
                <w:b w:val="0"/>
                <w:bCs/>
                <w:sz w:val="21"/>
                <w:szCs w:val="21"/>
                <w:highlight w:val="none"/>
                <w:lang w:val="en-US" w:eastAsia="zh-CN"/>
              </w:rPr>
              <w:t>联系人：王参谋</w:t>
            </w:r>
          </w:p>
          <w:p w14:paraId="64168373">
            <w:pPr>
              <w:tabs>
                <w:tab w:val="left" w:pos="888"/>
              </w:tabs>
              <w:spacing w:line="360" w:lineRule="exact"/>
              <w:rPr>
                <w:rFonts w:ascii="宋体" w:hAnsi="宋体"/>
                <w:sz w:val="21"/>
                <w:szCs w:val="21"/>
                <w:highlight w:val="none"/>
              </w:rPr>
            </w:pPr>
            <w:r>
              <w:rPr>
                <w:rFonts w:hint="eastAsia" w:ascii="宋体" w:hAnsi="宋体" w:eastAsia="宋体" w:cs="宋体"/>
                <w:b w:val="0"/>
                <w:bCs/>
                <w:sz w:val="21"/>
                <w:szCs w:val="21"/>
                <w:highlight w:val="none"/>
                <w:lang w:val="en-US" w:eastAsia="zh-CN"/>
              </w:rPr>
              <w:t>联系方式：023-68752144</w:t>
            </w:r>
            <w:r>
              <w:rPr>
                <w:rFonts w:ascii="宋体" w:hAnsi="宋体"/>
                <w:sz w:val="21"/>
                <w:szCs w:val="21"/>
                <w:highlight w:val="none"/>
              </w:rPr>
              <w:t xml:space="preserve">      </w:t>
            </w:r>
          </w:p>
        </w:tc>
        <w:tc>
          <w:tcPr>
            <w:tcW w:w="2268" w:type="dxa"/>
            <w:vAlign w:val="center"/>
          </w:tcPr>
          <w:p w14:paraId="0322BBD5">
            <w:pPr>
              <w:adjustRightInd w:val="0"/>
              <w:snapToGrid w:val="0"/>
              <w:spacing w:line="360" w:lineRule="exact"/>
              <w:rPr>
                <w:rFonts w:ascii="宋体" w:hAnsi="宋体"/>
                <w:sz w:val="21"/>
                <w:szCs w:val="21"/>
                <w:highlight w:val="none"/>
              </w:rPr>
            </w:pPr>
            <w:r>
              <w:rPr>
                <w:rFonts w:hint="eastAsia" w:ascii="宋体" w:hAnsi="宋体"/>
                <w:sz w:val="21"/>
                <w:szCs w:val="21"/>
                <w:highlight w:val="none"/>
              </w:rPr>
              <w:t>第</w:t>
            </w:r>
            <w:r>
              <w:rPr>
                <w:rFonts w:ascii="宋体" w:hAnsi="宋体"/>
                <w:sz w:val="21"/>
                <w:szCs w:val="21"/>
                <w:highlight w:val="none"/>
              </w:rPr>
              <w:t>45.4</w:t>
            </w:r>
            <w:r>
              <w:rPr>
                <w:rFonts w:hint="eastAsia" w:ascii="宋体" w:hAnsi="宋体"/>
                <w:sz w:val="21"/>
                <w:szCs w:val="21"/>
                <w:highlight w:val="none"/>
              </w:rPr>
              <w:t>条</w:t>
            </w:r>
          </w:p>
        </w:tc>
      </w:tr>
      <w:tr w14:paraId="0C17FC2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1394" w:hRule="atLeast"/>
          <w:jc w:val="center"/>
        </w:trPr>
        <w:tc>
          <w:tcPr>
            <w:tcW w:w="993" w:type="dxa"/>
            <w:vAlign w:val="center"/>
          </w:tcPr>
          <w:p w14:paraId="78A17E29">
            <w:pPr>
              <w:adjustRightInd w:val="0"/>
              <w:snapToGrid w:val="0"/>
              <w:spacing w:line="360" w:lineRule="exact"/>
              <w:jc w:val="center"/>
              <w:rPr>
                <w:rFonts w:ascii="宋体" w:hAnsi="宋体"/>
                <w:sz w:val="21"/>
                <w:szCs w:val="21"/>
                <w:highlight w:val="none"/>
              </w:rPr>
            </w:pPr>
            <w:r>
              <w:rPr>
                <w:rFonts w:ascii="宋体" w:hAnsi="宋体"/>
                <w:sz w:val="21"/>
                <w:szCs w:val="21"/>
                <w:highlight w:val="none"/>
              </w:rPr>
              <w:t>25</w:t>
            </w:r>
          </w:p>
        </w:tc>
        <w:tc>
          <w:tcPr>
            <w:tcW w:w="2693" w:type="dxa"/>
            <w:vAlign w:val="center"/>
          </w:tcPr>
          <w:p w14:paraId="586690B4">
            <w:pPr>
              <w:adjustRightInd w:val="0"/>
              <w:snapToGrid w:val="0"/>
              <w:spacing w:line="360" w:lineRule="exact"/>
              <w:rPr>
                <w:rFonts w:ascii="宋体" w:hAnsi="宋体"/>
                <w:sz w:val="21"/>
                <w:szCs w:val="21"/>
                <w:highlight w:val="none"/>
              </w:rPr>
            </w:pPr>
            <w:r>
              <w:rPr>
                <w:rFonts w:hint="eastAsia" w:ascii="宋体" w:hAnsi="宋体"/>
                <w:sz w:val="21"/>
                <w:szCs w:val="21"/>
                <w:highlight w:val="none"/>
              </w:rPr>
              <w:t>受理、处理投诉复议申请部门及联系方式</w:t>
            </w:r>
          </w:p>
        </w:tc>
        <w:tc>
          <w:tcPr>
            <w:tcW w:w="3544" w:type="dxa"/>
            <w:vAlign w:val="center"/>
          </w:tcPr>
          <w:p w14:paraId="1762A451">
            <w:pPr>
              <w:pageBreakBefore w:val="0"/>
              <w:widowControl w:val="0"/>
              <w:kinsoku/>
              <w:wordWrap/>
              <w:topLinePunct w:val="0"/>
              <w:autoSpaceDE/>
              <w:autoSpaceDN/>
              <w:bidi w:val="0"/>
              <w:adjustRightInd w:val="0"/>
              <w:snapToGrid w:val="0"/>
              <w:spacing w:before="156" w:beforeLines="50" w:line="240" w:lineRule="auto"/>
              <w:jc w:val="both"/>
              <w:rPr>
                <w:rFonts w:hint="eastAsia" w:ascii="宋体" w:hAnsi="宋体" w:eastAsia="宋体" w:cs="宋体"/>
                <w:b w:val="0"/>
                <w:bCs/>
                <w:sz w:val="21"/>
                <w:szCs w:val="21"/>
                <w:highlight w:val="none"/>
                <w:lang w:val="en-US" w:eastAsia="zh-CN"/>
              </w:rPr>
            </w:pPr>
            <w:r>
              <w:rPr>
                <w:rFonts w:hint="eastAsia" w:ascii="宋体" w:hAnsi="宋体" w:eastAsia="宋体" w:cs="宋体"/>
                <w:b w:val="0"/>
                <w:bCs/>
                <w:sz w:val="21"/>
                <w:szCs w:val="21"/>
                <w:highlight w:val="none"/>
                <w:lang w:val="en-US" w:eastAsia="zh-CN"/>
              </w:rPr>
              <w:t>处理部门：采购供应局</w:t>
            </w:r>
          </w:p>
          <w:p w14:paraId="1EC31720">
            <w:pPr>
              <w:pageBreakBefore w:val="0"/>
              <w:widowControl w:val="0"/>
              <w:kinsoku/>
              <w:wordWrap/>
              <w:topLinePunct w:val="0"/>
              <w:autoSpaceDE/>
              <w:autoSpaceDN/>
              <w:bidi w:val="0"/>
              <w:adjustRightInd w:val="0"/>
              <w:snapToGrid w:val="0"/>
              <w:spacing w:before="156" w:beforeLines="50" w:line="240" w:lineRule="auto"/>
              <w:jc w:val="both"/>
              <w:rPr>
                <w:rFonts w:hint="eastAsia" w:ascii="宋体" w:hAnsi="宋体" w:eastAsia="宋体" w:cs="宋体"/>
                <w:b w:val="0"/>
                <w:bCs/>
                <w:sz w:val="21"/>
                <w:szCs w:val="21"/>
                <w:highlight w:val="none"/>
                <w:lang w:val="en-US" w:eastAsia="zh-CN"/>
              </w:rPr>
            </w:pPr>
            <w:r>
              <w:rPr>
                <w:rFonts w:hint="eastAsia" w:ascii="宋体" w:hAnsi="宋体" w:eastAsia="宋体" w:cs="宋体"/>
                <w:b w:val="0"/>
                <w:bCs/>
                <w:sz w:val="21"/>
                <w:szCs w:val="21"/>
                <w:highlight w:val="none"/>
                <w:lang w:val="en-US" w:eastAsia="zh-CN"/>
              </w:rPr>
              <w:t>联系人：李助理</w:t>
            </w:r>
          </w:p>
          <w:p w14:paraId="60895B34">
            <w:pPr>
              <w:tabs>
                <w:tab w:val="left" w:pos="888"/>
              </w:tabs>
              <w:spacing w:line="360" w:lineRule="exact"/>
              <w:rPr>
                <w:rFonts w:ascii="宋体" w:hAnsi="宋体"/>
                <w:sz w:val="21"/>
                <w:szCs w:val="21"/>
                <w:highlight w:val="none"/>
              </w:rPr>
            </w:pPr>
            <w:r>
              <w:rPr>
                <w:rFonts w:hint="eastAsia" w:ascii="宋体" w:hAnsi="宋体" w:eastAsia="宋体" w:cs="宋体"/>
                <w:b w:val="0"/>
                <w:bCs/>
                <w:sz w:val="21"/>
                <w:szCs w:val="21"/>
                <w:highlight w:val="none"/>
                <w:lang w:val="en-US" w:eastAsia="zh-CN"/>
              </w:rPr>
              <w:t>联系方式：010-66718844</w:t>
            </w:r>
            <w:r>
              <w:rPr>
                <w:rFonts w:ascii="宋体" w:hAnsi="宋体"/>
                <w:sz w:val="21"/>
                <w:szCs w:val="21"/>
                <w:highlight w:val="none"/>
              </w:rPr>
              <w:t xml:space="preserve">        </w:t>
            </w:r>
          </w:p>
        </w:tc>
        <w:tc>
          <w:tcPr>
            <w:tcW w:w="2268" w:type="dxa"/>
            <w:vAlign w:val="center"/>
          </w:tcPr>
          <w:p w14:paraId="7A030E3B">
            <w:pPr>
              <w:adjustRightInd w:val="0"/>
              <w:snapToGrid w:val="0"/>
              <w:spacing w:line="360" w:lineRule="exact"/>
              <w:rPr>
                <w:rFonts w:ascii="宋体" w:hAnsi="宋体"/>
                <w:sz w:val="21"/>
                <w:szCs w:val="21"/>
                <w:highlight w:val="none"/>
              </w:rPr>
            </w:pPr>
            <w:r>
              <w:rPr>
                <w:rFonts w:hint="eastAsia" w:ascii="宋体" w:hAnsi="宋体"/>
                <w:sz w:val="21"/>
                <w:szCs w:val="21"/>
                <w:highlight w:val="none"/>
              </w:rPr>
              <w:t>第</w:t>
            </w:r>
            <w:r>
              <w:rPr>
                <w:rFonts w:ascii="宋体" w:hAnsi="宋体"/>
                <w:sz w:val="21"/>
                <w:szCs w:val="21"/>
                <w:highlight w:val="none"/>
              </w:rPr>
              <w:t>46.4</w:t>
            </w:r>
            <w:r>
              <w:rPr>
                <w:rFonts w:hint="eastAsia" w:ascii="宋体" w:hAnsi="宋体"/>
                <w:sz w:val="21"/>
                <w:szCs w:val="21"/>
                <w:highlight w:val="none"/>
              </w:rPr>
              <w:t>条</w:t>
            </w:r>
          </w:p>
        </w:tc>
      </w:tr>
    </w:tbl>
    <w:p w14:paraId="1187D128">
      <w:pPr>
        <w:rPr>
          <w:highlight w:val="none"/>
        </w:rPr>
      </w:pPr>
      <w:bookmarkStart w:id="807" w:name="_Toc12990"/>
    </w:p>
    <w:p w14:paraId="6ED1C079">
      <w:pPr>
        <w:widowControl/>
        <w:jc w:val="left"/>
        <w:rPr>
          <w:rFonts w:ascii="黑体" w:hAnsi="黑体" w:eastAsia="黑体"/>
          <w:bCs/>
          <w:sz w:val="28"/>
          <w:szCs w:val="28"/>
          <w:highlight w:val="none"/>
        </w:rPr>
      </w:pPr>
      <w:bookmarkStart w:id="808" w:name="_Toc128470287"/>
      <w:bookmarkStart w:id="809" w:name="_Toc128154360"/>
      <w:r>
        <w:rPr>
          <w:rFonts w:ascii="黑体" w:hAnsi="黑体"/>
          <w:b/>
          <w:sz w:val="28"/>
          <w:szCs w:val="28"/>
          <w:highlight w:val="none"/>
        </w:rPr>
        <w:br w:type="page"/>
      </w:r>
    </w:p>
    <w:p w14:paraId="72F15B7D">
      <w:pPr>
        <w:pStyle w:val="5"/>
        <w:spacing w:before="120" w:beforeLines="50" w:after="120" w:afterLines="50" w:line="560" w:lineRule="exact"/>
        <w:rPr>
          <w:rFonts w:ascii="黑体" w:hAnsi="黑体"/>
          <w:b w:val="0"/>
          <w:sz w:val="28"/>
          <w:szCs w:val="28"/>
          <w:highlight w:val="none"/>
        </w:rPr>
      </w:pPr>
      <w:bookmarkStart w:id="810" w:name="_Toc8561"/>
      <w:bookmarkStart w:id="811" w:name="_Toc25730"/>
      <w:bookmarkStart w:id="812" w:name="_Toc9920"/>
      <w:bookmarkStart w:id="813" w:name="_Toc27982"/>
      <w:bookmarkStart w:id="814" w:name="_Toc130661170"/>
      <w:bookmarkStart w:id="815" w:name="_Toc150421240"/>
      <w:bookmarkStart w:id="816" w:name="_Toc6396"/>
      <w:bookmarkStart w:id="817" w:name="_Toc132191251"/>
      <w:bookmarkStart w:id="818" w:name="_Toc130887999"/>
      <w:bookmarkStart w:id="819" w:name="_Toc132186967"/>
      <w:bookmarkStart w:id="820" w:name="_Toc25635"/>
      <w:r>
        <w:rPr>
          <w:rFonts w:hint="eastAsia" w:ascii="黑体" w:hAnsi="黑体"/>
          <w:b w:val="0"/>
          <w:sz w:val="28"/>
          <w:szCs w:val="28"/>
          <w:highlight w:val="none"/>
        </w:rPr>
        <w:t>附表</w:t>
      </w:r>
      <w:r>
        <w:rPr>
          <w:rFonts w:ascii="黑体" w:hAnsi="黑体"/>
          <w:b w:val="0"/>
          <w:sz w:val="28"/>
          <w:szCs w:val="28"/>
          <w:highlight w:val="none"/>
        </w:rPr>
        <w:t xml:space="preserve">1 </w:t>
      </w:r>
      <w:r>
        <w:rPr>
          <w:rFonts w:hint="eastAsia" w:ascii="黑体" w:hAnsi="黑体"/>
          <w:b w:val="0"/>
          <w:sz w:val="28"/>
          <w:szCs w:val="28"/>
          <w:highlight w:val="none"/>
        </w:rPr>
        <w:t>资格性审查表</w:t>
      </w:r>
      <w:bookmarkEnd w:id="807"/>
      <w:bookmarkEnd w:id="808"/>
      <w:bookmarkEnd w:id="809"/>
      <w:bookmarkEnd w:id="810"/>
      <w:bookmarkEnd w:id="811"/>
      <w:bookmarkEnd w:id="812"/>
      <w:bookmarkEnd w:id="813"/>
      <w:bookmarkEnd w:id="814"/>
      <w:bookmarkEnd w:id="815"/>
      <w:bookmarkEnd w:id="816"/>
      <w:bookmarkEnd w:id="817"/>
      <w:bookmarkEnd w:id="818"/>
      <w:bookmarkEnd w:id="819"/>
      <w:bookmarkEnd w:id="820"/>
    </w:p>
    <w:p w14:paraId="52B7B9CD">
      <w:pPr>
        <w:spacing w:before="120" w:beforeLines="50" w:after="120" w:afterLines="50" w:line="560" w:lineRule="exact"/>
        <w:jc w:val="center"/>
        <w:rPr>
          <w:rFonts w:ascii="黑体" w:hAnsi="黑体" w:eastAsia="黑体"/>
          <w:bCs/>
          <w:sz w:val="36"/>
          <w:szCs w:val="36"/>
          <w:highlight w:val="none"/>
        </w:rPr>
      </w:pPr>
      <w:r>
        <w:rPr>
          <w:rFonts w:hint="eastAsia" w:ascii="黑体" w:hAnsi="黑体" w:eastAsia="黑体"/>
          <w:bCs/>
          <w:sz w:val="36"/>
          <w:szCs w:val="36"/>
          <w:highlight w:val="none"/>
        </w:rPr>
        <w:t>资格性审查表</w:t>
      </w:r>
    </w:p>
    <w:p w14:paraId="488DFD92">
      <w:pPr>
        <w:spacing w:line="560" w:lineRule="exact"/>
        <w:rPr>
          <w:bCs/>
          <w:sz w:val="28"/>
          <w:szCs w:val="28"/>
          <w:highlight w:val="none"/>
        </w:rPr>
      </w:pPr>
      <w:r>
        <w:rPr>
          <w:rFonts w:hint="eastAsia"/>
          <w:bCs/>
          <w:sz w:val="21"/>
          <w:szCs w:val="21"/>
          <w:highlight w:val="none"/>
        </w:rPr>
        <w:t>项目名称：</w:t>
      </w:r>
      <w:r>
        <w:rPr>
          <w:bCs/>
          <w:sz w:val="21"/>
          <w:szCs w:val="21"/>
          <w:highlight w:val="none"/>
          <w:u w:val="single"/>
        </w:rPr>
        <w:t xml:space="preserve">            </w:t>
      </w:r>
      <w:r>
        <w:rPr>
          <w:bCs/>
          <w:sz w:val="21"/>
          <w:szCs w:val="21"/>
          <w:highlight w:val="none"/>
        </w:rPr>
        <w:t xml:space="preserve">     </w:t>
      </w:r>
      <w:r>
        <w:rPr>
          <w:rFonts w:hint="eastAsia"/>
          <w:bCs/>
          <w:sz w:val="21"/>
          <w:szCs w:val="21"/>
          <w:highlight w:val="none"/>
        </w:rPr>
        <w:t>项目编号：</w:t>
      </w:r>
      <w:r>
        <w:rPr>
          <w:bCs/>
          <w:sz w:val="21"/>
          <w:szCs w:val="21"/>
          <w:highlight w:val="none"/>
          <w:u w:val="single"/>
        </w:rPr>
        <w:t xml:space="preserve">          </w:t>
      </w:r>
      <w:r>
        <w:rPr>
          <w:bCs/>
          <w:sz w:val="21"/>
          <w:szCs w:val="21"/>
          <w:highlight w:val="none"/>
        </w:rPr>
        <w:t xml:space="preserve">    </w:t>
      </w:r>
      <w:r>
        <w:rPr>
          <w:rFonts w:hint="eastAsia"/>
          <w:bCs/>
          <w:sz w:val="21"/>
          <w:szCs w:val="21"/>
          <w:highlight w:val="none"/>
        </w:rPr>
        <w:t>包号：</w:t>
      </w:r>
      <w:r>
        <w:rPr>
          <w:bCs/>
          <w:sz w:val="21"/>
          <w:szCs w:val="21"/>
          <w:highlight w:val="none"/>
          <w:u w:val="single"/>
        </w:rPr>
        <w:t xml:space="preserve">          </w:t>
      </w:r>
    </w:p>
    <w:tbl>
      <w:tblPr>
        <w:tblStyle w:val="42"/>
        <w:tblW w:w="955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585"/>
        <w:gridCol w:w="1134"/>
        <w:gridCol w:w="1134"/>
        <w:gridCol w:w="3703"/>
      </w:tblGrid>
      <w:tr w14:paraId="465758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tblHeader/>
          <w:jc w:val="center"/>
        </w:trPr>
        <w:tc>
          <w:tcPr>
            <w:tcW w:w="3585" w:type="dxa"/>
            <w:vMerge w:val="restart"/>
            <w:vAlign w:val="center"/>
          </w:tcPr>
          <w:p w14:paraId="246A6709">
            <w:pPr>
              <w:widowControl/>
              <w:spacing w:line="276" w:lineRule="auto"/>
              <w:jc w:val="center"/>
              <w:rPr>
                <w:rFonts w:ascii="宋体" w:hAnsi="宋体" w:cs="宋体"/>
                <w:bCs/>
                <w:sz w:val="21"/>
                <w:szCs w:val="21"/>
                <w:highlight w:val="none"/>
              </w:rPr>
            </w:pPr>
            <w:r>
              <w:rPr>
                <w:rFonts w:hint="eastAsia" w:ascii="宋体" w:hAnsi="宋体" w:cs="宋体"/>
                <w:bCs/>
                <w:sz w:val="21"/>
                <w:szCs w:val="21"/>
                <w:highlight w:val="none"/>
              </w:rPr>
              <w:t>审查项目</w:t>
            </w:r>
          </w:p>
        </w:tc>
        <w:tc>
          <w:tcPr>
            <w:tcW w:w="2268" w:type="dxa"/>
            <w:gridSpan w:val="2"/>
            <w:vAlign w:val="center"/>
          </w:tcPr>
          <w:p w14:paraId="2CD58EA2">
            <w:pPr>
              <w:widowControl/>
              <w:spacing w:line="276" w:lineRule="auto"/>
              <w:jc w:val="center"/>
              <w:rPr>
                <w:rFonts w:ascii="宋体" w:hAnsi="宋体" w:cs="宋体"/>
                <w:bCs/>
                <w:sz w:val="21"/>
                <w:szCs w:val="21"/>
                <w:highlight w:val="none"/>
              </w:rPr>
            </w:pPr>
            <w:r>
              <w:rPr>
                <w:rFonts w:hint="eastAsia" w:ascii="宋体" w:hAnsi="宋体" w:cs="宋体"/>
                <w:bCs/>
                <w:sz w:val="21"/>
                <w:szCs w:val="21"/>
                <w:highlight w:val="none"/>
              </w:rPr>
              <w:t>是否合格</w:t>
            </w:r>
          </w:p>
        </w:tc>
        <w:tc>
          <w:tcPr>
            <w:tcW w:w="3703" w:type="dxa"/>
            <w:vMerge w:val="restart"/>
            <w:vAlign w:val="center"/>
          </w:tcPr>
          <w:p w14:paraId="555EAFF6">
            <w:pPr>
              <w:spacing w:line="276" w:lineRule="auto"/>
              <w:jc w:val="center"/>
              <w:rPr>
                <w:rFonts w:ascii="宋体" w:hAnsi="宋体" w:cs="宋体"/>
                <w:bCs/>
                <w:sz w:val="21"/>
                <w:szCs w:val="21"/>
                <w:highlight w:val="none"/>
              </w:rPr>
            </w:pPr>
            <w:r>
              <w:rPr>
                <w:rFonts w:hint="eastAsia" w:ascii="宋体" w:hAnsi="宋体" w:cs="宋体"/>
                <w:bCs/>
                <w:sz w:val="21"/>
                <w:szCs w:val="21"/>
                <w:highlight w:val="none"/>
              </w:rPr>
              <w:t>具体要求</w:t>
            </w:r>
          </w:p>
        </w:tc>
      </w:tr>
      <w:tr w14:paraId="404632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7" w:hRule="exact"/>
          <w:tblHeader/>
          <w:jc w:val="center"/>
        </w:trPr>
        <w:tc>
          <w:tcPr>
            <w:tcW w:w="3585" w:type="dxa"/>
            <w:vMerge w:val="continue"/>
            <w:vAlign w:val="center"/>
          </w:tcPr>
          <w:p w14:paraId="75207145">
            <w:pPr>
              <w:widowControl/>
              <w:spacing w:line="276" w:lineRule="auto"/>
              <w:jc w:val="left"/>
              <w:rPr>
                <w:rFonts w:ascii="黑体" w:hAnsi="宋体" w:eastAsia="黑体" w:cs="宋体"/>
                <w:bCs/>
                <w:sz w:val="21"/>
                <w:szCs w:val="21"/>
                <w:highlight w:val="none"/>
              </w:rPr>
            </w:pPr>
          </w:p>
        </w:tc>
        <w:tc>
          <w:tcPr>
            <w:tcW w:w="1134" w:type="dxa"/>
            <w:vAlign w:val="center"/>
          </w:tcPr>
          <w:p w14:paraId="0CC39DB1">
            <w:pPr>
              <w:widowControl/>
              <w:spacing w:line="276" w:lineRule="auto"/>
              <w:jc w:val="center"/>
              <w:rPr>
                <w:rFonts w:ascii="宋体" w:hAnsi="宋体" w:cs="宋体"/>
                <w:bCs/>
                <w:sz w:val="21"/>
                <w:szCs w:val="21"/>
                <w:highlight w:val="none"/>
              </w:rPr>
            </w:pPr>
            <w:r>
              <w:rPr>
                <w:rFonts w:hint="eastAsia" w:ascii="宋体" w:hAnsi="宋体" w:cs="宋体"/>
                <w:bCs/>
                <w:sz w:val="21"/>
                <w:szCs w:val="21"/>
                <w:highlight w:val="none"/>
              </w:rPr>
              <w:t>报价</w:t>
            </w:r>
          </w:p>
          <w:p w14:paraId="4F23D589">
            <w:pPr>
              <w:widowControl/>
              <w:spacing w:line="276" w:lineRule="auto"/>
              <w:jc w:val="center"/>
              <w:rPr>
                <w:rFonts w:ascii="宋体" w:hAnsi="宋体" w:cs="宋体"/>
                <w:bCs/>
                <w:sz w:val="21"/>
                <w:szCs w:val="21"/>
                <w:highlight w:val="none"/>
              </w:rPr>
            </w:pPr>
            <w:r>
              <w:rPr>
                <w:rFonts w:hint="eastAsia" w:ascii="宋体" w:hAnsi="宋体" w:cs="宋体"/>
                <w:bCs/>
                <w:sz w:val="21"/>
                <w:szCs w:val="21"/>
                <w:highlight w:val="none"/>
              </w:rPr>
              <w:t>供应商</w:t>
            </w:r>
          </w:p>
        </w:tc>
        <w:tc>
          <w:tcPr>
            <w:tcW w:w="1134" w:type="dxa"/>
            <w:vAlign w:val="center"/>
          </w:tcPr>
          <w:p w14:paraId="51975603">
            <w:pPr>
              <w:widowControl/>
              <w:spacing w:line="276" w:lineRule="auto"/>
              <w:jc w:val="center"/>
              <w:rPr>
                <w:rFonts w:ascii="宋体" w:hAnsi="宋体" w:cs="宋体"/>
                <w:bCs/>
                <w:sz w:val="21"/>
                <w:szCs w:val="21"/>
                <w:highlight w:val="none"/>
              </w:rPr>
            </w:pPr>
            <w:r>
              <w:rPr>
                <w:rFonts w:hint="eastAsia" w:ascii="宋体" w:hAnsi="宋体" w:cs="宋体"/>
                <w:bCs/>
                <w:sz w:val="21"/>
                <w:szCs w:val="21"/>
                <w:highlight w:val="none"/>
              </w:rPr>
              <w:t>…</w:t>
            </w:r>
          </w:p>
        </w:tc>
        <w:tc>
          <w:tcPr>
            <w:tcW w:w="3703" w:type="dxa"/>
            <w:vMerge w:val="continue"/>
            <w:vAlign w:val="center"/>
          </w:tcPr>
          <w:p w14:paraId="5D80E870">
            <w:pPr>
              <w:widowControl/>
              <w:spacing w:line="276" w:lineRule="auto"/>
              <w:jc w:val="left"/>
              <w:rPr>
                <w:rFonts w:ascii="黑体" w:hAnsi="宋体" w:eastAsia="黑体" w:cs="宋体"/>
                <w:bCs/>
                <w:sz w:val="21"/>
                <w:szCs w:val="21"/>
                <w:highlight w:val="none"/>
              </w:rPr>
            </w:pPr>
          </w:p>
        </w:tc>
      </w:tr>
      <w:tr w14:paraId="174F2E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 w:hRule="exact"/>
          <w:jc w:val="center"/>
        </w:trPr>
        <w:tc>
          <w:tcPr>
            <w:tcW w:w="9556" w:type="dxa"/>
            <w:gridSpan w:val="4"/>
            <w:vAlign w:val="center"/>
          </w:tcPr>
          <w:p w14:paraId="7182EECA">
            <w:pPr>
              <w:widowControl/>
              <w:spacing w:line="276" w:lineRule="auto"/>
              <w:jc w:val="left"/>
              <w:rPr>
                <w:rFonts w:cs="宋体" w:asciiTheme="minorEastAsia" w:hAnsiTheme="minorEastAsia" w:eastAsiaTheme="minorEastAsia"/>
                <w:bCs/>
                <w:sz w:val="21"/>
                <w:szCs w:val="21"/>
                <w:highlight w:val="none"/>
              </w:rPr>
            </w:pPr>
            <w:r>
              <w:rPr>
                <w:rFonts w:hint="eastAsia" w:cs="黑体" w:asciiTheme="minorEastAsia" w:hAnsiTheme="minorEastAsia" w:eastAsiaTheme="minorEastAsia"/>
                <w:bCs/>
                <w:sz w:val="21"/>
                <w:szCs w:val="21"/>
                <w:highlight w:val="none"/>
              </w:rPr>
              <w:t>一、一般资格审查</w:t>
            </w:r>
          </w:p>
        </w:tc>
      </w:tr>
      <w:tr w14:paraId="3E97F7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8" w:hRule="exact"/>
          <w:jc w:val="center"/>
        </w:trPr>
        <w:tc>
          <w:tcPr>
            <w:tcW w:w="3585" w:type="dxa"/>
            <w:vAlign w:val="center"/>
          </w:tcPr>
          <w:p w14:paraId="42DDE470">
            <w:pPr>
              <w:spacing w:line="276" w:lineRule="auto"/>
              <w:rPr>
                <w:rFonts w:ascii="宋体" w:hAnsi="宋体"/>
                <w:bCs/>
                <w:sz w:val="21"/>
                <w:szCs w:val="21"/>
                <w:highlight w:val="none"/>
              </w:rPr>
            </w:pPr>
            <w:r>
              <w:rPr>
                <w:rFonts w:ascii="宋体" w:hAnsi="宋体"/>
                <w:bCs/>
                <w:sz w:val="21"/>
                <w:szCs w:val="21"/>
                <w:highlight w:val="none"/>
              </w:rPr>
              <w:t>1.营业执照或事业单位法人证书满足</w:t>
            </w:r>
            <w:r>
              <w:rPr>
                <w:rFonts w:hint="eastAsia" w:ascii="宋体" w:hAnsi="宋体"/>
                <w:bCs/>
                <w:sz w:val="21"/>
                <w:szCs w:val="21"/>
                <w:highlight w:val="none"/>
              </w:rPr>
              <w:t>谈判文件要求</w:t>
            </w:r>
          </w:p>
        </w:tc>
        <w:tc>
          <w:tcPr>
            <w:tcW w:w="1134" w:type="dxa"/>
            <w:vAlign w:val="center"/>
          </w:tcPr>
          <w:p w14:paraId="4929E18E">
            <w:pPr>
              <w:widowControl/>
              <w:spacing w:line="276" w:lineRule="auto"/>
              <w:jc w:val="left"/>
              <w:rPr>
                <w:rFonts w:ascii="宋体" w:hAnsi="宋体"/>
                <w:bCs/>
                <w:sz w:val="21"/>
                <w:szCs w:val="21"/>
                <w:highlight w:val="none"/>
              </w:rPr>
            </w:pPr>
          </w:p>
        </w:tc>
        <w:tc>
          <w:tcPr>
            <w:tcW w:w="1134" w:type="dxa"/>
            <w:vAlign w:val="center"/>
          </w:tcPr>
          <w:p w14:paraId="5FAA780C">
            <w:pPr>
              <w:widowControl/>
              <w:spacing w:line="276" w:lineRule="auto"/>
              <w:jc w:val="left"/>
              <w:rPr>
                <w:rFonts w:ascii="宋体" w:hAnsi="宋体" w:cs="宋体"/>
                <w:bCs/>
                <w:sz w:val="21"/>
                <w:szCs w:val="21"/>
                <w:highlight w:val="none"/>
              </w:rPr>
            </w:pPr>
          </w:p>
        </w:tc>
        <w:tc>
          <w:tcPr>
            <w:tcW w:w="3703" w:type="dxa"/>
            <w:vAlign w:val="center"/>
          </w:tcPr>
          <w:p w14:paraId="21AA5E2B">
            <w:pPr>
              <w:widowControl/>
              <w:spacing w:line="276" w:lineRule="auto"/>
              <w:jc w:val="left"/>
              <w:rPr>
                <w:rFonts w:ascii="宋体" w:hAnsi="宋体" w:cs="宋体"/>
                <w:bCs/>
                <w:sz w:val="21"/>
                <w:szCs w:val="21"/>
                <w:highlight w:val="none"/>
              </w:rPr>
            </w:pPr>
            <w:r>
              <w:rPr>
                <w:rFonts w:hint="eastAsia" w:cs="宋体" w:asciiTheme="minorEastAsia" w:hAnsiTheme="minorEastAsia" w:eastAsiaTheme="minorEastAsia"/>
                <w:bCs/>
                <w:sz w:val="21"/>
                <w:szCs w:val="21"/>
                <w:highlight w:val="none"/>
              </w:rPr>
              <w:t>企业法人应当提供“统一社会信用代码营业执照”，未换证的应当提供 “</w:t>
            </w:r>
            <w:r>
              <w:rPr>
                <w:rFonts w:hint="eastAsia" w:cs="宋体" w:asciiTheme="minorEastAsia" w:hAnsiTheme="minorEastAsia" w:eastAsiaTheme="minorEastAsia"/>
                <w:sz w:val="21"/>
                <w:szCs w:val="21"/>
                <w:highlight w:val="none"/>
              </w:rPr>
              <w:t>营业执照、税务登记证和组织机构代码证</w:t>
            </w:r>
            <w:r>
              <w:rPr>
                <w:rFonts w:hint="eastAsia" w:cs="宋体" w:asciiTheme="minorEastAsia" w:hAnsiTheme="minorEastAsia" w:eastAsiaTheme="minorEastAsia"/>
                <w:bCs/>
                <w:sz w:val="21"/>
                <w:szCs w:val="21"/>
                <w:highlight w:val="none"/>
              </w:rPr>
              <w:t>”；事业单位应当提供“统一社会信用代码法人登记书”，未换证的应当提供“</w:t>
            </w:r>
            <w:r>
              <w:rPr>
                <w:rFonts w:hint="eastAsia" w:cs="宋体" w:asciiTheme="minorEastAsia" w:hAnsiTheme="minorEastAsia" w:eastAsiaTheme="minorEastAsia"/>
                <w:sz w:val="21"/>
                <w:szCs w:val="21"/>
                <w:highlight w:val="none"/>
              </w:rPr>
              <w:t>事业法人登记证书和组织机构代码证</w:t>
            </w:r>
            <w:r>
              <w:rPr>
                <w:rFonts w:hint="eastAsia" w:cs="宋体" w:asciiTheme="minorEastAsia" w:hAnsiTheme="minorEastAsia" w:eastAsiaTheme="minorEastAsia"/>
                <w:bCs/>
                <w:sz w:val="21"/>
                <w:szCs w:val="21"/>
                <w:highlight w:val="none"/>
              </w:rPr>
              <w:t>”；军队单位不作要求。报价</w:t>
            </w:r>
            <w:r>
              <w:rPr>
                <w:rFonts w:hint="eastAsia" w:asciiTheme="minorEastAsia" w:hAnsiTheme="minorEastAsia" w:eastAsiaTheme="minorEastAsia"/>
                <w:bCs/>
                <w:sz w:val="21"/>
                <w:szCs w:val="21"/>
                <w:highlight w:val="none"/>
              </w:rPr>
              <w:t>供应商在资格证明文件中如有两个以上名称的，应当提供市场监管部门出具的其为同一单位书面证明材料；军队单位或事业单位，可以提供其上级主管部门出具的书面证明材料。</w:t>
            </w:r>
          </w:p>
        </w:tc>
      </w:tr>
      <w:tr w14:paraId="6EED9F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4" w:hRule="exact"/>
          <w:jc w:val="center"/>
        </w:trPr>
        <w:tc>
          <w:tcPr>
            <w:tcW w:w="3585" w:type="dxa"/>
            <w:vAlign w:val="center"/>
          </w:tcPr>
          <w:p w14:paraId="3740E000">
            <w:pPr>
              <w:spacing w:line="276" w:lineRule="auto"/>
              <w:rPr>
                <w:rFonts w:ascii="宋体" w:hAnsi="宋体"/>
                <w:bCs/>
                <w:sz w:val="21"/>
                <w:szCs w:val="21"/>
                <w:highlight w:val="none"/>
              </w:rPr>
            </w:pPr>
            <w:r>
              <w:rPr>
                <w:rFonts w:ascii="宋体" w:hAnsi="宋体"/>
                <w:bCs/>
                <w:sz w:val="21"/>
                <w:szCs w:val="21"/>
                <w:highlight w:val="none"/>
              </w:rPr>
              <w:t>2.法定代表人资格证明书</w:t>
            </w:r>
          </w:p>
        </w:tc>
        <w:tc>
          <w:tcPr>
            <w:tcW w:w="1134" w:type="dxa"/>
            <w:vAlign w:val="center"/>
          </w:tcPr>
          <w:p w14:paraId="2139C35B">
            <w:pPr>
              <w:widowControl/>
              <w:spacing w:line="276" w:lineRule="auto"/>
              <w:jc w:val="left"/>
              <w:rPr>
                <w:rFonts w:ascii="宋体" w:hAnsi="宋体"/>
                <w:bCs/>
                <w:sz w:val="21"/>
                <w:szCs w:val="21"/>
                <w:highlight w:val="none"/>
              </w:rPr>
            </w:pPr>
          </w:p>
        </w:tc>
        <w:tc>
          <w:tcPr>
            <w:tcW w:w="1134" w:type="dxa"/>
            <w:vAlign w:val="center"/>
          </w:tcPr>
          <w:p w14:paraId="18C87E03">
            <w:pPr>
              <w:widowControl/>
              <w:spacing w:line="276" w:lineRule="auto"/>
              <w:jc w:val="left"/>
              <w:rPr>
                <w:rFonts w:ascii="宋体" w:hAnsi="宋体" w:cs="宋体"/>
                <w:bCs/>
                <w:sz w:val="21"/>
                <w:szCs w:val="21"/>
                <w:highlight w:val="none"/>
              </w:rPr>
            </w:pPr>
          </w:p>
        </w:tc>
        <w:tc>
          <w:tcPr>
            <w:tcW w:w="3703" w:type="dxa"/>
            <w:vAlign w:val="center"/>
          </w:tcPr>
          <w:p w14:paraId="417F4F8B">
            <w:pPr>
              <w:widowControl/>
              <w:spacing w:line="276" w:lineRule="auto"/>
              <w:jc w:val="left"/>
              <w:rPr>
                <w:rFonts w:ascii="宋体" w:hAnsi="宋体" w:cs="宋体"/>
                <w:bCs/>
                <w:sz w:val="21"/>
                <w:szCs w:val="21"/>
                <w:highlight w:val="none"/>
              </w:rPr>
            </w:pPr>
          </w:p>
        </w:tc>
      </w:tr>
      <w:tr w14:paraId="311564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6" w:hRule="exact"/>
          <w:jc w:val="center"/>
        </w:trPr>
        <w:tc>
          <w:tcPr>
            <w:tcW w:w="3585" w:type="dxa"/>
            <w:vAlign w:val="center"/>
          </w:tcPr>
          <w:p w14:paraId="5712B4F8">
            <w:pPr>
              <w:spacing w:line="276" w:lineRule="auto"/>
              <w:rPr>
                <w:rFonts w:ascii="宋体" w:hAnsi="宋体"/>
                <w:bCs/>
                <w:sz w:val="21"/>
                <w:szCs w:val="21"/>
                <w:highlight w:val="none"/>
              </w:rPr>
            </w:pPr>
            <w:r>
              <w:rPr>
                <w:rFonts w:ascii="宋体" w:hAnsi="宋体"/>
                <w:bCs/>
                <w:sz w:val="21"/>
                <w:szCs w:val="21"/>
                <w:highlight w:val="none"/>
              </w:rPr>
              <w:t>3.法定代表人授权书（含</w:t>
            </w:r>
            <w:r>
              <w:rPr>
                <w:rFonts w:hint="eastAsia" w:ascii="宋体" w:hAnsi="宋体"/>
                <w:bCs/>
                <w:sz w:val="21"/>
                <w:szCs w:val="21"/>
                <w:highlight w:val="none"/>
              </w:rPr>
              <w:t>授权代表在报价前4个月内（不含报价当月）连续3个月由报价供应商缴纳</w:t>
            </w:r>
            <w:r>
              <w:rPr>
                <w:rFonts w:ascii="宋体" w:hAnsi="宋体"/>
                <w:bCs/>
                <w:sz w:val="21"/>
                <w:szCs w:val="21"/>
                <w:highlight w:val="none"/>
              </w:rPr>
              <w:t>社保证明</w:t>
            </w:r>
            <w:r>
              <w:rPr>
                <w:rFonts w:hint="eastAsia" w:ascii="宋体" w:hAnsi="宋体"/>
                <w:bCs/>
                <w:sz w:val="21"/>
                <w:szCs w:val="21"/>
                <w:highlight w:val="none"/>
              </w:rPr>
              <w:t>材料</w:t>
            </w:r>
            <w:r>
              <w:rPr>
                <w:rFonts w:ascii="宋体" w:hAnsi="宋体"/>
                <w:bCs/>
                <w:sz w:val="21"/>
                <w:szCs w:val="21"/>
                <w:highlight w:val="none"/>
              </w:rPr>
              <w:t>）</w:t>
            </w:r>
          </w:p>
        </w:tc>
        <w:tc>
          <w:tcPr>
            <w:tcW w:w="1134" w:type="dxa"/>
            <w:vAlign w:val="center"/>
          </w:tcPr>
          <w:p w14:paraId="30062CD4">
            <w:pPr>
              <w:widowControl/>
              <w:spacing w:line="276" w:lineRule="auto"/>
              <w:jc w:val="left"/>
              <w:rPr>
                <w:rFonts w:ascii="宋体" w:hAnsi="宋体"/>
                <w:bCs/>
                <w:sz w:val="21"/>
                <w:szCs w:val="21"/>
                <w:highlight w:val="none"/>
              </w:rPr>
            </w:pPr>
          </w:p>
        </w:tc>
        <w:tc>
          <w:tcPr>
            <w:tcW w:w="1134" w:type="dxa"/>
            <w:vAlign w:val="center"/>
          </w:tcPr>
          <w:p w14:paraId="3AF17998">
            <w:pPr>
              <w:widowControl/>
              <w:spacing w:line="276" w:lineRule="auto"/>
              <w:jc w:val="left"/>
              <w:rPr>
                <w:rFonts w:ascii="宋体" w:hAnsi="宋体" w:cs="宋体"/>
                <w:bCs/>
                <w:sz w:val="21"/>
                <w:szCs w:val="21"/>
                <w:highlight w:val="none"/>
              </w:rPr>
            </w:pPr>
          </w:p>
        </w:tc>
        <w:tc>
          <w:tcPr>
            <w:tcW w:w="3703" w:type="dxa"/>
            <w:vAlign w:val="center"/>
          </w:tcPr>
          <w:p w14:paraId="7A7F78D0">
            <w:pPr>
              <w:widowControl/>
              <w:spacing w:line="276" w:lineRule="auto"/>
              <w:jc w:val="left"/>
              <w:rPr>
                <w:rFonts w:hint="default" w:ascii="宋体" w:hAnsi="宋体" w:cs="宋体"/>
                <w:bCs/>
                <w:sz w:val="21"/>
                <w:szCs w:val="21"/>
                <w:highlight w:val="none"/>
                <w:lang w:val="en-US"/>
              </w:rPr>
            </w:pPr>
            <w:r>
              <w:rPr>
                <w:rFonts w:hint="eastAsia" w:ascii="宋体" w:hAnsi="宋体" w:cs="宋体"/>
                <w:bCs/>
                <w:sz w:val="21"/>
                <w:szCs w:val="21"/>
                <w:highlight w:val="none"/>
                <w:lang w:val="en-US" w:eastAsia="zh-CN"/>
              </w:rPr>
              <w:t>代缴社保证明材料不予认可</w:t>
            </w:r>
          </w:p>
        </w:tc>
      </w:tr>
      <w:tr w14:paraId="5ABC30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0" w:hRule="exact"/>
          <w:jc w:val="center"/>
        </w:trPr>
        <w:tc>
          <w:tcPr>
            <w:tcW w:w="3585" w:type="dxa"/>
            <w:vAlign w:val="center"/>
          </w:tcPr>
          <w:p w14:paraId="4A44E580">
            <w:pPr>
              <w:spacing w:line="276" w:lineRule="auto"/>
              <w:rPr>
                <w:rFonts w:ascii="宋体" w:hAnsi="宋体"/>
                <w:bCs/>
                <w:sz w:val="21"/>
                <w:szCs w:val="21"/>
                <w:highlight w:val="none"/>
              </w:rPr>
            </w:pPr>
            <w:r>
              <w:rPr>
                <w:rFonts w:ascii="宋体" w:hAnsi="宋体" w:cs="宋体"/>
                <w:bCs/>
                <w:sz w:val="21"/>
                <w:szCs w:val="21"/>
                <w:highlight w:val="none"/>
              </w:rPr>
              <w:t>4.</w:t>
            </w:r>
            <w:r>
              <w:rPr>
                <w:rFonts w:hint="eastAsia" w:ascii="宋体" w:hAnsi="宋体" w:cs="宋体"/>
                <w:bCs/>
                <w:sz w:val="21"/>
                <w:szCs w:val="21"/>
                <w:highlight w:val="none"/>
              </w:rPr>
              <w:t>至申领谈判文件截止</w:t>
            </w:r>
            <w:r>
              <w:rPr>
                <w:rFonts w:hint="eastAsia" w:ascii="宋体" w:hAnsi="宋体"/>
                <w:bCs/>
                <w:sz w:val="21"/>
                <w:szCs w:val="21"/>
                <w:highlight w:val="none"/>
              </w:rPr>
              <w:t>时间</w:t>
            </w:r>
            <w:r>
              <w:rPr>
                <w:rFonts w:hint="eastAsia" w:ascii="宋体" w:hAnsi="宋体" w:cs="宋体"/>
                <w:bCs/>
                <w:sz w:val="21"/>
                <w:szCs w:val="21"/>
                <w:highlight w:val="none"/>
              </w:rPr>
              <w:t>，供应商成立时间不少于</w:t>
            </w:r>
            <w:r>
              <w:rPr>
                <w:rFonts w:hint="eastAsia" w:ascii="宋体" w:hAnsi="宋体" w:cs="宋体"/>
                <w:bCs/>
                <w:sz w:val="21"/>
                <w:szCs w:val="21"/>
                <w:highlight w:val="none"/>
                <w:lang w:val="en-US" w:eastAsia="zh-CN"/>
              </w:rPr>
              <w:t>1</w:t>
            </w:r>
            <w:r>
              <w:rPr>
                <w:rFonts w:ascii="宋体" w:hAnsi="宋体" w:cs="宋体"/>
                <w:bCs/>
                <w:sz w:val="21"/>
                <w:szCs w:val="21"/>
                <w:highlight w:val="none"/>
              </w:rPr>
              <w:t>年</w:t>
            </w:r>
          </w:p>
        </w:tc>
        <w:tc>
          <w:tcPr>
            <w:tcW w:w="1134" w:type="dxa"/>
            <w:vAlign w:val="center"/>
          </w:tcPr>
          <w:p w14:paraId="07C02BCE">
            <w:pPr>
              <w:widowControl/>
              <w:spacing w:line="276" w:lineRule="auto"/>
              <w:jc w:val="left"/>
              <w:rPr>
                <w:rFonts w:ascii="宋体" w:hAnsi="宋体"/>
                <w:bCs/>
                <w:sz w:val="21"/>
                <w:szCs w:val="21"/>
                <w:highlight w:val="none"/>
              </w:rPr>
            </w:pPr>
          </w:p>
        </w:tc>
        <w:tc>
          <w:tcPr>
            <w:tcW w:w="1134" w:type="dxa"/>
            <w:vAlign w:val="center"/>
          </w:tcPr>
          <w:p w14:paraId="3A0FC82D">
            <w:pPr>
              <w:widowControl/>
              <w:spacing w:line="276" w:lineRule="auto"/>
              <w:jc w:val="left"/>
              <w:rPr>
                <w:rFonts w:ascii="宋体" w:hAnsi="宋体" w:cs="宋体"/>
                <w:bCs/>
                <w:sz w:val="21"/>
                <w:szCs w:val="21"/>
                <w:highlight w:val="none"/>
              </w:rPr>
            </w:pPr>
          </w:p>
        </w:tc>
        <w:tc>
          <w:tcPr>
            <w:tcW w:w="3703" w:type="dxa"/>
            <w:vAlign w:val="center"/>
          </w:tcPr>
          <w:p w14:paraId="5D90CD0C">
            <w:pPr>
              <w:widowControl/>
              <w:spacing w:line="276" w:lineRule="auto"/>
              <w:jc w:val="left"/>
              <w:rPr>
                <w:rFonts w:ascii="宋体" w:hAnsi="宋体" w:cs="宋体"/>
                <w:bCs/>
                <w:sz w:val="21"/>
                <w:szCs w:val="21"/>
                <w:highlight w:val="none"/>
              </w:rPr>
            </w:pPr>
            <w:r>
              <w:rPr>
                <w:rFonts w:hint="eastAsia" w:ascii="宋体" w:hAnsi="宋体" w:cs="宋体"/>
                <w:bCs/>
                <w:sz w:val="21"/>
                <w:szCs w:val="21"/>
                <w:highlight w:val="none"/>
              </w:rPr>
              <w:t>国有企业、事业单位、军队单位除外</w:t>
            </w:r>
          </w:p>
        </w:tc>
      </w:tr>
      <w:tr w14:paraId="232496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0" w:hRule="exact"/>
          <w:jc w:val="center"/>
        </w:trPr>
        <w:tc>
          <w:tcPr>
            <w:tcW w:w="3585" w:type="dxa"/>
            <w:vAlign w:val="center"/>
          </w:tcPr>
          <w:p w14:paraId="502D040F">
            <w:pPr>
              <w:spacing w:line="276" w:lineRule="auto"/>
              <w:rPr>
                <w:rFonts w:ascii="宋体" w:hAnsi="宋体"/>
                <w:bCs/>
                <w:sz w:val="21"/>
                <w:szCs w:val="21"/>
                <w:highlight w:val="none"/>
              </w:rPr>
            </w:pPr>
            <w:r>
              <w:rPr>
                <w:rFonts w:ascii="宋体" w:hAnsi="宋体"/>
                <w:bCs/>
                <w:sz w:val="21"/>
                <w:szCs w:val="21"/>
                <w:highlight w:val="none"/>
              </w:rPr>
              <w:t>5.供应商承诺声明</w:t>
            </w:r>
          </w:p>
        </w:tc>
        <w:tc>
          <w:tcPr>
            <w:tcW w:w="1134" w:type="dxa"/>
            <w:vAlign w:val="center"/>
          </w:tcPr>
          <w:p w14:paraId="5A03A1EF">
            <w:pPr>
              <w:widowControl/>
              <w:spacing w:line="276" w:lineRule="auto"/>
              <w:jc w:val="left"/>
              <w:rPr>
                <w:rFonts w:ascii="宋体" w:hAnsi="宋体"/>
                <w:bCs/>
                <w:sz w:val="21"/>
                <w:szCs w:val="21"/>
                <w:highlight w:val="none"/>
              </w:rPr>
            </w:pPr>
          </w:p>
        </w:tc>
        <w:tc>
          <w:tcPr>
            <w:tcW w:w="1134" w:type="dxa"/>
            <w:vAlign w:val="center"/>
          </w:tcPr>
          <w:p w14:paraId="012B661F">
            <w:pPr>
              <w:widowControl/>
              <w:spacing w:line="276" w:lineRule="auto"/>
              <w:jc w:val="left"/>
              <w:rPr>
                <w:rFonts w:ascii="宋体" w:hAnsi="宋体" w:cs="宋体"/>
                <w:bCs/>
                <w:sz w:val="21"/>
                <w:szCs w:val="21"/>
                <w:highlight w:val="none"/>
              </w:rPr>
            </w:pPr>
          </w:p>
        </w:tc>
        <w:tc>
          <w:tcPr>
            <w:tcW w:w="3703" w:type="dxa"/>
            <w:vAlign w:val="center"/>
          </w:tcPr>
          <w:p w14:paraId="5687CA3A">
            <w:pPr>
              <w:widowControl/>
              <w:spacing w:line="276" w:lineRule="auto"/>
              <w:jc w:val="left"/>
              <w:rPr>
                <w:rFonts w:ascii="宋体" w:hAnsi="宋体" w:cs="宋体"/>
                <w:bCs/>
                <w:sz w:val="21"/>
                <w:szCs w:val="21"/>
                <w:highlight w:val="none"/>
              </w:rPr>
            </w:pPr>
            <w:r>
              <w:rPr>
                <w:rFonts w:hint="eastAsia" w:ascii="宋体" w:hAnsi="宋体"/>
                <w:bCs/>
                <w:sz w:val="21"/>
                <w:szCs w:val="21"/>
                <w:highlight w:val="none"/>
              </w:rPr>
              <w:t>承诺声明应当</w:t>
            </w:r>
            <w:r>
              <w:rPr>
                <w:rFonts w:hint="eastAsia" w:ascii="宋体" w:hAnsi="宋体" w:cs="宋体"/>
                <w:bCs/>
                <w:sz w:val="21"/>
                <w:szCs w:val="21"/>
                <w:highlight w:val="none"/>
              </w:rPr>
              <w:t>包含：供应商诚信承诺、保密承诺、诚信责任保证金承诺、未被列入违法失信名单承诺、关联关系企业不参与采购活动承诺、前</w:t>
            </w:r>
            <w:r>
              <w:rPr>
                <w:rFonts w:ascii="宋体" w:hAnsi="宋体" w:cs="宋体"/>
                <w:bCs/>
                <w:sz w:val="21"/>
                <w:szCs w:val="21"/>
                <w:highlight w:val="none"/>
              </w:rPr>
              <w:t>3年没有重大违法记录的书面声明、没有发生过重大质量安全事故的书面声明、</w:t>
            </w:r>
            <w:r>
              <w:rPr>
                <w:rFonts w:hint="eastAsia" w:ascii="宋体" w:hAnsi="宋体" w:cs="宋体"/>
                <w:bCs/>
                <w:sz w:val="21"/>
                <w:szCs w:val="21"/>
                <w:highlight w:val="none"/>
              </w:rPr>
              <w:t>非外资独资企业或控股企业的书面声明、具备履约专业能力的书面声明。</w:t>
            </w:r>
          </w:p>
        </w:tc>
      </w:tr>
      <w:tr w14:paraId="1AC3F3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31" w:hRule="exact"/>
          <w:jc w:val="center"/>
        </w:trPr>
        <w:tc>
          <w:tcPr>
            <w:tcW w:w="3585" w:type="dxa"/>
            <w:vAlign w:val="center"/>
          </w:tcPr>
          <w:p w14:paraId="110B0A03">
            <w:pPr>
              <w:spacing w:line="276" w:lineRule="auto"/>
              <w:rPr>
                <w:rFonts w:ascii="宋体" w:hAnsi="宋体"/>
                <w:bCs/>
                <w:sz w:val="21"/>
                <w:szCs w:val="21"/>
                <w:highlight w:val="none"/>
              </w:rPr>
            </w:pPr>
            <w:r>
              <w:rPr>
                <w:rFonts w:ascii="宋体" w:hAnsi="宋体"/>
                <w:bCs/>
                <w:sz w:val="21"/>
                <w:szCs w:val="21"/>
                <w:highlight w:val="none"/>
              </w:rPr>
              <w:t>6.</w:t>
            </w:r>
            <w:r>
              <w:rPr>
                <w:rFonts w:hint="eastAsia" w:ascii="宋体" w:hAnsi="宋体"/>
                <w:bCs/>
                <w:sz w:val="21"/>
                <w:szCs w:val="21"/>
                <w:highlight w:val="none"/>
              </w:rPr>
              <w:t>报价供应商近一年内（报价截止时间前）任意</w:t>
            </w:r>
            <w:r>
              <w:rPr>
                <w:rFonts w:ascii="宋体" w:hAnsi="宋体"/>
                <w:bCs/>
                <w:sz w:val="21"/>
                <w:szCs w:val="21"/>
                <w:highlight w:val="none"/>
              </w:rPr>
              <w:t>6个月纳税证明材料</w:t>
            </w:r>
          </w:p>
        </w:tc>
        <w:tc>
          <w:tcPr>
            <w:tcW w:w="1134" w:type="dxa"/>
            <w:vAlign w:val="center"/>
          </w:tcPr>
          <w:p w14:paraId="391F4121">
            <w:pPr>
              <w:widowControl/>
              <w:spacing w:line="276" w:lineRule="auto"/>
              <w:jc w:val="left"/>
              <w:rPr>
                <w:rFonts w:ascii="宋体" w:hAnsi="宋体"/>
                <w:bCs/>
                <w:sz w:val="21"/>
                <w:szCs w:val="21"/>
                <w:highlight w:val="none"/>
              </w:rPr>
            </w:pPr>
          </w:p>
        </w:tc>
        <w:tc>
          <w:tcPr>
            <w:tcW w:w="1134" w:type="dxa"/>
            <w:vAlign w:val="center"/>
          </w:tcPr>
          <w:p w14:paraId="27C23666">
            <w:pPr>
              <w:widowControl/>
              <w:spacing w:line="276" w:lineRule="auto"/>
              <w:jc w:val="left"/>
              <w:rPr>
                <w:rFonts w:ascii="宋体" w:hAnsi="宋体" w:cs="宋体"/>
                <w:bCs/>
                <w:sz w:val="21"/>
                <w:szCs w:val="21"/>
                <w:highlight w:val="none"/>
              </w:rPr>
            </w:pPr>
          </w:p>
        </w:tc>
        <w:tc>
          <w:tcPr>
            <w:tcW w:w="3703" w:type="dxa"/>
            <w:vAlign w:val="center"/>
          </w:tcPr>
          <w:p w14:paraId="486509DD">
            <w:pPr>
              <w:widowControl/>
              <w:spacing w:line="276" w:lineRule="auto"/>
              <w:jc w:val="left"/>
              <w:rPr>
                <w:rFonts w:ascii="宋体" w:hAnsi="宋体" w:cs="宋体"/>
                <w:bCs/>
                <w:sz w:val="21"/>
                <w:szCs w:val="21"/>
                <w:highlight w:val="none"/>
              </w:rPr>
            </w:pPr>
            <w:r>
              <w:rPr>
                <w:rFonts w:hint="eastAsia" w:ascii="宋体" w:hAnsi="宋体" w:cs="宋体"/>
                <w:bCs/>
                <w:sz w:val="21"/>
                <w:szCs w:val="21"/>
                <w:highlight w:val="none"/>
              </w:rPr>
              <w:t>根据税务部门出具的完税凭证或纳税的银行转账汇款单、对账单等判定，证明材料应当显示税种和缴纳所属时期（</w:t>
            </w:r>
            <w:r>
              <w:rPr>
                <w:rFonts w:hint="eastAsia" w:ascii="宋体" w:hAnsi="宋体" w:cs="宋体"/>
                <w:b/>
                <w:sz w:val="21"/>
                <w:szCs w:val="21"/>
                <w:highlight w:val="none"/>
              </w:rPr>
              <w:t>认定税种不包括个人所得税</w:t>
            </w:r>
            <w:r>
              <w:rPr>
                <w:rFonts w:hint="eastAsia" w:ascii="宋体" w:hAnsi="宋体" w:cs="宋体"/>
                <w:bCs/>
                <w:sz w:val="21"/>
                <w:szCs w:val="21"/>
                <w:highlight w:val="none"/>
              </w:rPr>
              <w:t>）</w:t>
            </w:r>
            <w:r>
              <w:rPr>
                <w:rFonts w:hint="eastAsia" w:ascii="宋体" w:hAnsi="宋体" w:cs="宋体"/>
                <w:bCs/>
                <w:sz w:val="21"/>
                <w:szCs w:val="21"/>
                <w:highlight w:val="none"/>
                <w:lang w:eastAsia="zh-CN"/>
              </w:rPr>
              <w:t>；</w:t>
            </w:r>
            <w:r>
              <w:rPr>
                <w:rFonts w:hint="eastAsia" w:ascii="宋体" w:hAnsi="宋体" w:cs="宋体"/>
                <w:bCs/>
                <w:sz w:val="21"/>
                <w:szCs w:val="21"/>
                <w:highlight w:val="none"/>
              </w:rPr>
              <w:t>军队单位不作要求</w:t>
            </w:r>
            <w:r>
              <w:rPr>
                <w:rFonts w:hint="eastAsia" w:ascii="宋体" w:hAnsi="宋体" w:cs="宋体"/>
                <w:bCs/>
                <w:sz w:val="21"/>
                <w:szCs w:val="21"/>
                <w:highlight w:val="none"/>
                <w:lang w:eastAsia="zh-CN"/>
              </w:rPr>
              <w:t>；</w:t>
            </w:r>
            <w:r>
              <w:rPr>
                <w:rFonts w:hint="eastAsia" w:ascii="宋体" w:hAnsi="宋体" w:cs="宋体"/>
                <w:bCs/>
                <w:sz w:val="21"/>
                <w:szCs w:val="21"/>
                <w:highlight w:val="none"/>
              </w:rPr>
              <w:t>如依法免税或不需要纳税的，提供相应证明材料。</w:t>
            </w:r>
          </w:p>
        </w:tc>
      </w:tr>
      <w:tr w14:paraId="0509C3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64" w:hRule="exact"/>
          <w:jc w:val="center"/>
        </w:trPr>
        <w:tc>
          <w:tcPr>
            <w:tcW w:w="3585" w:type="dxa"/>
            <w:vAlign w:val="center"/>
          </w:tcPr>
          <w:p w14:paraId="70FD5289">
            <w:pPr>
              <w:spacing w:line="276" w:lineRule="auto"/>
              <w:rPr>
                <w:rFonts w:ascii="宋体" w:hAnsi="宋体"/>
                <w:bCs/>
                <w:sz w:val="21"/>
                <w:szCs w:val="21"/>
                <w:highlight w:val="none"/>
              </w:rPr>
            </w:pPr>
            <w:r>
              <w:rPr>
                <w:rFonts w:ascii="宋体" w:hAnsi="宋体"/>
                <w:bCs/>
                <w:sz w:val="21"/>
                <w:szCs w:val="21"/>
                <w:highlight w:val="none"/>
              </w:rPr>
              <w:t>7.</w:t>
            </w:r>
            <w:r>
              <w:rPr>
                <w:rFonts w:hint="eastAsia" w:ascii="宋体" w:hAnsi="宋体"/>
                <w:bCs/>
                <w:sz w:val="21"/>
                <w:szCs w:val="21"/>
                <w:highlight w:val="none"/>
              </w:rPr>
              <w:t>报价供应商近一年内（报价截止时间前）任意</w:t>
            </w:r>
            <w:r>
              <w:rPr>
                <w:rFonts w:ascii="宋体" w:hAnsi="宋体"/>
                <w:bCs/>
                <w:sz w:val="21"/>
                <w:szCs w:val="21"/>
                <w:highlight w:val="none"/>
              </w:rPr>
              <w:t>6个月缴纳社会保障金证明材料</w:t>
            </w:r>
          </w:p>
        </w:tc>
        <w:tc>
          <w:tcPr>
            <w:tcW w:w="1134" w:type="dxa"/>
            <w:vAlign w:val="center"/>
          </w:tcPr>
          <w:p w14:paraId="4DEAAED2">
            <w:pPr>
              <w:spacing w:line="276" w:lineRule="auto"/>
              <w:rPr>
                <w:rFonts w:ascii="宋体" w:hAnsi="宋体"/>
                <w:bCs/>
                <w:sz w:val="21"/>
                <w:szCs w:val="21"/>
                <w:highlight w:val="none"/>
              </w:rPr>
            </w:pPr>
          </w:p>
        </w:tc>
        <w:tc>
          <w:tcPr>
            <w:tcW w:w="1134" w:type="dxa"/>
            <w:vAlign w:val="center"/>
          </w:tcPr>
          <w:p w14:paraId="185F37EF">
            <w:pPr>
              <w:widowControl/>
              <w:spacing w:line="276" w:lineRule="auto"/>
              <w:jc w:val="left"/>
              <w:rPr>
                <w:rFonts w:ascii="宋体" w:hAnsi="宋体" w:cs="宋体"/>
                <w:bCs/>
                <w:sz w:val="21"/>
                <w:szCs w:val="21"/>
                <w:highlight w:val="none"/>
              </w:rPr>
            </w:pPr>
          </w:p>
        </w:tc>
        <w:tc>
          <w:tcPr>
            <w:tcW w:w="3703" w:type="dxa"/>
            <w:vAlign w:val="center"/>
          </w:tcPr>
          <w:p w14:paraId="694F808E">
            <w:pPr>
              <w:widowControl/>
              <w:spacing w:line="276" w:lineRule="auto"/>
              <w:jc w:val="left"/>
              <w:rPr>
                <w:rFonts w:ascii="宋体" w:hAnsi="宋体" w:cs="宋体"/>
                <w:bCs/>
                <w:sz w:val="21"/>
                <w:szCs w:val="21"/>
                <w:highlight w:val="none"/>
              </w:rPr>
            </w:pPr>
            <w:r>
              <w:rPr>
                <w:rFonts w:hint="eastAsia" w:ascii="宋体" w:hAnsi="宋体" w:cs="宋体"/>
                <w:bCs/>
                <w:sz w:val="21"/>
                <w:szCs w:val="21"/>
                <w:highlight w:val="none"/>
              </w:rPr>
              <w:t>根据银行转账汇款单或社保（税务）部门出具的缴纳社会保障金的凭证判定，证明材料应当显示险种和缴纳所属时期；不需要缴纳社会保障金的报价供应商，应当提供相关证明材料或书面声明。代缴社保证明材料不予认可。</w:t>
            </w:r>
          </w:p>
        </w:tc>
      </w:tr>
      <w:tr w14:paraId="06CE18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8" w:hRule="exact"/>
          <w:jc w:val="center"/>
        </w:trPr>
        <w:tc>
          <w:tcPr>
            <w:tcW w:w="3585" w:type="dxa"/>
            <w:vAlign w:val="center"/>
          </w:tcPr>
          <w:p w14:paraId="0DC9057C">
            <w:pPr>
              <w:spacing w:line="276" w:lineRule="auto"/>
              <w:rPr>
                <w:rFonts w:hint="eastAsia" w:ascii="宋体" w:hAnsi="宋体"/>
                <w:bCs/>
                <w:sz w:val="21"/>
                <w:szCs w:val="21"/>
                <w:highlight w:val="none"/>
              </w:rPr>
            </w:pPr>
            <w:r>
              <w:rPr>
                <w:rFonts w:hint="eastAsia" w:ascii="宋体" w:hAnsi="宋体"/>
                <w:bCs/>
                <w:sz w:val="21"/>
                <w:szCs w:val="21"/>
                <w:highlight w:val="none"/>
              </w:rPr>
              <w:t>8.报价供应商提供会计师事务所出具的近1年</w:t>
            </w:r>
            <w:r>
              <w:rPr>
                <w:rFonts w:hint="eastAsia" w:ascii="宋体" w:hAnsi="宋体"/>
                <w:bCs/>
                <w:sz w:val="21"/>
                <w:szCs w:val="21"/>
                <w:highlight w:val="none"/>
                <w:lang w:eastAsia="zh-CN"/>
              </w:rPr>
              <w:t>（</w:t>
            </w:r>
            <w:r>
              <w:rPr>
                <w:rFonts w:hint="eastAsia" w:ascii="宋体" w:hAnsi="宋体"/>
                <w:bCs/>
                <w:sz w:val="21"/>
                <w:szCs w:val="21"/>
                <w:highlight w:val="none"/>
                <w:lang w:val="en-US" w:eastAsia="zh-CN"/>
              </w:rPr>
              <w:t>2023年</w:t>
            </w:r>
            <w:r>
              <w:rPr>
                <w:rFonts w:hint="eastAsia" w:ascii="宋体" w:hAnsi="宋体"/>
                <w:bCs/>
                <w:sz w:val="21"/>
                <w:szCs w:val="21"/>
                <w:highlight w:val="none"/>
                <w:lang w:eastAsia="zh-CN"/>
              </w:rPr>
              <w:t>）</w:t>
            </w:r>
            <w:r>
              <w:rPr>
                <w:rFonts w:hint="eastAsia" w:ascii="宋体" w:hAnsi="宋体"/>
                <w:bCs/>
                <w:sz w:val="21"/>
                <w:szCs w:val="21"/>
                <w:highlight w:val="none"/>
              </w:rPr>
              <w:t>审计报告或公司财务报告（表）</w:t>
            </w:r>
          </w:p>
        </w:tc>
        <w:tc>
          <w:tcPr>
            <w:tcW w:w="1134" w:type="dxa"/>
            <w:vAlign w:val="center"/>
          </w:tcPr>
          <w:p w14:paraId="2DE78517">
            <w:pPr>
              <w:spacing w:line="276" w:lineRule="auto"/>
              <w:rPr>
                <w:rFonts w:hint="eastAsia" w:ascii="宋体" w:hAnsi="宋体"/>
                <w:bCs/>
                <w:sz w:val="21"/>
                <w:szCs w:val="21"/>
                <w:highlight w:val="none"/>
              </w:rPr>
            </w:pPr>
          </w:p>
        </w:tc>
        <w:tc>
          <w:tcPr>
            <w:tcW w:w="1134" w:type="dxa"/>
            <w:vAlign w:val="center"/>
          </w:tcPr>
          <w:p w14:paraId="10B2D79C">
            <w:pPr>
              <w:spacing w:line="276" w:lineRule="auto"/>
              <w:rPr>
                <w:rFonts w:hint="eastAsia" w:ascii="宋体" w:hAnsi="宋体"/>
                <w:bCs/>
                <w:sz w:val="21"/>
                <w:szCs w:val="21"/>
                <w:highlight w:val="none"/>
              </w:rPr>
            </w:pPr>
          </w:p>
        </w:tc>
        <w:tc>
          <w:tcPr>
            <w:tcW w:w="3703" w:type="dxa"/>
            <w:vAlign w:val="center"/>
          </w:tcPr>
          <w:p w14:paraId="3B2B7DB8">
            <w:pPr>
              <w:spacing w:line="276" w:lineRule="auto"/>
              <w:rPr>
                <w:rFonts w:hint="eastAsia" w:ascii="宋体" w:hAnsi="宋体"/>
                <w:bCs/>
                <w:sz w:val="21"/>
                <w:szCs w:val="21"/>
                <w:highlight w:val="none"/>
              </w:rPr>
            </w:pPr>
            <w:r>
              <w:rPr>
                <w:rFonts w:hint="eastAsia" w:ascii="宋体" w:hAnsi="宋体"/>
                <w:bCs/>
                <w:sz w:val="21"/>
                <w:szCs w:val="21"/>
                <w:highlight w:val="none"/>
              </w:rPr>
              <w:t>主要内容至少包含资产负债表、利润表、现金流量表。军队单位、事业单位无法提供审计报告的，可由上级管理部门批复的决算（或内部会计报表）代替。</w:t>
            </w:r>
          </w:p>
        </w:tc>
      </w:tr>
      <w:tr w14:paraId="118780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exact"/>
          <w:jc w:val="center"/>
        </w:trPr>
        <w:tc>
          <w:tcPr>
            <w:tcW w:w="3585" w:type="dxa"/>
            <w:vAlign w:val="center"/>
          </w:tcPr>
          <w:p w14:paraId="15858FB8">
            <w:pPr>
              <w:spacing w:line="276" w:lineRule="auto"/>
              <w:rPr>
                <w:rFonts w:ascii="宋体" w:hAnsi="宋体"/>
                <w:bCs/>
                <w:sz w:val="21"/>
                <w:szCs w:val="21"/>
                <w:highlight w:val="none"/>
              </w:rPr>
            </w:pPr>
            <w:r>
              <w:rPr>
                <w:rFonts w:ascii="宋体" w:hAnsi="宋体"/>
                <w:bCs/>
                <w:sz w:val="21"/>
                <w:szCs w:val="21"/>
                <w:highlight w:val="none"/>
              </w:rPr>
              <w:t>9.</w:t>
            </w:r>
            <w:r>
              <w:rPr>
                <w:rFonts w:hint="eastAsia" w:ascii="宋体" w:hAnsi="宋体"/>
                <w:bCs/>
                <w:sz w:val="21"/>
                <w:szCs w:val="21"/>
                <w:highlight w:val="none"/>
              </w:rPr>
              <w:t>谈判保证金满足谈判文件要求</w:t>
            </w:r>
          </w:p>
        </w:tc>
        <w:tc>
          <w:tcPr>
            <w:tcW w:w="1134" w:type="dxa"/>
            <w:vAlign w:val="center"/>
          </w:tcPr>
          <w:p w14:paraId="2A71B887">
            <w:pPr>
              <w:widowControl/>
              <w:spacing w:line="276" w:lineRule="auto"/>
              <w:jc w:val="left"/>
              <w:rPr>
                <w:rFonts w:ascii="宋体" w:hAnsi="宋体"/>
                <w:bCs/>
                <w:sz w:val="21"/>
                <w:szCs w:val="21"/>
                <w:highlight w:val="none"/>
              </w:rPr>
            </w:pPr>
          </w:p>
        </w:tc>
        <w:tc>
          <w:tcPr>
            <w:tcW w:w="1134" w:type="dxa"/>
            <w:vAlign w:val="center"/>
          </w:tcPr>
          <w:p w14:paraId="3AC40F77">
            <w:pPr>
              <w:widowControl/>
              <w:spacing w:line="276" w:lineRule="auto"/>
              <w:jc w:val="left"/>
              <w:rPr>
                <w:rFonts w:ascii="宋体" w:hAnsi="宋体" w:cs="宋体"/>
                <w:bCs/>
                <w:sz w:val="21"/>
                <w:szCs w:val="21"/>
                <w:highlight w:val="none"/>
              </w:rPr>
            </w:pPr>
          </w:p>
        </w:tc>
        <w:tc>
          <w:tcPr>
            <w:tcW w:w="3703" w:type="dxa"/>
            <w:vAlign w:val="center"/>
          </w:tcPr>
          <w:p w14:paraId="6A0C6938">
            <w:pPr>
              <w:widowControl/>
              <w:spacing w:line="276" w:lineRule="auto"/>
              <w:jc w:val="left"/>
              <w:rPr>
                <w:rFonts w:ascii="宋体" w:hAnsi="宋体" w:cs="宋体"/>
                <w:bCs/>
                <w:sz w:val="21"/>
                <w:szCs w:val="21"/>
                <w:highlight w:val="none"/>
              </w:rPr>
            </w:pPr>
            <w:r>
              <w:rPr>
                <w:rFonts w:hint="eastAsia" w:ascii="宋体" w:hAnsi="宋体" w:cs="宋体"/>
                <w:bCs/>
                <w:sz w:val="21"/>
                <w:szCs w:val="21"/>
                <w:highlight w:val="none"/>
              </w:rPr>
              <w:t>根据报价截止后采购机构现场公布谈判保证金缴纳情况判定</w:t>
            </w:r>
          </w:p>
        </w:tc>
      </w:tr>
      <w:tr w14:paraId="592579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exact"/>
          <w:jc w:val="center"/>
        </w:trPr>
        <w:tc>
          <w:tcPr>
            <w:tcW w:w="3585" w:type="dxa"/>
            <w:vAlign w:val="center"/>
          </w:tcPr>
          <w:p w14:paraId="3922AE2F">
            <w:pPr>
              <w:spacing w:line="276" w:lineRule="auto"/>
              <w:rPr>
                <w:rFonts w:ascii="宋体" w:hAnsi="宋体"/>
                <w:bCs/>
                <w:sz w:val="21"/>
                <w:szCs w:val="21"/>
                <w:highlight w:val="none"/>
              </w:rPr>
            </w:pPr>
            <w:r>
              <w:rPr>
                <w:rFonts w:hint="eastAsia" w:ascii="宋体" w:hAnsi="宋体"/>
                <w:bCs/>
                <w:sz w:val="21"/>
                <w:szCs w:val="21"/>
                <w:highlight w:val="none"/>
              </w:rPr>
              <w:t>1</w:t>
            </w:r>
            <w:r>
              <w:rPr>
                <w:rFonts w:ascii="宋体" w:hAnsi="宋体"/>
                <w:bCs/>
                <w:sz w:val="21"/>
                <w:szCs w:val="21"/>
                <w:highlight w:val="none"/>
              </w:rPr>
              <w:t>0.</w:t>
            </w:r>
            <w:r>
              <w:rPr>
                <w:rFonts w:hint="eastAsia" w:ascii="宋体" w:hAnsi="宋体"/>
                <w:bCs/>
                <w:sz w:val="21"/>
                <w:szCs w:val="21"/>
                <w:highlight w:val="none"/>
              </w:rPr>
              <w:t>密封满足谈判文件要求</w:t>
            </w:r>
          </w:p>
        </w:tc>
        <w:tc>
          <w:tcPr>
            <w:tcW w:w="1134" w:type="dxa"/>
            <w:vAlign w:val="center"/>
          </w:tcPr>
          <w:p w14:paraId="43C4B795">
            <w:pPr>
              <w:widowControl/>
              <w:spacing w:line="276" w:lineRule="auto"/>
              <w:jc w:val="left"/>
              <w:rPr>
                <w:rFonts w:ascii="宋体" w:hAnsi="宋体"/>
                <w:bCs/>
                <w:sz w:val="21"/>
                <w:szCs w:val="21"/>
                <w:highlight w:val="none"/>
              </w:rPr>
            </w:pPr>
          </w:p>
        </w:tc>
        <w:tc>
          <w:tcPr>
            <w:tcW w:w="1134" w:type="dxa"/>
            <w:vAlign w:val="center"/>
          </w:tcPr>
          <w:p w14:paraId="35566D99">
            <w:pPr>
              <w:widowControl/>
              <w:spacing w:line="276" w:lineRule="auto"/>
              <w:jc w:val="left"/>
              <w:rPr>
                <w:rFonts w:ascii="宋体" w:hAnsi="宋体" w:cs="宋体"/>
                <w:bCs/>
                <w:sz w:val="21"/>
                <w:szCs w:val="21"/>
                <w:highlight w:val="none"/>
              </w:rPr>
            </w:pPr>
          </w:p>
        </w:tc>
        <w:tc>
          <w:tcPr>
            <w:tcW w:w="3703" w:type="dxa"/>
            <w:vAlign w:val="center"/>
          </w:tcPr>
          <w:p w14:paraId="4C60D064">
            <w:pPr>
              <w:widowControl/>
              <w:spacing w:line="276" w:lineRule="auto"/>
              <w:jc w:val="left"/>
              <w:rPr>
                <w:rFonts w:ascii="宋体" w:hAnsi="宋体" w:cs="宋体"/>
                <w:bCs/>
                <w:sz w:val="21"/>
                <w:szCs w:val="21"/>
                <w:highlight w:val="none"/>
              </w:rPr>
            </w:pPr>
          </w:p>
        </w:tc>
      </w:tr>
      <w:tr w14:paraId="132344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7" w:hRule="atLeast"/>
          <w:jc w:val="center"/>
        </w:trPr>
        <w:tc>
          <w:tcPr>
            <w:tcW w:w="9556" w:type="dxa"/>
            <w:gridSpan w:val="4"/>
            <w:vAlign w:val="center"/>
          </w:tcPr>
          <w:p w14:paraId="0506A9E8">
            <w:pPr>
              <w:widowControl/>
              <w:spacing w:line="276" w:lineRule="auto"/>
              <w:jc w:val="left"/>
              <w:rPr>
                <w:rFonts w:ascii="宋体" w:hAnsi="宋体" w:cs="宋体"/>
                <w:bCs/>
                <w:sz w:val="21"/>
                <w:szCs w:val="21"/>
                <w:highlight w:val="none"/>
              </w:rPr>
            </w:pPr>
            <w:r>
              <w:rPr>
                <w:rFonts w:hint="eastAsia" w:ascii="宋体" w:hAnsi="宋体" w:cs="宋体"/>
                <w:bCs/>
                <w:sz w:val="21"/>
                <w:szCs w:val="21"/>
                <w:highlight w:val="none"/>
              </w:rPr>
              <w:t>说明：</w:t>
            </w:r>
            <w:r>
              <w:rPr>
                <w:rFonts w:ascii="宋体" w:hAnsi="宋体" w:cs="宋体"/>
                <w:bCs/>
                <w:sz w:val="21"/>
                <w:szCs w:val="21"/>
                <w:highlight w:val="none"/>
              </w:rPr>
              <w:t>1.合格打“√”</w:t>
            </w:r>
            <w:r>
              <w:rPr>
                <w:rFonts w:hint="eastAsia" w:ascii="宋体" w:hAnsi="宋体"/>
                <w:bCs/>
                <w:sz w:val="21"/>
                <w:szCs w:val="21"/>
                <w:highlight w:val="none"/>
              </w:rPr>
              <w:t>，</w:t>
            </w:r>
            <w:r>
              <w:rPr>
                <w:rFonts w:hint="eastAsia" w:ascii="宋体" w:hAnsi="宋体" w:cs="宋体"/>
                <w:bCs/>
                <w:sz w:val="21"/>
                <w:szCs w:val="21"/>
                <w:highlight w:val="none"/>
              </w:rPr>
              <w:t>不合格打“×”。</w:t>
            </w:r>
          </w:p>
          <w:p w14:paraId="164D33DC">
            <w:pPr>
              <w:widowControl/>
              <w:spacing w:line="276" w:lineRule="auto"/>
              <w:ind w:firstLine="630" w:firstLineChars="300"/>
              <w:jc w:val="left"/>
              <w:rPr>
                <w:rFonts w:ascii="宋体" w:hAnsi="宋体" w:cs="宋体"/>
                <w:bCs/>
                <w:sz w:val="21"/>
                <w:szCs w:val="21"/>
                <w:highlight w:val="none"/>
              </w:rPr>
            </w:pPr>
            <w:r>
              <w:rPr>
                <w:rFonts w:ascii="宋体" w:hAnsi="宋体" w:cs="宋体"/>
                <w:bCs/>
                <w:sz w:val="21"/>
                <w:szCs w:val="21"/>
                <w:highlight w:val="none"/>
              </w:rPr>
              <w:t>2.有一项内容不合格</w:t>
            </w:r>
            <w:r>
              <w:rPr>
                <w:rFonts w:hint="eastAsia" w:ascii="宋体" w:hAnsi="宋体" w:cs="宋体"/>
                <w:bCs/>
                <w:sz w:val="21"/>
                <w:szCs w:val="21"/>
                <w:highlight w:val="none"/>
              </w:rPr>
              <w:t>的</w:t>
            </w:r>
            <w:r>
              <w:rPr>
                <w:rFonts w:ascii="宋体" w:hAnsi="宋体" w:cs="宋体"/>
                <w:bCs/>
                <w:sz w:val="21"/>
                <w:szCs w:val="21"/>
                <w:highlight w:val="none"/>
              </w:rPr>
              <w:t>，综合评定为不合格。</w:t>
            </w:r>
          </w:p>
        </w:tc>
      </w:tr>
    </w:tbl>
    <w:p w14:paraId="2848980B">
      <w:pPr>
        <w:spacing w:line="560" w:lineRule="exact"/>
        <w:rPr>
          <w:bCs/>
          <w:szCs w:val="21"/>
          <w:highlight w:val="none"/>
        </w:rPr>
      </w:pPr>
      <w:r>
        <w:rPr>
          <w:rFonts w:hint="eastAsia"/>
          <w:bCs/>
          <w:sz w:val="28"/>
          <w:szCs w:val="28"/>
          <w:highlight w:val="none"/>
        </w:rPr>
        <w:t>审查人员签名：</w:t>
      </w:r>
      <w:r>
        <w:rPr>
          <w:bCs/>
          <w:sz w:val="28"/>
          <w:szCs w:val="28"/>
          <w:highlight w:val="none"/>
        </w:rPr>
        <w:t xml:space="preserve">                                 </w:t>
      </w:r>
      <w:r>
        <w:rPr>
          <w:bCs/>
          <w:sz w:val="28"/>
          <w:szCs w:val="28"/>
          <w:highlight w:val="none"/>
          <w:u w:val="single"/>
        </w:rPr>
        <w:t xml:space="preserve">    </w:t>
      </w:r>
      <w:r>
        <w:rPr>
          <w:rFonts w:hint="eastAsia"/>
          <w:bCs/>
          <w:sz w:val="28"/>
          <w:szCs w:val="28"/>
          <w:highlight w:val="none"/>
        </w:rPr>
        <w:t>年</w:t>
      </w:r>
      <w:r>
        <w:rPr>
          <w:rFonts w:hint="eastAsia"/>
          <w:bCs/>
          <w:sz w:val="28"/>
          <w:szCs w:val="28"/>
          <w:highlight w:val="none"/>
          <w:u w:val="single"/>
        </w:rPr>
        <w:t>　　</w:t>
      </w:r>
      <w:r>
        <w:rPr>
          <w:rFonts w:hint="eastAsia"/>
          <w:bCs/>
          <w:sz w:val="28"/>
          <w:szCs w:val="28"/>
          <w:highlight w:val="none"/>
        </w:rPr>
        <w:t>月</w:t>
      </w:r>
      <w:r>
        <w:rPr>
          <w:rFonts w:hint="eastAsia"/>
          <w:bCs/>
          <w:sz w:val="28"/>
          <w:szCs w:val="28"/>
          <w:highlight w:val="none"/>
          <w:u w:val="single"/>
        </w:rPr>
        <w:t>　　</w:t>
      </w:r>
      <w:r>
        <w:rPr>
          <w:rFonts w:hint="eastAsia"/>
          <w:bCs/>
          <w:sz w:val="28"/>
          <w:szCs w:val="28"/>
          <w:highlight w:val="none"/>
        </w:rPr>
        <w:t>日</w:t>
      </w:r>
    </w:p>
    <w:p w14:paraId="45CF06FA">
      <w:pPr>
        <w:pStyle w:val="5"/>
        <w:spacing w:before="0" w:after="0" w:line="560" w:lineRule="exact"/>
        <w:rPr>
          <w:rFonts w:ascii="黑体" w:hAnsi="黑体"/>
          <w:b w:val="0"/>
          <w:sz w:val="28"/>
          <w:szCs w:val="28"/>
          <w:highlight w:val="none"/>
        </w:rPr>
      </w:pPr>
      <w:r>
        <w:rPr>
          <w:b w:val="0"/>
          <w:highlight w:val="none"/>
        </w:rPr>
        <w:br w:type="page"/>
      </w:r>
      <w:bookmarkStart w:id="821" w:name="_Toc21556"/>
      <w:bookmarkStart w:id="822" w:name="_Toc30471"/>
      <w:bookmarkStart w:id="823" w:name="_Toc132191252"/>
      <w:bookmarkStart w:id="824" w:name="_Toc130888000"/>
      <w:bookmarkStart w:id="825" w:name="_Toc128154361"/>
      <w:bookmarkStart w:id="826" w:name="_Toc8021"/>
      <w:bookmarkStart w:id="827" w:name="_Toc132186968"/>
      <w:bookmarkStart w:id="828" w:name="_Toc16171"/>
      <w:bookmarkStart w:id="829" w:name="_Toc150421241"/>
      <w:bookmarkStart w:id="830" w:name="_Toc4074"/>
      <w:bookmarkStart w:id="831" w:name="_Toc31621"/>
      <w:bookmarkStart w:id="832" w:name="_Toc128470288"/>
      <w:bookmarkStart w:id="833" w:name="_Toc130661171"/>
      <w:bookmarkStart w:id="834" w:name="_Toc16152"/>
      <w:r>
        <w:rPr>
          <w:rFonts w:hint="eastAsia" w:ascii="黑体" w:hAnsi="黑体"/>
          <w:b w:val="0"/>
          <w:sz w:val="28"/>
          <w:szCs w:val="28"/>
          <w:highlight w:val="none"/>
        </w:rPr>
        <w:t>附表</w:t>
      </w:r>
      <w:r>
        <w:rPr>
          <w:rFonts w:ascii="黑体" w:hAnsi="黑体"/>
          <w:b w:val="0"/>
          <w:sz w:val="28"/>
          <w:szCs w:val="28"/>
          <w:highlight w:val="none"/>
        </w:rPr>
        <w:t xml:space="preserve">2 </w:t>
      </w:r>
      <w:r>
        <w:rPr>
          <w:rFonts w:hint="eastAsia" w:ascii="黑体" w:hAnsi="黑体"/>
          <w:b w:val="0"/>
          <w:sz w:val="28"/>
          <w:szCs w:val="28"/>
          <w:highlight w:val="none"/>
        </w:rPr>
        <w:t>符合性审查表</w:t>
      </w:r>
      <w:bookmarkEnd w:id="821"/>
      <w:bookmarkEnd w:id="822"/>
      <w:bookmarkEnd w:id="823"/>
      <w:bookmarkEnd w:id="824"/>
      <w:bookmarkEnd w:id="825"/>
      <w:bookmarkEnd w:id="826"/>
      <w:bookmarkEnd w:id="827"/>
      <w:bookmarkEnd w:id="828"/>
      <w:bookmarkEnd w:id="829"/>
      <w:bookmarkEnd w:id="830"/>
      <w:bookmarkEnd w:id="831"/>
      <w:bookmarkEnd w:id="832"/>
      <w:bookmarkEnd w:id="833"/>
      <w:bookmarkEnd w:id="834"/>
    </w:p>
    <w:p w14:paraId="432DA657">
      <w:pPr>
        <w:spacing w:before="120" w:beforeLines="50" w:after="120" w:afterLines="50" w:line="560" w:lineRule="exact"/>
        <w:jc w:val="center"/>
        <w:rPr>
          <w:rFonts w:ascii="黑体" w:hAnsi="黑体" w:eastAsia="黑体"/>
          <w:bCs/>
          <w:sz w:val="36"/>
          <w:szCs w:val="36"/>
          <w:highlight w:val="none"/>
        </w:rPr>
      </w:pPr>
      <w:r>
        <w:rPr>
          <w:rFonts w:hint="eastAsia" w:ascii="黑体" w:hAnsi="黑体" w:eastAsia="黑体"/>
          <w:bCs/>
          <w:sz w:val="36"/>
          <w:szCs w:val="36"/>
          <w:highlight w:val="none"/>
        </w:rPr>
        <w:t>符合性审查表</w:t>
      </w:r>
    </w:p>
    <w:p w14:paraId="6460AC34">
      <w:pPr>
        <w:spacing w:line="560" w:lineRule="exact"/>
        <w:rPr>
          <w:bCs/>
          <w:sz w:val="28"/>
          <w:szCs w:val="28"/>
          <w:highlight w:val="none"/>
        </w:rPr>
      </w:pPr>
      <w:r>
        <w:rPr>
          <w:rFonts w:hint="eastAsia"/>
          <w:bCs/>
          <w:sz w:val="21"/>
          <w:szCs w:val="21"/>
          <w:highlight w:val="none"/>
        </w:rPr>
        <w:t>项目名称：</w:t>
      </w:r>
      <w:r>
        <w:rPr>
          <w:bCs/>
          <w:sz w:val="21"/>
          <w:szCs w:val="21"/>
          <w:highlight w:val="none"/>
          <w:u w:val="single"/>
        </w:rPr>
        <w:t xml:space="preserve">          </w:t>
      </w:r>
      <w:r>
        <w:rPr>
          <w:bCs/>
          <w:sz w:val="21"/>
          <w:szCs w:val="21"/>
          <w:highlight w:val="none"/>
        </w:rPr>
        <w:t xml:space="preserve">      </w:t>
      </w:r>
      <w:r>
        <w:rPr>
          <w:rFonts w:hint="eastAsia"/>
          <w:bCs/>
          <w:sz w:val="21"/>
          <w:szCs w:val="21"/>
          <w:highlight w:val="none"/>
        </w:rPr>
        <w:t>项目编号：</w:t>
      </w:r>
      <w:r>
        <w:rPr>
          <w:bCs/>
          <w:sz w:val="21"/>
          <w:szCs w:val="21"/>
          <w:highlight w:val="none"/>
          <w:u w:val="single"/>
        </w:rPr>
        <w:t xml:space="preserve">          </w:t>
      </w:r>
      <w:r>
        <w:rPr>
          <w:bCs/>
          <w:sz w:val="21"/>
          <w:szCs w:val="21"/>
          <w:highlight w:val="none"/>
        </w:rPr>
        <w:t xml:space="preserve">       </w:t>
      </w:r>
      <w:r>
        <w:rPr>
          <w:rFonts w:hint="eastAsia"/>
          <w:bCs/>
          <w:sz w:val="21"/>
          <w:szCs w:val="21"/>
          <w:highlight w:val="none"/>
        </w:rPr>
        <w:t>包号：</w:t>
      </w:r>
      <w:r>
        <w:rPr>
          <w:bCs/>
          <w:sz w:val="21"/>
          <w:szCs w:val="21"/>
          <w:highlight w:val="none"/>
          <w:u w:val="single"/>
        </w:rPr>
        <w:t xml:space="preserve">        </w:t>
      </w:r>
      <w:r>
        <w:rPr>
          <w:bCs/>
          <w:sz w:val="28"/>
          <w:szCs w:val="28"/>
          <w:highlight w:val="none"/>
          <w:u w:val="single"/>
        </w:rPr>
        <w:t xml:space="preserve"> </w:t>
      </w:r>
    </w:p>
    <w:tbl>
      <w:tblPr>
        <w:tblStyle w:val="42"/>
        <w:tblW w:w="9435" w:type="dxa"/>
        <w:jc w:val="center"/>
        <w:tblLayout w:type="fixed"/>
        <w:tblCellMar>
          <w:top w:w="0" w:type="dxa"/>
          <w:left w:w="108" w:type="dxa"/>
          <w:bottom w:w="0" w:type="dxa"/>
          <w:right w:w="108" w:type="dxa"/>
        </w:tblCellMar>
      </w:tblPr>
      <w:tblGrid>
        <w:gridCol w:w="4010"/>
        <w:gridCol w:w="1276"/>
        <w:gridCol w:w="851"/>
        <w:gridCol w:w="3298"/>
      </w:tblGrid>
      <w:tr w14:paraId="4EA913D9">
        <w:tblPrEx>
          <w:tblCellMar>
            <w:top w:w="0" w:type="dxa"/>
            <w:left w:w="108" w:type="dxa"/>
            <w:bottom w:w="0" w:type="dxa"/>
            <w:right w:w="108" w:type="dxa"/>
          </w:tblCellMar>
        </w:tblPrEx>
        <w:trPr>
          <w:trHeight w:val="356" w:hRule="atLeast"/>
          <w:jc w:val="center"/>
        </w:trPr>
        <w:tc>
          <w:tcPr>
            <w:tcW w:w="4010" w:type="dxa"/>
            <w:vMerge w:val="restart"/>
            <w:tcBorders>
              <w:top w:val="single" w:color="auto" w:sz="4" w:space="0"/>
              <w:left w:val="single" w:color="auto" w:sz="4" w:space="0"/>
              <w:bottom w:val="single" w:color="auto" w:sz="4" w:space="0"/>
              <w:right w:val="single" w:color="auto" w:sz="4" w:space="0"/>
            </w:tcBorders>
            <w:vAlign w:val="center"/>
          </w:tcPr>
          <w:p w14:paraId="1753BEC5">
            <w:pPr>
              <w:widowControl/>
              <w:spacing w:line="276" w:lineRule="auto"/>
              <w:jc w:val="center"/>
              <w:rPr>
                <w:rFonts w:cs="黑体" w:asciiTheme="minorEastAsia" w:hAnsiTheme="minorEastAsia" w:eastAsiaTheme="minorEastAsia"/>
                <w:bCs/>
                <w:sz w:val="21"/>
                <w:szCs w:val="21"/>
                <w:highlight w:val="none"/>
              </w:rPr>
            </w:pPr>
            <w:r>
              <w:rPr>
                <w:rFonts w:hint="eastAsia" w:cs="黑体" w:asciiTheme="minorEastAsia" w:hAnsiTheme="minorEastAsia" w:eastAsiaTheme="minorEastAsia"/>
                <w:bCs/>
                <w:sz w:val="21"/>
                <w:szCs w:val="21"/>
                <w:highlight w:val="none"/>
              </w:rPr>
              <w:t>审查项目</w:t>
            </w:r>
          </w:p>
        </w:tc>
        <w:tc>
          <w:tcPr>
            <w:tcW w:w="2127" w:type="dxa"/>
            <w:gridSpan w:val="2"/>
            <w:tcBorders>
              <w:top w:val="single" w:color="auto" w:sz="4" w:space="0"/>
              <w:left w:val="nil"/>
              <w:bottom w:val="single" w:color="auto" w:sz="4" w:space="0"/>
              <w:right w:val="single" w:color="auto" w:sz="4" w:space="0"/>
            </w:tcBorders>
            <w:vAlign w:val="center"/>
          </w:tcPr>
          <w:p w14:paraId="600DA038">
            <w:pPr>
              <w:widowControl/>
              <w:spacing w:line="276" w:lineRule="auto"/>
              <w:jc w:val="center"/>
              <w:rPr>
                <w:rFonts w:cs="黑体" w:asciiTheme="minorEastAsia" w:hAnsiTheme="minorEastAsia" w:eastAsiaTheme="minorEastAsia"/>
                <w:bCs/>
                <w:sz w:val="21"/>
                <w:szCs w:val="21"/>
                <w:highlight w:val="none"/>
              </w:rPr>
            </w:pPr>
            <w:r>
              <w:rPr>
                <w:rFonts w:hint="eastAsia" w:cs="黑体" w:asciiTheme="minorEastAsia" w:hAnsiTheme="minorEastAsia" w:eastAsiaTheme="minorEastAsia"/>
                <w:bCs/>
                <w:sz w:val="21"/>
                <w:szCs w:val="21"/>
                <w:highlight w:val="none"/>
              </w:rPr>
              <w:t>是否合格</w:t>
            </w:r>
          </w:p>
        </w:tc>
        <w:tc>
          <w:tcPr>
            <w:tcW w:w="3298" w:type="dxa"/>
            <w:vMerge w:val="restart"/>
            <w:tcBorders>
              <w:top w:val="single" w:color="auto" w:sz="4" w:space="0"/>
              <w:left w:val="nil"/>
              <w:bottom w:val="single" w:color="auto" w:sz="4" w:space="0"/>
              <w:right w:val="single" w:color="auto" w:sz="4" w:space="0"/>
            </w:tcBorders>
            <w:vAlign w:val="center"/>
          </w:tcPr>
          <w:p w14:paraId="7D42CA74">
            <w:pPr>
              <w:spacing w:line="276" w:lineRule="auto"/>
              <w:jc w:val="center"/>
              <w:rPr>
                <w:rFonts w:cs="宋体" w:asciiTheme="minorEastAsia" w:hAnsiTheme="minorEastAsia" w:eastAsiaTheme="minorEastAsia"/>
                <w:bCs/>
                <w:sz w:val="21"/>
                <w:szCs w:val="21"/>
                <w:highlight w:val="none"/>
              </w:rPr>
            </w:pPr>
            <w:r>
              <w:rPr>
                <w:rFonts w:hint="eastAsia" w:cs="宋体" w:asciiTheme="minorEastAsia" w:hAnsiTheme="minorEastAsia" w:eastAsiaTheme="minorEastAsia"/>
                <w:bCs/>
                <w:sz w:val="21"/>
                <w:szCs w:val="21"/>
                <w:highlight w:val="none"/>
              </w:rPr>
              <w:t>具体要求</w:t>
            </w:r>
          </w:p>
        </w:tc>
      </w:tr>
      <w:tr w14:paraId="0D0B99FB">
        <w:tblPrEx>
          <w:tblCellMar>
            <w:top w:w="0" w:type="dxa"/>
            <w:left w:w="108" w:type="dxa"/>
            <w:bottom w:w="0" w:type="dxa"/>
            <w:right w:w="108" w:type="dxa"/>
          </w:tblCellMar>
        </w:tblPrEx>
        <w:trPr>
          <w:trHeight w:val="836" w:hRule="exact"/>
          <w:jc w:val="center"/>
        </w:trPr>
        <w:tc>
          <w:tcPr>
            <w:tcW w:w="4010" w:type="dxa"/>
            <w:vMerge w:val="continue"/>
            <w:tcBorders>
              <w:top w:val="single" w:color="auto" w:sz="4" w:space="0"/>
              <w:left w:val="single" w:color="auto" w:sz="4" w:space="0"/>
              <w:bottom w:val="single" w:color="auto" w:sz="4" w:space="0"/>
              <w:right w:val="single" w:color="auto" w:sz="4" w:space="0"/>
            </w:tcBorders>
            <w:vAlign w:val="center"/>
          </w:tcPr>
          <w:p w14:paraId="6F722862">
            <w:pPr>
              <w:widowControl/>
              <w:spacing w:line="276" w:lineRule="auto"/>
              <w:jc w:val="left"/>
              <w:rPr>
                <w:rFonts w:cs="黑体" w:asciiTheme="minorEastAsia" w:hAnsiTheme="minorEastAsia" w:eastAsiaTheme="minorEastAsia"/>
                <w:bCs/>
                <w:sz w:val="21"/>
                <w:szCs w:val="21"/>
                <w:highlight w:val="none"/>
              </w:rPr>
            </w:pPr>
          </w:p>
        </w:tc>
        <w:tc>
          <w:tcPr>
            <w:tcW w:w="1276" w:type="dxa"/>
            <w:tcBorders>
              <w:top w:val="nil"/>
              <w:left w:val="nil"/>
              <w:bottom w:val="single" w:color="auto" w:sz="4" w:space="0"/>
              <w:right w:val="single" w:color="auto" w:sz="4" w:space="0"/>
            </w:tcBorders>
            <w:vAlign w:val="center"/>
          </w:tcPr>
          <w:p w14:paraId="168E3AF4">
            <w:pPr>
              <w:widowControl/>
              <w:jc w:val="center"/>
              <w:rPr>
                <w:rFonts w:cs="黑体" w:asciiTheme="minorEastAsia" w:hAnsiTheme="minorEastAsia" w:eastAsiaTheme="minorEastAsia"/>
                <w:bCs/>
                <w:sz w:val="21"/>
                <w:szCs w:val="21"/>
                <w:highlight w:val="none"/>
              </w:rPr>
            </w:pPr>
            <w:r>
              <w:rPr>
                <w:rFonts w:hint="eastAsia" w:cs="黑体" w:asciiTheme="minorEastAsia" w:hAnsiTheme="minorEastAsia" w:eastAsiaTheme="minorEastAsia"/>
                <w:bCs/>
                <w:sz w:val="21"/>
                <w:szCs w:val="21"/>
                <w:highlight w:val="none"/>
              </w:rPr>
              <w:t>报价</w:t>
            </w:r>
          </w:p>
          <w:p w14:paraId="531B12AF">
            <w:pPr>
              <w:widowControl/>
              <w:jc w:val="center"/>
              <w:rPr>
                <w:rFonts w:cs="黑体" w:asciiTheme="minorEastAsia" w:hAnsiTheme="minorEastAsia" w:eastAsiaTheme="minorEastAsia"/>
                <w:bCs/>
                <w:sz w:val="21"/>
                <w:szCs w:val="21"/>
                <w:highlight w:val="none"/>
              </w:rPr>
            </w:pPr>
            <w:r>
              <w:rPr>
                <w:rFonts w:hint="eastAsia" w:cs="黑体" w:asciiTheme="minorEastAsia" w:hAnsiTheme="minorEastAsia" w:eastAsiaTheme="minorEastAsia"/>
                <w:bCs/>
                <w:sz w:val="21"/>
                <w:szCs w:val="21"/>
                <w:highlight w:val="none"/>
              </w:rPr>
              <w:t>供应商</w:t>
            </w:r>
          </w:p>
        </w:tc>
        <w:tc>
          <w:tcPr>
            <w:tcW w:w="851" w:type="dxa"/>
            <w:tcBorders>
              <w:top w:val="nil"/>
              <w:left w:val="nil"/>
              <w:bottom w:val="single" w:color="auto" w:sz="4" w:space="0"/>
              <w:right w:val="single" w:color="auto" w:sz="4" w:space="0"/>
            </w:tcBorders>
            <w:vAlign w:val="center"/>
          </w:tcPr>
          <w:p w14:paraId="02061DD9">
            <w:pPr>
              <w:widowControl/>
              <w:spacing w:line="276" w:lineRule="auto"/>
              <w:jc w:val="center"/>
              <w:rPr>
                <w:rFonts w:cs="黑体" w:asciiTheme="minorEastAsia" w:hAnsiTheme="minorEastAsia" w:eastAsiaTheme="minorEastAsia"/>
                <w:bCs/>
                <w:sz w:val="21"/>
                <w:szCs w:val="21"/>
                <w:highlight w:val="none"/>
              </w:rPr>
            </w:pPr>
            <w:r>
              <w:rPr>
                <w:rFonts w:hint="eastAsia" w:cs="黑体" w:asciiTheme="minorEastAsia" w:hAnsiTheme="minorEastAsia" w:eastAsiaTheme="minorEastAsia"/>
                <w:bCs/>
                <w:sz w:val="21"/>
                <w:szCs w:val="21"/>
                <w:highlight w:val="none"/>
              </w:rPr>
              <w:t>…</w:t>
            </w:r>
          </w:p>
        </w:tc>
        <w:tc>
          <w:tcPr>
            <w:tcW w:w="3298" w:type="dxa"/>
            <w:vMerge w:val="continue"/>
            <w:tcBorders>
              <w:top w:val="single" w:color="auto" w:sz="4" w:space="0"/>
              <w:left w:val="nil"/>
              <w:bottom w:val="single" w:color="auto" w:sz="4" w:space="0"/>
              <w:right w:val="single" w:color="auto" w:sz="4" w:space="0"/>
            </w:tcBorders>
            <w:vAlign w:val="center"/>
          </w:tcPr>
          <w:p w14:paraId="79411712">
            <w:pPr>
              <w:widowControl/>
              <w:spacing w:line="276" w:lineRule="auto"/>
              <w:jc w:val="left"/>
              <w:rPr>
                <w:rFonts w:ascii="黑体" w:hAnsi="宋体" w:eastAsia="黑体" w:cs="宋体"/>
                <w:bCs/>
                <w:sz w:val="21"/>
                <w:szCs w:val="21"/>
                <w:highlight w:val="none"/>
              </w:rPr>
            </w:pPr>
          </w:p>
        </w:tc>
      </w:tr>
      <w:tr w14:paraId="52E18640">
        <w:tblPrEx>
          <w:tblCellMar>
            <w:top w:w="0" w:type="dxa"/>
            <w:left w:w="108" w:type="dxa"/>
            <w:bottom w:w="0" w:type="dxa"/>
            <w:right w:w="108" w:type="dxa"/>
          </w:tblCellMar>
        </w:tblPrEx>
        <w:trPr>
          <w:trHeight w:val="2685" w:hRule="exact"/>
          <w:jc w:val="center"/>
        </w:trPr>
        <w:tc>
          <w:tcPr>
            <w:tcW w:w="4010" w:type="dxa"/>
            <w:tcBorders>
              <w:top w:val="nil"/>
              <w:left w:val="single" w:color="auto" w:sz="4" w:space="0"/>
              <w:bottom w:val="single" w:color="auto" w:sz="4" w:space="0"/>
              <w:right w:val="single" w:color="auto" w:sz="4" w:space="0"/>
            </w:tcBorders>
            <w:vAlign w:val="center"/>
          </w:tcPr>
          <w:p w14:paraId="2A91C2A9">
            <w:pPr>
              <w:spacing w:line="276" w:lineRule="auto"/>
              <w:jc w:val="left"/>
              <w:rPr>
                <w:rFonts w:ascii="宋体" w:hAnsi="宋体"/>
                <w:bCs/>
                <w:sz w:val="21"/>
                <w:szCs w:val="21"/>
                <w:highlight w:val="none"/>
              </w:rPr>
            </w:pPr>
            <w:r>
              <w:rPr>
                <w:rFonts w:ascii="宋体" w:hAnsi="宋体"/>
                <w:bCs/>
                <w:sz w:val="21"/>
                <w:szCs w:val="21"/>
                <w:highlight w:val="none"/>
              </w:rPr>
              <w:t>1.</w:t>
            </w:r>
            <w:r>
              <w:rPr>
                <w:rFonts w:hint="eastAsia" w:ascii="宋体" w:hAnsi="宋体"/>
                <w:bCs/>
                <w:sz w:val="21"/>
                <w:szCs w:val="21"/>
                <w:highlight w:val="none"/>
              </w:rPr>
              <w:t>报价文件签字、盖章齐全完整</w:t>
            </w:r>
          </w:p>
        </w:tc>
        <w:tc>
          <w:tcPr>
            <w:tcW w:w="1276" w:type="dxa"/>
            <w:tcBorders>
              <w:top w:val="nil"/>
              <w:left w:val="nil"/>
              <w:bottom w:val="single" w:color="auto" w:sz="4" w:space="0"/>
              <w:right w:val="single" w:color="auto" w:sz="4" w:space="0"/>
            </w:tcBorders>
            <w:vAlign w:val="center"/>
          </w:tcPr>
          <w:p w14:paraId="4B08BC71">
            <w:pPr>
              <w:widowControl/>
              <w:spacing w:line="276" w:lineRule="auto"/>
              <w:jc w:val="left"/>
              <w:rPr>
                <w:rFonts w:ascii="宋体" w:hAnsi="宋体"/>
                <w:bCs/>
                <w:sz w:val="21"/>
                <w:szCs w:val="21"/>
                <w:highlight w:val="none"/>
              </w:rPr>
            </w:pPr>
          </w:p>
        </w:tc>
        <w:tc>
          <w:tcPr>
            <w:tcW w:w="851" w:type="dxa"/>
            <w:tcBorders>
              <w:top w:val="nil"/>
              <w:left w:val="nil"/>
              <w:bottom w:val="single" w:color="auto" w:sz="4" w:space="0"/>
              <w:right w:val="single" w:color="auto" w:sz="4" w:space="0"/>
            </w:tcBorders>
            <w:vAlign w:val="center"/>
          </w:tcPr>
          <w:p w14:paraId="0ABBAB29">
            <w:pPr>
              <w:widowControl/>
              <w:spacing w:line="276" w:lineRule="auto"/>
              <w:jc w:val="left"/>
              <w:rPr>
                <w:rFonts w:ascii="宋体" w:hAnsi="宋体" w:cs="宋体"/>
                <w:bCs/>
                <w:sz w:val="21"/>
                <w:szCs w:val="21"/>
                <w:highlight w:val="none"/>
              </w:rPr>
            </w:pPr>
          </w:p>
        </w:tc>
        <w:tc>
          <w:tcPr>
            <w:tcW w:w="3298" w:type="dxa"/>
            <w:tcBorders>
              <w:top w:val="nil"/>
              <w:left w:val="nil"/>
              <w:bottom w:val="single" w:color="auto" w:sz="4" w:space="0"/>
              <w:right w:val="single" w:color="auto" w:sz="4" w:space="0"/>
            </w:tcBorders>
            <w:vAlign w:val="center"/>
          </w:tcPr>
          <w:p w14:paraId="12FFC7CA">
            <w:pPr>
              <w:widowControl/>
              <w:spacing w:line="276" w:lineRule="auto"/>
              <w:jc w:val="left"/>
              <w:rPr>
                <w:rFonts w:ascii="宋体" w:hAnsi="宋体" w:cs="宋体"/>
                <w:bCs/>
                <w:sz w:val="21"/>
                <w:szCs w:val="21"/>
                <w:highlight w:val="none"/>
              </w:rPr>
            </w:pPr>
            <w:r>
              <w:rPr>
                <w:rFonts w:hint="eastAsia" w:ascii="宋体" w:hAnsi="宋体" w:cs="宋体"/>
                <w:bCs/>
                <w:sz w:val="21"/>
                <w:szCs w:val="21"/>
                <w:highlight w:val="none"/>
              </w:rPr>
              <w:t>报价文件需要签字处，法定代表人应当签字或盖章（签名章和方章均可），报价授权代表应当签字。</w:t>
            </w:r>
          </w:p>
          <w:p w14:paraId="178B4A4D">
            <w:pPr>
              <w:widowControl/>
              <w:spacing w:line="276" w:lineRule="auto"/>
              <w:jc w:val="left"/>
              <w:rPr>
                <w:rFonts w:ascii="宋体" w:hAnsi="宋体" w:cs="宋体"/>
                <w:bCs/>
                <w:sz w:val="21"/>
                <w:szCs w:val="21"/>
                <w:highlight w:val="none"/>
              </w:rPr>
            </w:pPr>
            <w:r>
              <w:rPr>
                <w:rFonts w:hint="eastAsia"/>
                <w:sz w:val="21"/>
                <w:szCs w:val="21"/>
                <w:highlight w:val="none"/>
              </w:rPr>
              <w:t>符合谈判文件通用文件第</w:t>
            </w:r>
            <w:r>
              <w:rPr>
                <w:sz w:val="21"/>
                <w:szCs w:val="21"/>
                <w:highlight w:val="none"/>
              </w:rPr>
              <w:t>38</w:t>
            </w:r>
            <w:r>
              <w:rPr>
                <w:rFonts w:hint="eastAsia"/>
                <w:sz w:val="21"/>
                <w:szCs w:val="21"/>
                <w:highlight w:val="none"/>
              </w:rPr>
              <w:t>条通过资格性、符合性审查的特殊情形的，应当通过审查。</w:t>
            </w:r>
          </w:p>
        </w:tc>
      </w:tr>
      <w:tr w14:paraId="556A8F65">
        <w:tblPrEx>
          <w:tblCellMar>
            <w:top w:w="0" w:type="dxa"/>
            <w:left w:w="108" w:type="dxa"/>
            <w:bottom w:w="0" w:type="dxa"/>
            <w:right w:w="108" w:type="dxa"/>
          </w:tblCellMar>
        </w:tblPrEx>
        <w:trPr>
          <w:trHeight w:val="724" w:hRule="exact"/>
          <w:jc w:val="center"/>
        </w:trPr>
        <w:tc>
          <w:tcPr>
            <w:tcW w:w="4010" w:type="dxa"/>
            <w:tcBorders>
              <w:top w:val="nil"/>
              <w:left w:val="single" w:color="auto" w:sz="4" w:space="0"/>
              <w:bottom w:val="single" w:color="auto" w:sz="4" w:space="0"/>
              <w:right w:val="single" w:color="auto" w:sz="4" w:space="0"/>
            </w:tcBorders>
            <w:vAlign w:val="center"/>
          </w:tcPr>
          <w:p w14:paraId="7515846B">
            <w:pPr>
              <w:spacing w:line="276" w:lineRule="auto"/>
              <w:jc w:val="left"/>
              <w:rPr>
                <w:rFonts w:ascii="宋体" w:hAnsi="宋体"/>
                <w:bCs/>
                <w:sz w:val="21"/>
                <w:szCs w:val="21"/>
                <w:highlight w:val="none"/>
              </w:rPr>
            </w:pPr>
            <w:r>
              <w:rPr>
                <w:rFonts w:ascii="宋体" w:hAnsi="宋体"/>
                <w:bCs/>
                <w:sz w:val="21"/>
                <w:szCs w:val="21"/>
                <w:highlight w:val="none"/>
              </w:rPr>
              <w:t>2.</w:t>
            </w:r>
            <w:r>
              <w:rPr>
                <w:rFonts w:hint="eastAsia" w:ascii="宋体" w:hAnsi="宋体"/>
                <w:bCs/>
                <w:sz w:val="21"/>
                <w:szCs w:val="21"/>
                <w:highlight w:val="none"/>
              </w:rPr>
              <w:t>报价有效期满足谈判文件要求</w:t>
            </w:r>
          </w:p>
        </w:tc>
        <w:tc>
          <w:tcPr>
            <w:tcW w:w="1276" w:type="dxa"/>
            <w:tcBorders>
              <w:top w:val="nil"/>
              <w:left w:val="nil"/>
              <w:bottom w:val="single" w:color="auto" w:sz="4" w:space="0"/>
              <w:right w:val="single" w:color="auto" w:sz="4" w:space="0"/>
            </w:tcBorders>
            <w:vAlign w:val="center"/>
          </w:tcPr>
          <w:p w14:paraId="2E3CCF5A">
            <w:pPr>
              <w:widowControl/>
              <w:spacing w:line="276" w:lineRule="auto"/>
              <w:jc w:val="left"/>
              <w:rPr>
                <w:rFonts w:ascii="宋体" w:hAnsi="宋体"/>
                <w:bCs/>
                <w:sz w:val="21"/>
                <w:szCs w:val="21"/>
                <w:highlight w:val="none"/>
              </w:rPr>
            </w:pPr>
          </w:p>
        </w:tc>
        <w:tc>
          <w:tcPr>
            <w:tcW w:w="851" w:type="dxa"/>
            <w:tcBorders>
              <w:top w:val="nil"/>
              <w:left w:val="nil"/>
              <w:bottom w:val="single" w:color="auto" w:sz="4" w:space="0"/>
              <w:right w:val="single" w:color="auto" w:sz="4" w:space="0"/>
            </w:tcBorders>
            <w:vAlign w:val="center"/>
          </w:tcPr>
          <w:p w14:paraId="524E610C">
            <w:pPr>
              <w:widowControl/>
              <w:spacing w:line="276" w:lineRule="auto"/>
              <w:jc w:val="left"/>
              <w:rPr>
                <w:rFonts w:ascii="宋体" w:hAnsi="宋体" w:cs="宋体"/>
                <w:bCs/>
                <w:sz w:val="21"/>
                <w:szCs w:val="21"/>
                <w:highlight w:val="none"/>
              </w:rPr>
            </w:pPr>
          </w:p>
        </w:tc>
        <w:tc>
          <w:tcPr>
            <w:tcW w:w="3298" w:type="dxa"/>
            <w:tcBorders>
              <w:top w:val="nil"/>
              <w:left w:val="nil"/>
              <w:bottom w:val="single" w:color="auto" w:sz="4" w:space="0"/>
              <w:right w:val="single" w:color="auto" w:sz="4" w:space="0"/>
            </w:tcBorders>
            <w:vAlign w:val="center"/>
          </w:tcPr>
          <w:p w14:paraId="39D15F94">
            <w:pPr>
              <w:widowControl/>
              <w:spacing w:line="276" w:lineRule="auto"/>
              <w:jc w:val="left"/>
              <w:rPr>
                <w:rFonts w:ascii="宋体" w:hAnsi="宋体" w:cs="宋体"/>
                <w:bCs/>
                <w:sz w:val="21"/>
                <w:szCs w:val="21"/>
                <w:highlight w:val="none"/>
              </w:rPr>
            </w:pPr>
          </w:p>
        </w:tc>
      </w:tr>
      <w:tr w14:paraId="50ECD859">
        <w:tblPrEx>
          <w:tblCellMar>
            <w:top w:w="0" w:type="dxa"/>
            <w:left w:w="108" w:type="dxa"/>
            <w:bottom w:w="0" w:type="dxa"/>
            <w:right w:w="108" w:type="dxa"/>
          </w:tblCellMar>
        </w:tblPrEx>
        <w:trPr>
          <w:trHeight w:val="1717" w:hRule="exact"/>
          <w:jc w:val="center"/>
        </w:trPr>
        <w:tc>
          <w:tcPr>
            <w:tcW w:w="4010" w:type="dxa"/>
            <w:tcBorders>
              <w:top w:val="nil"/>
              <w:left w:val="single" w:color="auto" w:sz="4" w:space="0"/>
              <w:bottom w:val="single" w:color="auto" w:sz="4" w:space="0"/>
              <w:right w:val="single" w:color="auto" w:sz="4" w:space="0"/>
            </w:tcBorders>
            <w:vAlign w:val="center"/>
          </w:tcPr>
          <w:p w14:paraId="04BFBC1E">
            <w:pPr>
              <w:spacing w:line="276" w:lineRule="auto"/>
              <w:jc w:val="left"/>
              <w:rPr>
                <w:rFonts w:ascii="宋体" w:hAnsi="宋体"/>
                <w:bCs/>
                <w:sz w:val="21"/>
                <w:szCs w:val="21"/>
                <w:highlight w:val="none"/>
              </w:rPr>
            </w:pPr>
            <w:r>
              <w:rPr>
                <w:rFonts w:ascii="宋体" w:hAnsi="宋体"/>
                <w:bCs/>
                <w:sz w:val="21"/>
                <w:szCs w:val="21"/>
                <w:highlight w:val="none"/>
              </w:rPr>
              <w:t>3.</w:t>
            </w:r>
            <w:r>
              <w:rPr>
                <w:rFonts w:hint="eastAsia" w:ascii="宋体" w:hAnsi="宋体"/>
                <w:bCs/>
                <w:sz w:val="21"/>
                <w:szCs w:val="21"/>
                <w:highlight w:val="none"/>
              </w:rPr>
              <w:t>商务要求中“★”号商务条款满足谈判文件要求</w:t>
            </w:r>
          </w:p>
        </w:tc>
        <w:tc>
          <w:tcPr>
            <w:tcW w:w="1276" w:type="dxa"/>
            <w:tcBorders>
              <w:top w:val="nil"/>
              <w:left w:val="nil"/>
              <w:bottom w:val="single" w:color="auto" w:sz="4" w:space="0"/>
              <w:right w:val="single" w:color="auto" w:sz="4" w:space="0"/>
            </w:tcBorders>
            <w:vAlign w:val="center"/>
          </w:tcPr>
          <w:p w14:paraId="5785841D">
            <w:pPr>
              <w:widowControl/>
              <w:spacing w:line="276" w:lineRule="auto"/>
              <w:jc w:val="left"/>
              <w:rPr>
                <w:rFonts w:ascii="宋体" w:hAnsi="宋体"/>
                <w:bCs/>
                <w:sz w:val="21"/>
                <w:szCs w:val="21"/>
                <w:highlight w:val="none"/>
              </w:rPr>
            </w:pPr>
          </w:p>
        </w:tc>
        <w:tc>
          <w:tcPr>
            <w:tcW w:w="851" w:type="dxa"/>
            <w:tcBorders>
              <w:top w:val="nil"/>
              <w:left w:val="nil"/>
              <w:bottom w:val="single" w:color="auto" w:sz="4" w:space="0"/>
              <w:right w:val="single" w:color="auto" w:sz="4" w:space="0"/>
            </w:tcBorders>
            <w:vAlign w:val="center"/>
          </w:tcPr>
          <w:p w14:paraId="78FDCAE4">
            <w:pPr>
              <w:widowControl/>
              <w:spacing w:line="276" w:lineRule="auto"/>
              <w:jc w:val="left"/>
              <w:rPr>
                <w:rFonts w:ascii="宋体" w:hAnsi="宋体" w:cs="宋体"/>
                <w:bCs/>
                <w:sz w:val="21"/>
                <w:szCs w:val="21"/>
                <w:highlight w:val="none"/>
              </w:rPr>
            </w:pPr>
          </w:p>
        </w:tc>
        <w:tc>
          <w:tcPr>
            <w:tcW w:w="3298" w:type="dxa"/>
            <w:tcBorders>
              <w:top w:val="nil"/>
              <w:left w:val="nil"/>
              <w:bottom w:val="single" w:color="auto" w:sz="4" w:space="0"/>
              <w:right w:val="single" w:color="auto" w:sz="4" w:space="0"/>
            </w:tcBorders>
            <w:vAlign w:val="center"/>
          </w:tcPr>
          <w:p w14:paraId="7695C05E">
            <w:pPr>
              <w:widowControl/>
              <w:spacing w:line="276" w:lineRule="auto"/>
              <w:jc w:val="left"/>
              <w:rPr>
                <w:rFonts w:ascii="宋体" w:hAnsi="宋体"/>
                <w:bCs/>
                <w:sz w:val="21"/>
                <w:szCs w:val="21"/>
                <w:highlight w:val="none"/>
              </w:rPr>
            </w:pPr>
            <w:r>
              <w:rPr>
                <w:rFonts w:hint="eastAsia" w:ascii="宋体" w:hAnsi="宋体" w:cs="宋体"/>
                <w:bCs/>
                <w:sz w:val="21"/>
                <w:szCs w:val="21"/>
                <w:highlight w:val="none"/>
              </w:rPr>
              <w:t>商务评委对报价供应商响应谈判文件第六章“采购项目商务要求”中的“★”号条款情况作出判定</w:t>
            </w:r>
          </w:p>
        </w:tc>
      </w:tr>
      <w:tr w14:paraId="1BD83791">
        <w:tblPrEx>
          <w:tblCellMar>
            <w:top w:w="0" w:type="dxa"/>
            <w:left w:w="108" w:type="dxa"/>
            <w:bottom w:w="0" w:type="dxa"/>
            <w:right w:w="108" w:type="dxa"/>
          </w:tblCellMar>
        </w:tblPrEx>
        <w:trPr>
          <w:trHeight w:val="1734" w:hRule="exact"/>
          <w:jc w:val="center"/>
        </w:trPr>
        <w:tc>
          <w:tcPr>
            <w:tcW w:w="4010" w:type="dxa"/>
            <w:tcBorders>
              <w:top w:val="nil"/>
              <w:left w:val="single" w:color="auto" w:sz="4" w:space="0"/>
              <w:bottom w:val="single" w:color="auto" w:sz="4" w:space="0"/>
              <w:right w:val="single" w:color="auto" w:sz="4" w:space="0"/>
            </w:tcBorders>
            <w:vAlign w:val="center"/>
          </w:tcPr>
          <w:p w14:paraId="01B0292B">
            <w:pPr>
              <w:spacing w:line="276" w:lineRule="auto"/>
              <w:jc w:val="left"/>
              <w:rPr>
                <w:rFonts w:ascii="宋体" w:hAnsi="宋体"/>
                <w:bCs/>
                <w:sz w:val="21"/>
                <w:szCs w:val="21"/>
                <w:highlight w:val="none"/>
              </w:rPr>
            </w:pPr>
            <w:r>
              <w:rPr>
                <w:rFonts w:ascii="宋体" w:hAnsi="宋体"/>
                <w:bCs/>
                <w:sz w:val="21"/>
                <w:szCs w:val="21"/>
                <w:highlight w:val="none"/>
              </w:rPr>
              <w:t>4.技术要求</w:t>
            </w:r>
            <w:r>
              <w:rPr>
                <w:rFonts w:hint="eastAsia" w:ascii="宋体" w:hAnsi="宋体"/>
                <w:bCs/>
                <w:sz w:val="21"/>
                <w:szCs w:val="21"/>
                <w:highlight w:val="none"/>
              </w:rPr>
              <w:t>中</w:t>
            </w:r>
            <w:r>
              <w:rPr>
                <w:rFonts w:ascii="宋体" w:hAnsi="宋体"/>
                <w:bCs/>
                <w:sz w:val="21"/>
                <w:szCs w:val="21"/>
                <w:highlight w:val="none"/>
              </w:rPr>
              <w:t>“</w:t>
            </w:r>
            <w:r>
              <w:rPr>
                <w:rFonts w:hint="eastAsia" w:ascii="宋体" w:hAnsi="宋体"/>
                <w:bCs/>
                <w:sz w:val="21"/>
                <w:szCs w:val="21"/>
                <w:highlight w:val="none"/>
              </w:rPr>
              <w:t>★</w:t>
            </w:r>
            <w:r>
              <w:rPr>
                <w:rFonts w:ascii="宋体" w:hAnsi="宋体"/>
                <w:bCs/>
                <w:sz w:val="21"/>
                <w:szCs w:val="21"/>
                <w:highlight w:val="none"/>
              </w:rPr>
              <w:t>”号</w:t>
            </w:r>
            <w:r>
              <w:rPr>
                <w:rFonts w:hint="eastAsia" w:ascii="宋体" w:hAnsi="宋体"/>
                <w:bCs/>
                <w:sz w:val="21"/>
                <w:szCs w:val="21"/>
                <w:highlight w:val="none"/>
              </w:rPr>
              <w:t>技术</w:t>
            </w:r>
            <w:r>
              <w:rPr>
                <w:rFonts w:ascii="宋体" w:hAnsi="宋体"/>
                <w:bCs/>
                <w:sz w:val="21"/>
                <w:szCs w:val="21"/>
                <w:highlight w:val="none"/>
              </w:rPr>
              <w:t>条款</w:t>
            </w:r>
            <w:r>
              <w:rPr>
                <w:rFonts w:hint="eastAsia" w:ascii="宋体" w:hAnsi="宋体"/>
                <w:bCs/>
                <w:sz w:val="21"/>
                <w:szCs w:val="21"/>
                <w:highlight w:val="none"/>
              </w:rPr>
              <w:t>满足谈判文件要求</w:t>
            </w:r>
          </w:p>
        </w:tc>
        <w:tc>
          <w:tcPr>
            <w:tcW w:w="1276" w:type="dxa"/>
            <w:tcBorders>
              <w:top w:val="nil"/>
              <w:left w:val="nil"/>
              <w:bottom w:val="single" w:color="auto" w:sz="4" w:space="0"/>
              <w:right w:val="single" w:color="auto" w:sz="4" w:space="0"/>
            </w:tcBorders>
            <w:vAlign w:val="center"/>
          </w:tcPr>
          <w:p w14:paraId="2BD1F1E6">
            <w:pPr>
              <w:widowControl/>
              <w:spacing w:line="276" w:lineRule="auto"/>
              <w:jc w:val="left"/>
              <w:rPr>
                <w:rFonts w:ascii="宋体" w:hAnsi="宋体"/>
                <w:bCs/>
                <w:sz w:val="21"/>
                <w:szCs w:val="21"/>
                <w:highlight w:val="none"/>
              </w:rPr>
            </w:pPr>
          </w:p>
        </w:tc>
        <w:tc>
          <w:tcPr>
            <w:tcW w:w="851" w:type="dxa"/>
            <w:tcBorders>
              <w:top w:val="nil"/>
              <w:left w:val="nil"/>
              <w:bottom w:val="single" w:color="auto" w:sz="4" w:space="0"/>
              <w:right w:val="single" w:color="auto" w:sz="4" w:space="0"/>
            </w:tcBorders>
            <w:vAlign w:val="center"/>
          </w:tcPr>
          <w:p w14:paraId="363E09DC">
            <w:pPr>
              <w:widowControl/>
              <w:spacing w:line="276" w:lineRule="auto"/>
              <w:jc w:val="left"/>
              <w:rPr>
                <w:rFonts w:ascii="宋体" w:hAnsi="宋体" w:cs="宋体"/>
                <w:bCs/>
                <w:sz w:val="21"/>
                <w:szCs w:val="21"/>
                <w:highlight w:val="none"/>
              </w:rPr>
            </w:pPr>
          </w:p>
        </w:tc>
        <w:tc>
          <w:tcPr>
            <w:tcW w:w="3298" w:type="dxa"/>
            <w:tcBorders>
              <w:top w:val="nil"/>
              <w:left w:val="nil"/>
              <w:bottom w:val="single" w:color="auto" w:sz="4" w:space="0"/>
              <w:right w:val="single" w:color="auto" w:sz="4" w:space="0"/>
            </w:tcBorders>
            <w:vAlign w:val="center"/>
          </w:tcPr>
          <w:p w14:paraId="27907FA5">
            <w:pPr>
              <w:widowControl/>
              <w:spacing w:line="276" w:lineRule="auto"/>
              <w:jc w:val="left"/>
              <w:rPr>
                <w:rFonts w:ascii="宋体" w:hAnsi="宋体" w:cs="宋体"/>
                <w:bCs/>
                <w:sz w:val="21"/>
                <w:szCs w:val="21"/>
                <w:highlight w:val="none"/>
              </w:rPr>
            </w:pPr>
            <w:r>
              <w:rPr>
                <w:rFonts w:hint="eastAsia" w:ascii="宋体" w:hAnsi="宋体" w:cs="宋体"/>
                <w:bCs/>
                <w:sz w:val="21"/>
                <w:szCs w:val="21"/>
                <w:highlight w:val="none"/>
              </w:rPr>
              <w:t>技术评委对报价供应商响应谈判文件第六章“采购项目技术要求”中的“★”号条款情况作出判定</w:t>
            </w:r>
          </w:p>
        </w:tc>
      </w:tr>
      <w:tr w14:paraId="27616353">
        <w:tblPrEx>
          <w:tblCellMar>
            <w:top w:w="0" w:type="dxa"/>
            <w:left w:w="108" w:type="dxa"/>
            <w:bottom w:w="0" w:type="dxa"/>
            <w:right w:w="108" w:type="dxa"/>
          </w:tblCellMar>
        </w:tblPrEx>
        <w:trPr>
          <w:trHeight w:val="1381" w:hRule="exact"/>
          <w:jc w:val="center"/>
        </w:trPr>
        <w:tc>
          <w:tcPr>
            <w:tcW w:w="4010" w:type="dxa"/>
            <w:tcBorders>
              <w:top w:val="nil"/>
              <w:left w:val="single" w:color="auto" w:sz="4" w:space="0"/>
              <w:bottom w:val="single" w:color="auto" w:sz="4" w:space="0"/>
              <w:right w:val="single" w:color="auto" w:sz="4" w:space="0"/>
            </w:tcBorders>
            <w:vAlign w:val="center"/>
          </w:tcPr>
          <w:p w14:paraId="6B239AF0">
            <w:pPr>
              <w:widowControl/>
              <w:spacing w:line="276" w:lineRule="auto"/>
              <w:jc w:val="left"/>
              <w:rPr>
                <w:rFonts w:ascii="宋体" w:hAnsi="宋体" w:cs="宋体"/>
                <w:bCs/>
                <w:sz w:val="21"/>
                <w:szCs w:val="21"/>
                <w:highlight w:val="none"/>
              </w:rPr>
            </w:pPr>
            <w:r>
              <w:rPr>
                <w:rFonts w:ascii="宋体" w:hAnsi="宋体"/>
                <w:bCs/>
                <w:sz w:val="21"/>
                <w:szCs w:val="21"/>
                <w:highlight w:val="none"/>
              </w:rPr>
              <w:t>5.其他实质性内容</w:t>
            </w:r>
            <w:r>
              <w:rPr>
                <w:rFonts w:hint="eastAsia" w:ascii="宋体" w:hAnsi="宋体"/>
                <w:bCs/>
                <w:sz w:val="21"/>
                <w:szCs w:val="21"/>
                <w:highlight w:val="none"/>
              </w:rPr>
              <w:t>满足谈判文件要求（无谈判文件中明确的其他无效报价情形）</w:t>
            </w:r>
          </w:p>
        </w:tc>
        <w:tc>
          <w:tcPr>
            <w:tcW w:w="1276" w:type="dxa"/>
            <w:tcBorders>
              <w:top w:val="nil"/>
              <w:left w:val="nil"/>
              <w:bottom w:val="single" w:color="auto" w:sz="4" w:space="0"/>
              <w:right w:val="single" w:color="auto" w:sz="4" w:space="0"/>
            </w:tcBorders>
            <w:vAlign w:val="center"/>
          </w:tcPr>
          <w:p w14:paraId="1CCD5C43">
            <w:pPr>
              <w:widowControl/>
              <w:spacing w:line="276" w:lineRule="auto"/>
              <w:jc w:val="left"/>
              <w:rPr>
                <w:rFonts w:ascii="宋体" w:hAnsi="宋体"/>
                <w:bCs/>
                <w:sz w:val="21"/>
                <w:szCs w:val="21"/>
                <w:highlight w:val="none"/>
              </w:rPr>
            </w:pPr>
          </w:p>
        </w:tc>
        <w:tc>
          <w:tcPr>
            <w:tcW w:w="851" w:type="dxa"/>
            <w:tcBorders>
              <w:top w:val="nil"/>
              <w:left w:val="nil"/>
              <w:bottom w:val="single" w:color="auto" w:sz="4" w:space="0"/>
              <w:right w:val="single" w:color="auto" w:sz="4" w:space="0"/>
            </w:tcBorders>
            <w:vAlign w:val="center"/>
          </w:tcPr>
          <w:p w14:paraId="466D8C12">
            <w:pPr>
              <w:widowControl/>
              <w:spacing w:line="276" w:lineRule="auto"/>
              <w:jc w:val="left"/>
              <w:rPr>
                <w:rFonts w:ascii="宋体" w:hAnsi="宋体" w:cs="宋体"/>
                <w:bCs/>
                <w:sz w:val="21"/>
                <w:szCs w:val="21"/>
                <w:highlight w:val="none"/>
              </w:rPr>
            </w:pPr>
          </w:p>
        </w:tc>
        <w:tc>
          <w:tcPr>
            <w:tcW w:w="3298" w:type="dxa"/>
            <w:tcBorders>
              <w:top w:val="nil"/>
              <w:left w:val="nil"/>
              <w:bottom w:val="single" w:color="auto" w:sz="4" w:space="0"/>
              <w:right w:val="single" w:color="auto" w:sz="4" w:space="0"/>
            </w:tcBorders>
            <w:vAlign w:val="center"/>
          </w:tcPr>
          <w:p w14:paraId="41C9DD31">
            <w:pPr>
              <w:widowControl/>
              <w:spacing w:line="276" w:lineRule="auto"/>
              <w:jc w:val="left"/>
              <w:rPr>
                <w:rFonts w:ascii="宋体" w:hAnsi="宋体" w:cs="宋体"/>
                <w:bCs/>
                <w:sz w:val="21"/>
                <w:szCs w:val="21"/>
                <w:highlight w:val="none"/>
              </w:rPr>
            </w:pPr>
          </w:p>
        </w:tc>
      </w:tr>
      <w:tr w14:paraId="141F481D">
        <w:tblPrEx>
          <w:tblCellMar>
            <w:top w:w="0" w:type="dxa"/>
            <w:left w:w="108" w:type="dxa"/>
            <w:bottom w:w="0" w:type="dxa"/>
            <w:right w:w="108" w:type="dxa"/>
          </w:tblCellMar>
        </w:tblPrEx>
        <w:trPr>
          <w:trHeight w:val="571" w:hRule="exact"/>
          <w:jc w:val="center"/>
        </w:trPr>
        <w:tc>
          <w:tcPr>
            <w:tcW w:w="4010" w:type="dxa"/>
            <w:tcBorders>
              <w:top w:val="nil"/>
              <w:left w:val="single" w:color="auto" w:sz="4" w:space="0"/>
              <w:bottom w:val="single" w:color="auto" w:sz="4" w:space="0"/>
              <w:right w:val="single" w:color="auto" w:sz="4" w:space="0"/>
            </w:tcBorders>
            <w:vAlign w:val="center"/>
          </w:tcPr>
          <w:p w14:paraId="2920670F">
            <w:pPr>
              <w:widowControl/>
              <w:spacing w:line="276" w:lineRule="auto"/>
              <w:jc w:val="left"/>
              <w:rPr>
                <w:rFonts w:ascii="宋体" w:hAnsi="宋体" w:cs="宋体"/>
                <w:bCs/>
                <w:sz w:val="21"/>
                <w:szCs w:val="21"/>
                <w:highlight w:val="none"/>
              </w:rPr>
            </w:pPr>
            <w:r>
              <w:rPr>
                <w:rFonts w:hint="eastAsia" w:ascii="宋体" w:hAnsi="宋体" w:cs="宋体"/>
                <w:bCs/>
                <w:sz w:val="21"/>
                <w:szCs w:val="21"/>
                <w:highlight w:val="none"/>
              </w:rPr>
              <w:t>综合评定</w:t>
            </w:r>
          </w:p>
        </w:tc>
        <w:tc>
          <w:tcPr>
            <w:tcW w:w="1276" w:type="dxa"/>
            <w:tcBorders>
              <w:top w:val="nil"/>
              <w:left w:val="nil"/>
              <w:bottom w:val="single" w:color="auto" w:sz="4" w:space="0"/>
              <w:right w:val="single" w:color="auto" w:sz="4" w:space="0"/>
            </w:tcBorders>
            <w:vAlign w:val="center"/>
          </w:tcPr>
          <w:p w14:paraId="2605612F">
            <w:pPr>
              <w:widowControl/>
              <w:spacing w:line="276" w:lineRule="auto"/>
              <w:jc w:val="left"/>
              <w:rPr>
                <w:rFonts w:ascii="宋体" w:hAnsi="宋体"/>
                <w:bCs/>
                <w:sz w:val="21"/>
                <w:szCs w:val="21"/>
                <w:highlight w:val="none"/>
              </w:rPr>
            </w:pPr>
          </w:p>
        </w:tc>
        <w:tc>
          <w:tcPr>
            <w:tcW w:w="851" w:type="dxa"/>
            <w:tcBorders>
              <w:top w:val="nil"/>
              <w:left w:val="nil"/>
              <w:bottom w:val="single" w:color="auto" w:sz="4" w:space="0"/>
              <w:right w:val="single" w:color="auto" w:sz="4" w:space="0"/>
            </w:tcBorders>
            <w:vAlign w:val="center"/>
          </w:tcPr>
          <w:p w14:paraId="4BF849DD">
            <w:pPr>
              <w:widowControl/>
              <w:spacing w:line="276" w:lineRule="auto"/>
              <w:jc w:val="left"/>
              <w:rPr>
                <w:rFonts w:ascii="宋体" w:hAnsi="宋体" w:cs="宋体"/>
                <w:bCs/>
                <w:sz w:val="21"/>
                <w:szCs w:val="21"/>
                <w:highlight w:val="none"/>
              </w:rPr>
            </w:pPr>
          </w:p>
        </w:tc>
        <w:tc>
          <w:tcPr>
            <w:tcW w:w="3298" w:type="dxa"/>
            <w:tcBorders>
              <w:top w:val="nil"/>
              <w:left w:val="nil"/>
              <w:bottom w:val="single" w:color="auto" w:sz="4" w:space="0"/>
              <w:right w:val="single" w:color="auto" w:sz="4" w:space="0"/>
            </w:tcBorders>
            <w:vAlign w:val="center"/>
          </w:tcPr>
          <w:p w14:paraId="0931F9DA">
            <w:pPr>
              <w:widowControl/>
              <w:spacing w:line="276" w:lineRule="auto"/>
              <w:jc w:val="left"/>
              <w:rPr>
                <w:rFonts w:ascii="宋体" w:hAnsi="宋体" w:cs="宋体"/>
                <w:bCs/>
                <w:sz w:val="21"/>
                <w:szCs w:val="21"/>
                <w:highlight w:val="none"/>
              </w:rPr>
            </w:pPr>
          </w:p>
        </w:tc>
      </w:tr>
      <w:tr w14:paraId="722F6B53">
        <w:tblPrEx>
          <w:tblCellMar>
            <w:top w:w="0" w:type="dxa"/>
            <w:left w:w="108" w:type="dxa"/>
            <w:bottom w:w="0" w:type="dxa"/>
            <w:right w:w="108" w:type="dxa"/>
          </w:tblCellMar>
        </w:tblPrEx>
        <w:trPr>
          <w:trHeight w:val="906" w:hRule="atLeast"/>
          <w:jc w:val="center"/>
        </w:trPr>
        <w:tc>
          <w:tcPr>
            <w:tcW w:w="9435" w:type="dxa"/>
            <w:gridSpan w:val="4"/>
            <w:tcBorders>
              <w:top w:val="single" w:color="auto" w:sz="4" w:space="0"/>
              <w:left w:val="single" w:color="auto" w:sz="4" w:space="0"/>
              <w:bottom w:val="single" w:color="auto" w:sz="4" w:space="0"/>
              <w:right w:val="single" w:color="000000" w:sz="4" w:space="0"/>
            </w:tcBorders>
            <w:vAlign w:val="center"/>
          </w:tcPr>
          <w:p w14:paraId="74D89296">
            <w:pPr>
              <w:widowControl/>
              <w:spacing w:line="276" w:lineRule="auto"/>
              <w:jc w:val="left"/>
              <w:rPr>
                <w:rFonts w:ascii="宋体" w:hAnsi="宋体" w:cs="宋体"/>
                <w:bCs/>
                <w:sz w:val="21"/>
                <w:szCs w:val="21"/>
                <w:highlight w:val="none"/>
              </w:rPr>
            </w:pPr>
            <w:r>
              <w:rPr>
                <w:rFonts w:hint="eastAsia" w:ascii="宋体" w:hAnsi="宋体" w:cs="宋体"/>
                <w:bCs/>
                <w:sz w:val="21"/>
                <w:szCs w:val="21"/>
                <w:highlight w:val="none"/>
              </w:rPr>
              <w:t>说明：</w:t>
            </w:r>
            <w:r>
              <w:rPr>
                <w:rFonts w:ascii="宋体" w:hAnsi="宋体" w:cs="宋体"/>
                <w:bCs/>
                <w:sz w:val="21"/>
                <w:szCs w:val="21"/>
                <w:highlight w:val="none"/>
              </w:rPr>
              <w:t>1.合格打“√”</w:t>
            </w:r>
            <w:r>
              <w:rPr>
                <w:rFonts w:hint="eastAsia" w:ascii="宋体" w:hAnsi="宋体"/>
                <w:bCs/>
                <w:sz w:val="21"/>
                <w:szCs w:val="21"/>
                <w:highlight w:val="none"/>
              </w:rPr>
              <w:t>，</w:t>
            </w:r>
            <w:r>
              <w:rPr>
                <w:rFonts w:hint="eastAsia" w:ascii="宋体" w:hAnsi="宋体" w:cs="宋体"/>
                <w:bCs/>
                <w:sz w:val="21"/>
                <w:szCs w:val="21"/>
                <w:highlight w:val="none"/>
              </w:rPr>
              <w:t>不合格打“×”。</w:t>
            </w:r>
          </w:p>
          <w:p w14:paraId="29779ABA">
            <w:pPr>
              <w:widowControl/>
              <w:spacing w:line="276" w:lineRule="auto"/>
              <w:ind w:firstLine="630" w:firstLineChars="300"/>
              <w:jc w:val="left"/>
              <w:rPr>
                <w:rFonts w:ascii="宋体" w:hAnsi="宋体" w:cs="宋体"/>
                <w:bCs/>
                <w:sz w:val="21"/>
                <w:szCs w:val="21"/>
                <w:highlight w:val="none"/>
              </w:rPr>
            </w:pPr>
            <w:r>
              <w:rPr>
                <w:rFonts w:ascii="宋体" w:hAnsi="宋体" w:cs="宋体"/>
                <w:bCs/>
                <w:sz w:val="21"/>
                <w:szCs w:val="21"/>
                <w:highlight w:val="none"/>
              </w:rPr>
              <w:t>2.有一项内容不合格</w:t>
            </w:r>
            <w:r>
              <w:rPr>
                <w:rFonts w:hint="eastAsia" w:ascii="宋体" w:hAnsi="宋体" w:cs="宋体"/>
                <w:bCs/>
                <w:sz w:val="21"/>
                <w:szCs w:val="21"/>
                <w:highlight w:val="none"/>
              </w:rPr>
              <w:t>的</w:t>
            </w:r>
            <w:r>
              <w:rPr>
                <w:rFonts w:ascii="宋体" w:hAnsi="宋体" w:cs="宋体"/>
                <w:bCs/>
                <w:sz w:val="21"/>
                <w:szCs w:val="21"/>
                <w:highlight w:val="none"/>
              </w:rPr>
              <w:t>，综合评定为不合格。</w:t>
            </w:r>
          </w:p>
        </w:tc>
      </w:tr>
    </w:tbl>
    <w:p w14:paraId="1BB15F81">
      <w:pPr>
        <w:spacing w:line="560" w:lineRule="exact"/>
        <w:rPr>
          <w:bCs/>
          <w:sz w:val="28"/>
          <w:szCs w:val="28"/>
          <w:highlight w:val="none"/>
        </w:rPr>
      </w:pPr>
      <w:r>
        <w:rPr>
          <w:rFonts w:hint="eastAsia"/>
          <w:bCs/>
          <w:sz w:val="28"/>
          <w:szCs w:val="28"/>
          <w:highlight w:val="none"/>
        </w:rPr>
        <w:t>评审委员会成员签名：</w:t>
      </w:r>
      <w:r>
        <w:rPr>
          <w:bCs/>
          <w:sz w:val="28"/>
          <w:szCs w:val="28"/>
          <w:highlight w:val="none"/>
        </w:rPr>
        <w:t xml:space="preserve">                           </w:t>
      </w:r>
      <w:r>
        <w:rPr>
          <w:bCs/>
          <w:sz w:val="28"/>
          <w:szCs w:val="28"/>
          <w:highlight w:val="none"/>
          <w:u w:val="single"/>
        </w:rPr>
        <w:t xml:space="preserve">    </w:t>
      </w:r>
      <w:r>
        <w:rPr>
          <w:rFonts w:hint="eastAsia"/>
          <w:bCs/>
          <w:sz w:val="28"/>
          <w:szCs w:val="28"/>
          <w:highlight w:val="none"/>
        </w:rPr>
        <w:t>年</w:t>
      </w:r>
      <w:r>
        <w:rPr>
          <w:rFonts w:hint="eastAsia"/>
          <w:bCs/>
          <w:sz w:val="28"/>
          <w:szCs w:val="28"/>
          <w:highlight w:val="none"/>
          <w:u w:val="single"/>
        </w:rPr>
        <w:t>　　</w:t>
      </w:r>
      <w:r>
        <w:rPr>
          <w:rFonts w:hint="eastAsia"/>
          <w:bCs/>
          <w:sz w:val="28"/>
          <w:szCs w:val="28"/>
          <w:highlight w:val="none"/>
        </w:rPr>
        <w:t>月</w:t>
      </w:r>
      <w:r>
        <w:rPr>
          <w:rFonts w:hint="eastAsia"/>
          <w:bCs/>
          <w:sz w:val="28"/>
          <w:szCs w:val="28"/>
          <w:highlight w:val="none"/>
          <w:u w:val="single"/>
        </w:rPr>
        <w:t>　　</w:t>
      </w:r>
      <w:r>
        <w:rPr>
          <w:rFonts w:hint="eastAsia"/>
          <w:bCs/>
          <w:sz w:val="28"/>
          <w:szCs w:val="28"/>
          <w:highlight w:val="none"/>
        </w:rPr>
        <w:t>日</w:t>
      </w:r>
    </w:p>
    <w:p w14:paraId="6D841888">
      <w:pPr>
        <w:pStyle w:val="5"/>
        <w:spacing w:before="120" w:beforeLines="50" w:after="120" w:afterLines="50" w:line="560" w:lineRule="exact"/>
        <w:rPr>
          <w:rFonts w:ascii="黑体" w:hAnsi="黑体"/>
          <w:b w:val="0"/>
          <w:sz w:val="28"/>
          <w:szCs w:val="28"/>
          <w:highlight w:val="none"/>
        </w:rPr>
      </w:pPr>
      <w:r>
        <w:rPr>
          <w:b w:val="0"/>
          <w:highlight w:val="none"/>
        </w:rPr>
        <w:br w:type="page"/>
      </w:r>
      <w:bookmarkStart w:id="835" w:name="_Toc24455"/>
      <w:bookmarkStart w:id="836" w:name="_Toc130661172"/>
      <w:bookmarkStart w:id="837" w:name="_Toc132186969"/>
      <w:bookmarkStart w:id="838" w:name="_Toc150421242"/>
      <w:bookmarkStart w:id="839" w:name="_Toc130888001"/>
      <w:bookmarkStart w:id="840" w:name="_Toc4620"/>
      <w:bookmarkStart w:id="841" w:name="_Toc128154362"/>
      <w:bookmarkStart w:id="842" w:name="_Toc6201"/>
      <w:bookmarkStart w:id="843" w:name="_Toc17908"/>
      <w:bookmarkStart w:id="844" w:name="_Toc132191253"/>
      <w:bookmarkStart w:id="845" w:name="_Toc7918"/>
      <w:bookmarkStart w:id="846" w:name="_Toc25430"/>
      <w:bookmarkStart w:id="847" w:name="_Toc4779"/>
      <w:bookmarkStart w:id="848" w:name="_Toc128470289"/>
      <w:r>
        <w:rPr>
          <w:rFonts w:hint="eastAsia" w:ascii="黑体" w:hAnsi="黑体"/>
          <w:b w:val="0"/>
          <w:sz w:val="28"/>
          <w:szCs w:val="28"/>
          <w:highlight w:val="none"/>
        </w:rPr>
        <w:t>附表</w:t>
      </w:r>
      <w:r>
        <w:rPr>
          <w:rFonts w:ascii="黑体" w:hAnsi="黑体"/>
          <w:b w:val="0"/>
          <w:sz w:val="28"/>
          <w:szCs w:val="28"/>
          <w:highlight w:val="none"/>
        </w:rPr>
        <w:t xml:space="preserve">3 </w:t>
      </w:r>
      <w:r>
        <w:rPr>
          <w:rFonts w:hint="eastAsia" w:ascii="黑体" w:hAnsi="黑体"/>
          <w:b w:val="0"/>
          <w:sz w:val="28"/>
          <w:szCs w:val="28"/>
          <w:highlight w:val="none"/>
        </w:rPr>
        <w:t>商务评审标准表（综合评分法）</w:t>
      </w:r>
      <w:bookmarkEnd w:id="835"/>
      <w:bookmarkEnd w:id="836"/>
      <w:bookmarkEnd w:id="837"/>
      <w:bookmarkEnd w:id="838"/>
      <w:bookmarkEnd w:id="839"/>
      <w:bookmarkEnd w:id="840"/>
      <w:bookmarkEnd w:id="841"/>
      <w:bookmarkEnd w:id="842"/>
      <w:bookmarkEnd w:id="843"/>
      <w:bookmarkEnd w:id="844"/>
      <w:bookmarkEnd w:id="845"/>
      <w:bookmarkEnd w:id="846"/>
      <w:bookmarkEnd w:id="847"/>
      <w:bookmarkEnd w:id="848"/>
    </w:p>
    <w:p w14:paraId="3C5A6F3C">
      <w:pPr>
        <w:widowControl/>
        <w:snapToGrid w:val="0"/>
        <w:spacing w:before="120" w:beforeLines="50" w:after="120" w:afterLines="50" w:line="360" w:lineRule="auto"/>
        <w:jc w:val="center"/>
        <w:rPr>
          <w:rFonts w:ascii="黑体" w:hAnsi="黑体" w:eastAsia="黑体"/>
          <w:bCs/>
          <w:sz w:val="36"/>
          <w:szCs w:val="36"/>
          <w:highlight w:val="none"/>
        </w:rPr>
      </w:pPr>
      <w:r>
        <w:rPr>
          <w:rFonts w:hint="eastAsia" w:ascii="黑体" w:hAnsi="黑体" w:eastAsia="黑体"/>
          <w:bCs/>
          <w:sz w:val="36"/>
          <w:szCs w:val="36"/>
          <w:highlight w:val="none"/>
        </w:rPr>
        <w:t>商务评审标准表（综合评分法）</w:t>
      </w:r>
    </w:p>
    <w:p w14:paraId="02DF9DEC">
      <w:pPr>
        <w:rPr>
          <w:rFonts w:hint="eastAsia" w:ascii="方正小标宋简体" w:eastAsia="方正小标宋简体"/>
          <w:color w:val="000000"/>
          <w:sz w:val="36"/>
          <w:szCs w:val="36"/>
          <w:highlight w:val="none"/>
        </w:rPr>
      </w:pPr>
      <w:bookmarkStart w:id="849" w:name="_Toc2293"/>
      <w:r>
        <w:rPr>
          <w:b/>
          <w:bCs/>
          <w:color w:val="000000"/>
          <w:highlight w:val="none"/>
        </w:rPr>
        <w:t>项目名称：</w:t>
      </w:r>
      <w:r>
        <w:rPr>
          <w:b/>
          <w:bCs/>
          <w:color w:val="000000"/>
          <w:highlight w:val="none"/>
          <w:u w:val="single"/>
        </w:rPr>
        <w:t xml:space="preserve">          </w:t>
      </w:r>
      <w:r>
        <w:rPr>
          <w:rFonts w:hint="eastAsia"/>
          <w:b/>
          <w:bCs/>
          <w:color w:val="000000"/>
          <w:highlight w:val="none"/>
          <w:u w:val="single"/>
        </w:rPr>
        <w:t xml:space="preserve">     </w:t>
      </w:r>
      <w:r>
        <w:rPr>
          <w:b/>
          <w:bCs/>
          <w:color w:val="000000"/>
          <w:highlight w:val="none"/>
        </w:rPr>
        <w:t xml:space="preserve">  </w:t>
      </w:r>
      <w:r>
        <w:rPr>
          <w:rFonts w:hint="eastAsia"/>
          <w:b/>
          <w:bCs/>
          <w:color w:val="000000"/>
          <w:highlight w:val="none"/>
          <w:lang w:val="en-US" w:eastAsia="zh-CN"/>
        </w:rPr>
        <w:t xml:space="preserve">          </w:t>
      </w:r>
      <w:r>
        <w:rPr>
          <w:b/>
          <w:bCs/>
          <w:color w:val="000000"/>
          <w:highlight w:val="none"/>
        </w:rPr>
        <w:t>项目编号：</w:t>
      </w:r>
      <w:r>
        <w:rPr>
          <w:b/>
          <w:bCs/>
          <w:color w:val="000000"/>
          <w:highlight w:val="none"/>
          <w:u w:val="single"/>
        </w:rPr>
        <w:t xml:space="preserve">            </w:t>
      </w:r>
      <w:r>
        <w:rPr>
          <w:b/>
          <w:bCs/>
          <w:color w:val="000000"/>
          <w:highlight w:val="none"/>
        </w:rPr>
        <w:t xml:space="preserve">       包号：</w:t>
      </w:r>
      <w:r>
        <w:rPr>
          <w:rFonts w:hint="eastAsia"/>
          <w:b/>
          <w:bCs/>
          <w:color w:val="000000"/>
          <w:highlight w:val="none"/>
          <w:u w:val="single"/>
        </w:rPr>
        <w:t xml:space="preserve">          </w:t>
      </w:r>
    </w:p>
    <w:tbl>
      <w:tblPr>
        <w:tblStyle w:val="42"/>
        <w:tblW w:w="0" w:type="auto"/>
        <w:jc w:val="center"/>
        <w:tblLayout w:type="fixed"/>
        <w:tblCellMar>
          <w:top w:w="0" w:type="dxa"/>
          <w:left w:w="108" w:type="dxa"/>
          <w:bottom w:w="0" w:type="dxa"/>
          <w:right w:w="108" w:type="dxa"/>
        </w:tblCellMar>
      </w:tblPr>
      <w:tblGrid>
        <w:gridCol w:w="740"/>
        <w:gridCol w:w="1060"/>
        <w:gridCol w:w="6260"/>
        <w:gridCol w:w="1077"/>
      </w:tblGrid>
      <w:tr w14:paraId="52D1D2F1">
        <w:tblPrEx>
          <w:tblCellMar>
            <w:top w:w="0" w:type="dxa"/>
            <w:left w:w="108" w:type="dxa"/>
            <w:bottom w:w="0" w:type="dxa"/>
            <w:right w:w="108" w:type="dxa"/>
          </w:tblCellMar>
        </w:tblPrEx>
        <w:trPr>
          <w:trHeight w:val="465" w:hRule="atLeast"/>
          <w:jc w:val="center"/>
        </w:trPr>
        <w:tc>
          <w:tcPr>
            <w:tcW w:w="740" w:type="dxa"/>
            <w:tcBorders>
              <w:top w:val="single" w:color="auto" w:sz="4" w:space="0"/>
              <w:left w:val="single" w:color="auto" w:sz="4" w:space="0"/>
              <w:bottom w:val="single" w:color="auto" w:sz="4" w:space="0"/>
              <w:right w:val="single" w:color="auto" w:sz="4" w:space="0"/>
            </w:tcBorders>
            <w:noWrap/>
            <w:vAlign w:val="center"/>
          </w:tcPr>
          <w:p w14:paraId="447E5DA3">
            <w:pPr>
              <w:pStyle w:val="154"/>
              <w:jc w:val="center"/>
              <w:rPr>
                <w:b/>
                <w:bCs/>
                <w:color w:val="000000"/>
                <w:highlight w:val="none"/>
              </w:rPr>
            </w:pPr>
            <w:r>
              <w:rPr>
                <w:rFonts w:hint="eastAsia"/>
                <w:b/>
                <w:bCs/>
                <w:color w:val="000000"/>
                <w:highlight w:val="none"/>
              </w:rPr>
              <w:t>序号</w:t>
            </w:r>
          </w:p>
        </w:tc>
        <w:tc>
          <w:tcPr>
            <w:tcW w:w="1060" w:type="dxa"/>
            <w:tcBorders>
              <w:top w:val="single" w:color="auto" w:sz="4" w:space="0"/>
              <w:left w:val="nil"/>
              <w:bottom w:val="single" w:color="auto" w:sz="4" w:space="0"/>
              <w:right w:val="single" w:color="auto" w:sz="4" w:space="0"/>
            </w:tcBorders>
            <w:noWrap/>
            <w:vAlign w:val="center"/>
          </w:tcPr>
          <w:p w14:paraId="4B569298">
            <w:pPr>
              <w:pStyle w:val="154"/>
              <w:jc w:val="center"/>
              <w:rPr>
                <w:b/>
                <w:bCs/>
                <w:color w:val="000000"/>
                <w:highlight w:val="none"/>
              </w:rPr>
            </w:pPr>
            <w:r>
              <w:rPr>
                <w:rFonts w:hint="eastAsia"/>
                <w:b/>
                <w:bCs/>
                <w:color w:val="000000"/>
                <w:highlight w:val="none"/>
              </w:rPr>
              <w:t>评审项目</w:t>
            </w:r>
          </w:p>
        </w:tc>
        <w:tc>
          <w:tcPr>
            <w:tcW w:w="6260" w:type="dxa"/>
            <w:tcBorders>
              <w:top w:val="single" w:color="auto" w:sz="4" w:space="0"/>
              <w:left w:val="nil"/>
              <w:bottom w:val="single" w:color="auto" w:sz="4" w:space="0"/>
              <w:right w:val="single" w:color="auto" w:sz="4" w:space="0"/>
            </w:tcBorders>
            <w:noWrap/>
            <w:vAlign w:val="center"/>
          </w:tcPr>
          <w:p w14:paraId="63617842">
            <w:pPr>
              <w:pStyle w:val="154"/>
              <w:jc w:val="center"/>
              <w:rPr>
                <w:b/>
                <w:bCs/>
                <w:color w:val="000000"/>
                <w:highlight w:val="none"/>
              </w:rPr>
            </w:pPr>
            <w:r>
              <w:rPr>
                <w:rFonts w:hint="eastAsia"/>
                <w:b/>
                <w:bCs/>
                <w:color w:val="000000"/>
                <w:highlight w:val="none"/>
              </w:rPr>
              <w:t>评审内容及规则</w:t>
            </w:r>
          </w:p>
        </w:tc>
        <w:tc>
          <w:tcPr>
            <w:tcW w:w="1077" w:type="dxa"/>
            <w:tcBorders>
              <w:top w:val="single" w:color="auto" w:sz="4" w:space="0"/>
              <w:left w:val="nil"/>
              <w:bottom w:val="single" w:color="auto" w:sz="4" w:space="0"/>
              <w:right w:val="single" w:color="auto" w:sz="4" w:space="0"/>
            </w:tcBorders>
            <w:noWrap/>
            <w:vAlign w:val="center"/>
          </w:tcPr>
          <w:p w14:paraId="268B60E2">
            <w:pPr>
              <w:pStyle w:val="154"/>
              <w:jc w:val="center"/>
              <w:rPr>
                <w:b/>
                <w:bCs/>
                <w:color w:val="000000"/>
                <w:highlight w:val="none"/>
              </w:rPr>
            </w:pPr>
            <w:r>
              <w:rPr>
                <w:rFonts w:hint="eastAsia"/>
                <w:b/>
                <w:bCs/>
                <w:color w:val="000000"/>
                <w:highlight w:val="none"/>
              </w:rPr>
              <w:t>标准分值</w:t>
            </w:r>
          </w:p>
        </w:tc>
      </w:tr>
      <w:tr w14:paraId="3D92D681">
        <w:tblPrEx>
          <w:tblCellMar>
            <w:top w:w="0" w:type="dxa"/>
            <w:left w:w="108" w:type="dxa"/>
            <w:bottom w:w="0" w:type="dxa"/>
            <w:right w:w="108" w:type="dxa"/>
          </w:tblCellMar>
        </w:tblPrEx>
        <w:trPr>
          <w:trHeight w:val="5870" w:hRule="atLeast"/>
          <w:jc w:val="center"/>
        </w:trPr>
        <w:tc>
          <w:tcPr>
            <w:tcW w:w="740" w:type="dxa"/>
            <w:tcBorders>
              <w:top w:val="single" w:color="auto" w:sz="4" w:space="0"/>
              <w:left w:val="single" w:color="auto" w:sz="4" w:space="0"/>
              <w:bottom w:val="single" w:color="auto" w:sz="4" w:space="0"/>
              <w:right w:val="single" w:color="auto" w:sz="4" w:space="0"/>
            </w:tcBorders>
            <w:noWrap/>
            <w:vAlign w:val="center"/>
          </w:tcPr>
          <w:p w14:paraId="62E88C43">
            <w:pPr>
              <w:pStyle w:val="154"/>
              <w:jc w:val="center"/>
              <w:rPr>
                <w:rFonts w:hint="eastAsia" w:ascii="宋体" w:hAnsi="宋体" w:eastAsia="宋体" w:cs="宋体"/>
                <w:color w:val="000000"/>
                <w:sz w:val="21"/>
                <w:szCs w:val="21"/>
                <w:highlight w:val="none"/>
                <w:lang w:eastAsia="zh-CN"/>
              </w:rPr>
            </w:pPr>
            <w:r>
              <w:rPr>
                <w:rFonts w:hint="eastAsia" w:ascii="宋体" w:hAnsi="宋体" w:cs="宋体"/>
                <w:color w:val="000000"/>
                <w:sz w:val="21"/>
                <w:szCs w:val="21"/>
                <w:highlight w:val="none"/>
                <w:lang w:eastAsia="zh-CN"/>
              </w:rPr>
              <w:t>一</w:t>
            </w:r>
          </w:p>
        </w:tc>
        <w:tc>
          <w:tcPr>
            <w:tcW w:w="1060" w:type="dxa"/>
            <w:tcBorders>
              <w:top w:val="single" w:color="auto" w:sz="4" w:space="0"/>
              <w:left w:val="single" w:color="auto" w:sz="4" w:space="0"/>
              <w:bottom w:val="single" w:color="auto" w:sz="4" w:space="0"/>
              <w:right w:val="single" w:color="auto" w:sz="4" w:space="0"/>
            </w:tcBorders>
            <w:noWrap/>
            <w:vAlign w:val="center"/>
          </w:tcPr>
          <w:p w14:paraId="2410159E">
            <w:pPr>
              <w:pStyle w:val="154"/>
              <w:jc w:val="center"/>
              <w:rPr>
                <w:rFonts w:hint="eastAsia" w:ascii="宋体" w:hAnsi="宋体" w:cs="宋体"/>
                <w:color w:val="000000"/>
                <w:sz w:val="21"/>
                <w:szCs w:val="21"/>
                <w:highlight w:val="none"/>
              </w:rPr>
            </w:pPr>
            <w:r>
              <w:rPr>
                <w:rFonts w:hint="eastAsia" w:ascii="宋体" w:hAnsi="宋体" w:cs="宋体"/>
                <w:color w:val="000000"/>
                <w:sz w:val="21"/>
                <w:szCs w:val="21"/>
                <w:highlight w:val="none"/>
              </w:rPr>
              <w:t>产品业绩</w:t>
            </w:r>
          </w:p>
        </w:tc>
        <w:tc>
          <w:tcPr>
            <w:tcW w:w="6260" w:type="dxa"/>
            <w:tcBorders>
              <w:top w:val="single" w:color="auto" w:sz="4" w:space="0"/>
              <w:left w:val="single" w:color="auto" w:sz="4" w:space="0"/>
              <w:right w:val="single" w:color="auto" w:sz="4" w:space="0"/>
            </w:tcBorders>
            <w:noWrap w:val="0"/>
            <w:vAlign w:val="center"/>
          </w:tcPr>
          <w:p w14:paraId="00791AB2">
            <w:pPr>
              <w:pStyle w:val="154"/>
              <w:spacing w:line="440" w:lineRule="exact"/>
              <w:ind w:firstLine="420" w:firstLineChars="200"/>
              <w:rPr>
                <w:rFonts w:hint="eastAsia" w:ascii="宋体" w:hAnsi="宋体" w:cs="宋体"/>
                <w:color w:val="000000"/>
                <w:sz w:val="21"/>
                <w:szCs w:val="21"/>
                <w:highlight w:val="none"/>
              </w:rPr>
            </w:pPr>
            <w:r>
              <w:rPr>
                <w:rFonts w:hint="eastAsia" w:ascii="宋体" w:hAnsi="宋体" w:cs="宋体"/>
                <w:color w:val="000000"/>
                <w:sz w:val="21"/>
                <w:szCs w:val="21"/>
                <w:highlight w:val="none"/>
              </w:rPr>
              <w:t>比较近三年（截止报价时间）所投产品在三甲医院或高等科研院所的销售业绩。以提供的销售合同复印件为准，最多提供10份销售合同并附对应的银行存款进账凭证或往来货款结算证明为准。报价方为生产企业时，提供报价方销售合同。报价方为代理商时，可以提供报价方代理销售合同，或提供生产企业销售合同；提供生产企业销售合同时，报价方代理销售合同无效。未盖章或盖章不清晰、总金额或数量不清晰的合同无效。</w:t>
            </w:r>
          </w:p>
          <w:p w14:paraId="27405544">
            <w:pPr>
              <w:pStyle w:val="154"/>
              <w:spacing w:line="440" w:lineRule="exact"/>
              <w:ind w:firstLine="420" w:firstLineChars="200"/>
              <w:rPr>
                <w:rFonts w:hint="eastAsia" w:ascii="宋体" w:hAnsi="宋体" w:cs="宋体"/>
                <w:color w:val="000000"/>
                <w:sz w:val="21"/>
                <w:szCs w:val="21"/>
                <w:highlight w:val="none"/>
              </w:rPr>
            </w:pPr>
            <w:r>
              <w:rPr>
                <w:rFonts w:hint="eastAsia" w:ascii="宋体" w:hAnsi="宋体" w:cs="宋体"/>
                <w:color w:val="000000"/>
                <w:sz w:val="21"/>
                <w:szCs w:val="21"/>
                <w:highlight w:val="none"/>
              </w:rPr>
              <w:t>业绩得分=（所</w:t>
            </w:r>
            <w:r>
              <w:rPr>
                <w:rFonts w:hint="eastAsia" w:ascii="宋体" w:hAnsi="宋体" w:cs="宋体"/>
                <w:color w:val="000000"/>
                <w:sz w:val="21"/>
                <w:szCs w:val="21"/>
                <w:highlight w:val="none"/>
                <w:lang w:eastAsia="zh-CN"/>
              </w:rPr>
              <w:t>报</w:t>
            </w:r>
            <w:r>
              <w:rPr>
                <w:rFonts w:hint="eastAsia" w:ascii="宋体" w:hAnsi="宋体" w:cs="宋体"/>
                <w:color w:val="000000"/>
                <w:sz w:val="21"/>
                <w:szCs w:val="21"/>
                <w:highlight w:val="none"/>
              </w:rPr>
              <w:t>产品业绩/基准业绩）×标准分值</w:t>
            </w:r>
          </w:p>
          <w:p w14:paraId="11F0B6C8">
            <w:pPr>
              <w:pStyle w:val="154"/>
              <w:spacing w:line="440" w:lineRule="exact"/>
              <w:ind w:firstLine="420" w:firstLineChars="200"/>
              <w:rPr>
                <w:rFonts w:hint="eastAsia" w:ascii="宋体" w:hAnsi="宋体" w:cs="宋体"/>
                <w:color w:val="000000"/>
                <w:sz w:val="21"/>
                <w:szCs w:val="21"/>
                <w:highlight w:val="none"/>
              </w:rPr>
            </w:pPr>
            <w:r>
              <w:rPr>
                <w:rFonts w:hint="eastAsia" w:ascii="宋体" w:hAnsi="宋体" w:cs="宋体"/>
                <w:color w:val="000000"/>
                <w:sz w:val="21"/>
                <w:szCs w:val="21"/>
                <w:highlight w:val="none"/>
              </w:rPr>
              <w:t>基准业绩=近三年（截止报价时间）所</w:t>
            </w:r>
            <w:r>
              <w:rPr>
                <w:rFonts w:hint="eastAsia" w:ascii="宋体" w:hAnsi="宋体" w:cs="宋体"/>
                <w:color w:val="000000"/>
                <w:sz w:val="21"/>
                <w:szCs w:val="21"/>
                <w:highlight w:val="none"/>
                <w:lang w:eastAsia="zh-CN"/>
              </w:rPr>
              <w:t>报</w:t>
            </w:r>
            <w:r>
              <w:rPr>
                <w:rFonts w:hint="eastAsia" w:ascii="宋体" w:hAnsi="宋体" w:cs="宋体"/>
                <w:color w:val="000000"/>
                <w:sz w:val="21"/>
                <w:szCs w:val="21"/>
                <w:highlight w:val="none"/>
              </w:rPr>
              <w:t>产品有效合同中所投产品累计销售总数量</w:t>
            </w:r>
            <w:r>
              <w:rPr>
                <w:rFonts w:hint="eastAsia" w:ascii="宋体" w:hAnsi="宋体" w:cs="宋体"/>
                <w:color w:val="FF0000"/>
                <w:sz w:val="21"/>
                <w:szCs w:val="21"/>
                <w:highlight w:val="none"/>
                <w:lang w:val="en-US" w:eastAsia="zh-CN"/>
              </w:rPr>
              <w:t>（累计销售总数量是指单个报价人所投产品最高数量）</w:t>
            </w:r>
          </w:p>
          <w:p w14:paraId="29381CA3">
            <w:pPr>
              <w:pStyle w:val="154"/>
              <w:spacing w:line="440" w:lineRule="exact"/>
              <w:ind w:firstLine="420" w:firstLineChars="200"/>
              <w:rPr>
                <w:rFonts w:hint="eastAsia" w:ascii="宋体" w:hAnsi="宋体" w:cs="宋体"/>
                <w:color w:val="000000"/>
                <w:sz w:val="21"/>
                <w:szCs w:val="21"/>
                <w:highlight w:val="none"/>
              </w:rPr>
            </w:pPr>
            <w:r>
              <w:rPr>
                <w:rFonts w:hint="eastAsia" w:ascii="宋体" w:hAnsi="宋体" w:cs="宋体"/>
                <w:color w:val="000000"/>
                <w:sz w:val="21"/>
                <w:szCs w:val="21"/>
                <w:highlight w:val="none"/>
              </w:rPr>
              <w:t>计算过程有小数点的保留两位小数，小数点后第三位“四舍五入”</w:t>
            </w:r>
          </w:p>
        </w:tc>
        <w:tc>
          <w:tcPr>
            <w:tcW w:w="1077" w:type="dxa"/>
            <w:tcBorders>
              <w:top w:val="single" w:color="auto" w:sz="4" w:space="0"/>
              <w:left w:val="single" w:color="auto" w:sz="4" w:space="0"/>
              <w:bottom w:val="single" w:color="auto" w:sz="4" w:space="0"/>
              <w:right w:val="single" w:color="auto" w:sz="4" w:space="0"/>
            </w:tcBorders>
            <w:noWrap w:val="0"/>
            <w:vAlign w:val="center"/>
          </w:tcPr>
          <w:p w14:paraId="7E759EDF">
            <w:pPr>
              <w:pStyle w:val="154"/>
              <w:spacing w:line="440" w:lineRule="exact"/>
              <w:jc w:val="center"/>
              <w:rPr>
                <w:rFonts w:hint="eastAsia" w:ascii="宋体" w:hAnsi="宋体" w:cs="宋体"/>
                <w:color w:val="000000"/>
                <w:sz w:val="21"/>
                <w:szCs w:val="21"/>
                <w:highlight w:val="none"/>
              </w:rPr>
            </w:pPr>
            <w:r>
              <w:rPr>
                <w:rFonts w:hint="eastAsia" w:ascii="宋体" w:hAnsi="宋体" w:cs="宋体"/>
                <w:color w:val="000000"/>
                <w:sz w:val="21"/>
                <w:szCs w:val="21"/>
                <w:highlight w:val="none"/>
              </w:rPr>
              <w:t>4分</w:t>
            </w:r>
          </w:p>
        </w:tc>
      </w:tr>
      <w:tr w14:paraId="1306A8EC">
        <w:tblPrEx>
          <w:tblCellMar>
            <w:top w:w="0" w:type="dxa"/>
            <w:left w:w="108" w:type="dxa"/>
            <w:bottom w:w="0" w:type="dxa"/>
            <w:right w:w="108" w:type="dxa"/>
          </w:tblCellMar>
        </w:tblPrEx>
        <w:trPr>
          <w:trHeight w:val="340" w:hRule="atLeast"/>
          <w:jc w:val="center"/>
        </w:trPr>
        <w:tc>
          <w:tcPr>
            <w:tcW w:w="740" w:type="dxa"/>
            <w:vMerge w:val="restart"/>
            <w:tcBorders>
              <w:top w:val="single" w:color="auto" w:sz="4" w:space="0"/>
              <w:left w:val="single" w:color="auto" w:sz="4" w:space="0"/>
              <w:bottom w:val="single" w:color="auto" w:sz="4" w:space="0"/>
              <w:right w:val="single" w:color="auto" w:sz="4" w:space="0"/>
            </w:tcBorders>
            <w:noWrap/>
            <w:vAlign w:val="center"/>
          </w:tcPr>
          <w:p w14:paraId="1DEF13D0">
            <w:pPr>
              <w:pStyle w:val="154"/>
              <w:jc w:val="center"/>
              <w:rPr>
                <w:rFonts w:hint="eastAsia" w:ascii="宋体" w:hAnsi="宋体" w:eastAsia="宋体" w:cs="宋体"/>
                <w:color w:val="000000"/>
                <w:sz w:val="21"/>
                <w:szCs w:val="21"/>
                <w:highlight w:val="none"/>
                <w:lang w:eastAsia="zh-CN"/>
              </w:rPr>
            </w:pPr>
            <w:r>
              <w:rPr>
                <w:rFonts w:hint="eastAsia" w:ascii="宋体" w:hAnsi="宋体" w:cs="宋体"/>
                <w:color w:val="000000"/>
                <w:sz w:val="21"/>
                <w:szCs w:val="21"/>
                <w:highlight w:val="none"/>
                <w:lang w:eastAsia="zh-CN"/>
              </w:rPr>
              <w:t>二</w:t>
            </w:r>
          </w:p>
        </w:tc>
        <w:tc>
          <w:tcPr>
            <w:tcW w:w="1060" w:type="dxa"/>
            <w:vMerge w:val="restart"/>
            <w:tcBorders>
              <w:top w:val="single" w:color="auto" w:sz="4" w:space="0"/>
              <w:left w:val="single" w:color="auto" w:sz="4" w:space="0"/>
              <w:bottom w:val="single" w:color="auto" w:sz="4" w:space="0"/>
              <w:right w:val="single" w:color="auto" w:sz="4" w:space="0"/>
            </w:tcBorders>
            <w:noWrap/>
            <w:vAlign w:val="center"/>
          </w:tcPr>
          <w:p w14:paraId="46285A46">
            <w:pPr>
              <w:pStyle w:val="154"/>
              <w:jc w:val="center"/>
              <w:rPr>
                <w:rFonts w:hint="eastAsia" w:ascii="宋体" w:hAnsi="宋体" w:cs="宋体"/>
                <w:color w:val="000000"/>
                <w:sz w:val="21"/>
                <w:szCs w:val="21"/>
                <w:highlight w:val="none"/>
              </w:rPr>
            </w:pPr>
            <w:r>
              <w:rPr>
                <w:rFonts w:hint="eastAsia" w:ascii="宋体" w:hAnsi="宋体" w:cs="宋体"/>
                <w:color w:val="000000"/>
                <w:sz w:val="21"/>
                <w:szCs w:val="21"/>
                <w:highlight w:val="none"/>
              </w:rPr>
              <w:t>企业规模</w:t>
            </w:r>
          </w:p>
        </w:tc>
        <w:tc>
          <w:tcPr>
            <w:tcW w:w="6260" w:type="dxa"/>
            <w:tcBorders>
              <w:top w:val="single" w:color="auto" w:sz="4" w:space="0"/>
              <w:left w:val="single" w:color="auto" w:sz="4" w:space="0"/>
              <w:bottom w:val="single" w:color="auto" w:sz="4" w:space="0"/>
              <w:right w:val="single" w:color="auto" w:sz="4" w:space="0"/>
            </w:tcBorders>
            <w:noWrap w:val="0"/>
            <w:vAlign w:val="center"/>
          </w:tcPr>
          <w:p w14:paraId="4C9063E9">
            <w:pPr>
              <w:pStyle w:val="154"/>
              <w:spacing w:line="360" w:lineRule="exact"/>
              <w:rPr>
                <w:rFonts w:hint="eastAsia" w:ascii="宋体" w:hAnsi="宋体" w:cs="宋体"/>
                <w:color w:val="000000"/>
                <w:sz w:val="21"/>
                <w:szCs w:val="21"/>
                <w:highlight w:val="none"/>
              </w:rPr>
            </w:pPr>
            <w:r>
              <w:rPr>
                <w:rFonts w:hint="eastAsia" w:ascii="宋体" w:hAnsi="宋体" w:cs="宋体"/>
                <w:color w:val="000000"/>
                <w:sz w:val="21"/>
                <w:szCs w:val="21"/>
                <w:highlight w:val="none"/>
              </w:rPr>
              <w:t>1.根据报价方近1年（202</w:t>
            </w:r>
            <w:r>
              <w:rPr>
                <w:rFonts w:hint="eastAsia" w:ascii="宋体" w:hAnsi="宋体" w:cs="宋体"/>
                <w:color w:val="000000"/>
                <w:sz w:val="21"/>
                <w:szCs w:val="21"/>
                <w:highlight w:val="none"/>
                <w:lang w:val="en-US" w:eastAsia="zh-CN"/>
              </w:rPr>
              <w:t>3</w:t>
            </w:r>
            <w:r>
              <w:rPr>
                <w:rFonts w:hint="eastAsia" w:ascii="宋体" w:hAnsi="宋体" w:cs="宋体"/>
                <w:color w:val="000000"/>
                <w:sz w:val="21"/>
                <w:szCs w:val="21"/>
                <w:highlight w:val="none"/>
              </w:rPr>
              <w:t>年）资产总额进行评分，第一名得1分，依次递减0.2分。</w:t>
            </w:r>
          </w:p>
          <w:p w14:paraId="0AC9AE81">
            <w:pPr>
              <w:pStyle w:val="154"/>
              <w:spacing w:line="360" w:lineRule="exact"/>
              <w:rPr>
                <w:rFonts w:hint="eastAsia" w:ascii="宋体" w:hAnsi="宋体" w:cs="宋体"/>
                <w:color w:val="000000"/>
                <w:sz w:val="21"/>
                <w:szCs w:val="21"/>
                <w:highlight w:val="none"/>
              </w:rPr>
            </w:pPr>
            <w:r>
              <w:rPr>
                <w:rFonts w:hint="eastAsia" w:ascii="宋体" w:hAnsi="宋体" w:cs="宋体"/>
                <w:color w:val="000000"/>
                <w:sz w:val="21"/>
                <w:szCs w:val="21"/>
                <w:highlight w:val="none"/>
              </w:rPr>
              <w:t>【以第三方会计师事务所出具的审计报告或公司财务报告（表）数据为准，未提供的得0分】</w:t>
            </w:r>
          </w:p>
        </w:tc>
        <w:tc>
          <w:tcPr>
            <w:tcW w:w="1077" w:type="dxa"/>
            <w:tcBorders>
              <w:top w:val="single" w:color="auto" w:sz="4" w:space="0"/>
              <w:left w:val="single" w:color="auto" w:sz="4" w:space="0"/>
              <w:bottom w:val="single" w:color="auto" w:sz="4" w:space="0"/>
              <w:right w:val="single" w:color="auto" w:sz="4" w:space="0"/>
            </w:tcBorders>
            <w:noWrap/>
            <w:vAlign w:val="center"/>
          </w:tcPr>
          <w:p w14:paraId="6BDA75FD">
            <w:pPr>
              <w:pStyle w:val="154"/>
              <w:jc w:val="center"/>
              <w:rPr>
                <w:rFonts w:hint="eastAsia" w:ascii="宋体" w:hAnsi="宋体" w:cs="宋体"/>
                <w:color w:val="000000"/>
                <w:sz w:val="21"/>
                <w:szCs w:val="21"/>
                <w:highlight w:val="none"/>
              </w:rPr>
            </w:pPr>
            <w:r>
              <w:rPr>
                <w:rFonts w:hint="eastAsia" w:ascii="宋体" w:hAnsi="宋体" w:cs="宋体"/>
                <w:color w:val="000000"/>
                <w:sz w:val="21"/>
                <w:szCs w:val="21"/>
                <w:highlight w:val="none"/>
              </w:rPr>
              <w:t>1分</w:t>
            </w:r>
          </w:p>
        </w:tc>
      </w:tr>
      <w:tr w14:paraId="71AD83C9">
        <w:tblPrEx>
          <w:tblCellMar>
            <w:top w:w="0" w:type="dxa"/>
            <w:left w:w="108" w:type="dxa"/>
            <w:bottom w:w="0" w:type="dxa"/>
            <w:right w:w="108" w:type="dxa"/>
          </w:tblCellMar>
        </w:tblPrEx>
        <w:trPr>
          <w:trHeight w:val="1910" w:hRule="atLeast"/>
          <w:jc w:val="center"/>
        </w:trPr>
        <w:tc>
          <w:tcPr>
            <w:tcW w:w="740" w:type="dxa"/>
            <w:vMerge w:val="continue"/>
            <w:tcBorders>
              <w:top w:val="single" w:color="auto" w:sz="4" w:space="0"/>
              <w:left w:val="single" w:color="auto" w:sz="4" w:space="0"/>
              <w:bottom w:val="single" w:color="auto" w:sz="4" w:space="0"/>
              <w:right w:val="single" w:color="auto" w:sz="4" w:space="0"/>
            </w:tcBorders>
            <w:noWrap/>
            <w:vAlign w:val="center"/>
          </w:tcPr>
          <w:p w14:paraId="395B3053">
            <w:pPr>
              <w:pStyle w:val="154"/>
              <w:jc w:val="center"/>
              <w:rPr>
                <w:rFonts w:hint="eastAsia" w:ascii="宋体" w:hAnsi="宋体" w:cs="宋体"/>
                <w:color w:val="000000"/>
                <w:sz w:val="21"/>
                <w:szCs w:val="21"/>
                <w:highlight w:val="none"/>
              </w:rPr>
            </w:pPr>
          </w:p>
        </w:tc>
        <w:tc>
          <w:tcPr>
            <w:tcW w:w="1060" w:type="dxa"/>
            <w:vMerge w:val="continue"/>
            <w:tcBorders>
              <w:top w:val="single" w:color="auto" w:sz="4" w:space="0"/>
              <w:left w:val="single" w:color="auto" w:sz="4" w:space="0"/>
              <w:bottom w:val="single" w:color="auto" w:sz="4" w:space="0"/>
              <w:right w:val="single" w:color="auto" w:sz="4" w:space="0"/>
            </w:tcBorders>
            <w:noWrap/>
            <w:vAlign w:val="center"/>
          </w:tcPr>
          <w:p w14:paraId="5D343C64">
            <w:pPr>
              <w:pStyle w:val="154"/>
              <w:jc w:val="center"/>
              <w:rPr>
                <w:rFonts w:hint="eastAsia" w:ascii="宋体" w:hAnsi="宋体" w:cs="宋体"/>
                <w:color w:val="000000"/>
                <w:sz w:val="21"/>
                <w:szCs w:val="21"/>
                <w:highlight w:val="none"/>
              </w:rPr>
            </w:pPr>
          </w:p>
        </w:tc>
        <w:tc>
          <w:tcPr>
            <w:tcW w:w="6260" w:type="dxa"/>
            <w:tcBorders>
              <w:top w:val="single" w:color="auto" w:sz="4" w:space="0"/>
              <w:left w:val="single" w:color="auto" w:sz="4" w:space="0"/>
              <w:bottom w:val="single" w:color="auto" w:sz="4" w:space="0"/>
              <w:right w:val="single" w:color="auto" w:sz="4" w:space="0"/>
            </w:tcBorders>
            <w:noWrap w:val="0"/>
            <w:vAlign w:val="center"/>
          </w:tcPr>
          <w:p w14:paraId="0606B4C6">
            <w:pPr>
              <w:pStyle w:val="154"/>
              <w:spacing w:line="360" w:lineRule="exact"/>
              <w:rPr>
                <w:rFonts w:hint="eastAsia" w:ascii="宋体" w:hAnsi="宋体" w:cs="宋体"/>
                <w:color w:val="000000"/>
                <w:sz w:val="21"/>
                <w:szCs w:val="21"/>
                <w:highlight w:val="none"/>
              </w:rPr>
            </w:pPr>
            <w:r>
              <w:rPr>
                <w:rFonts w:hint="eastAsia" w:ascii="宋体" w:hAnsi="宋体" w:cs="宋体"/>
                <w:color w:val="000000"/>
                <w:sz w:val="21"/>
                <w:szCs w:val="21"/>
                <w:highlight w:val="none"/>
              </w:rPr>
              <w:t>2.根据报价方缴纳社保人数由大至小排名，第一名得1分，依次递减0.2分。</w:t>
            </w:r>
          </w:p>
          <w:p w14:paraId="3E9A7B65">
            <w:pPr>
              <w:pStyle w:val="154"/>
              <w:spacing w:line="360" w:lineRule="exact"/>
              <w:rPr>
                <w:rFonts w:hint="eastAsia" w:ascii="宋体" w:hAnsi="宋体" w:cs="宋体"/>
                <w:color w:val="000000"/>
                <w:sz w:val="21"/>
                <w:szCs w:val="21"/>
                <w:highlight w:val="none"/>
              </w:rPr>
            </w:pPr>
            <w:r>
              <w:rPr>
                <w:rFonts w:hint="eastAsia" w:ascii="宋体" w:hAnsi="宋体" w:cs="宋体"/>
                <w:color w:val="000000"/>
                <w:sz w:val="21"/>
                <w:szCs w:val="21"/>
                <w:highlight w:val="none"/>
              </w:rPr>
              <w:t>【提供社保机构出具的缴纳证明材料（截止时间至少为开标前的2个月），以正常参保人数进行评审，证明材料不清晰或资料不全的不得计为有效人数，企业未缴纳社保或未提供的得0分】</w:t>
            </w:r>
          </w:p>
        </w:tc>
        <w:tc>
          <w:tcPr>
            <w:tcW w:w="1077" w:type="dxa"/>
            <w:tcBorders>
              <w:top w:val="single" w:color="auto" w:sz="4" w:space="0"/>
              <w:left w:val="single" w:color="auto" w:sz="4" w:space="0"/>
              <w:bottom w:val="single" w:color="auto" w:sz="4" w:space="0"/>
              <w:right w:val="single" w:color="auto" w:sz="4" w:space="0"/>
            </w:tcBorders>
            <w:noWrap/>
            <w:vAlign w:val="center"/>
          </w:tcPr>
          <w:p w14:paraId="2AC151F6">
            <w:pPr>
              <w:pStyle w:val="154"/>
              <w:jc w:val="center"/>
              <w:rPr>
                <w:rFonts w:hint="eastAsia" w:ascii="宋体" w:hAnsi="宋体" w:cs="宋体"/>
                <w:color w:val="000000"/>
                <w:sz w:val="21"/>
                <w:szCs w:val="21"/>
                <w:highlight w:val="none"/>
              </w:rPr>
            </w:pPr>
            <w:r>
              <w:rPr>
                <w:rFonts w:hint="eastAsia" w:ascii="宋体" w:hAnsi="宋体" w:cs="宋体"/>
                <w:color w:val="000000"/>
                <w:sz w:val="21"/>
                <w:szCs w:val="21"/>
                <w:highlight w:val="none"/>
              </w:rPr>
              <w:t>1分</w:t>
            </w:r>
          </w:p>
        </w:tc>
      </w:tr>
      <w:tr w14:paraId="3B2D77D9">
        <w:tblPrEx>
          <w:tblCellMar>
            <w:top w:w="0" w:type="dxa"/>
            <w:left w:w="108" w:type="dxa"/>
            <w:bottom w:w="0" w:type="dxa"/>
            <w:right w:w="108" w:type="dxa"/>
          </w:tblCellMar>
        </w:tblPrEx>
        <w:trPr>
          <w:trHeight w:val="1215" w:hRule="atLeast"/>
          <w:jc w:val="center"/>
        </w:trPr>
        <w:tc>
          <w:tcPr>
            <w:tcW w:w="740" w:type="dxa"/>
            <w:vMerge w:val="restart"/>
            <w:tcBorders>
              <w:top w:val="single" w:color="auto" w:sz="4" w:space="0"/>
              <w:left w:val="single" w:color="auto" w:sz="4" w:space="0"/>
              <w:bottom w:val="single" w:color="auto" w:sz="4" w:space="0"/>
              <w:right w:val="single" w:color="auto" w:sz="4" w:space="0"/>
            </w:tcBorders>
            <w:noWrap/>
            <w:vAlign w:val="center"/>
          </w:tcPr>
          <w:p w14:paraId="01E6C5E9">
            <w:pPr>
              <w:pStyle w:val="154"/>
              <w:jc w:val="center"/>
              <w:rPr>
                <w:rFonts w:hint="eastAsia" w:ascii="宋体" w:hAnsi="宋体" w:eastAsia="宋体" w:cs="宋体"/>
                <w:color w:val="000000"/>
                <w:sz w:val="21"/>
                <w:szCs w:val="21"/>
                <w:highlight w:val="none"/>
                <w:lang w:eastAsia="zh-CN"/>
              </w:rPr>
            </w:pPr>
            <w:r>
              <w:rPr>
                <w:rFonts w:hint="eastAsia" w:ascii="宋体" w:hAnsi="宋体" w:cs="宋体"/>
                <w:color w:val="000000"/>
                <w:sz w:val="21"/>
                <w:szCs w:val="21"/>
                <w:highlight w:val="none"/>
                <w:lang w:eastAsia="zh-CN"/>
              </w:rPr>
              <w:t>三</w:t>
            </w:r>
          </w:p>
        </w:tc>
        <w:tc>
          <w:tcPr>
            <w:tcW w:w="1060" w:type="dxa"/>
            <w:vMerge w:val="restart"/>
            <w:tcBorders>
              <w:top w:val="single" w:color="auto" w:sz="4" w:space="0"/>
              <w:left w:val="single" w:color="auto" w:sz="4" w:space="0"/>
              <w:bottom w:val="single" w:color="auto" w:sz="4" w:space="0"/>
              <w:right w:val="single" w:color="auto" w:sz="4" w:space="0"/>
            </w:tcBorders>
            <w:noWrap/>
            <w:vAlign w:val="center"/>
          </w:tcPr>
          <w:p w14:paraId="62EE0B09">
            <w:pPr>
              <w:pStyle w:val="154"/>
              <w:jc w:val="center"/>
              <w:rPr>
                <w:rFonts w:hint="eastAsia" w:ascii="宋体" w:hAnsi="宋体" w:cs="宋体"/>
                <w:color w:val="000000"/>
                <w:sz w:val="21"/>
                <w:szCs w:val="21"/>
                <w:highlight w:val="none"/>
              </w:rPr>
            </w:pPr>
            <w:r>
              <w:rPr>
                <w:rFonts w:hint="eastAsia" w:ascii="宋体" w:hAnsi="宋体" w:cs="宋体"/>
                <w:color w:val="000000"/>
                <w:sz w:val="21"/>
                <w:szCs w:val="21"/>
                <w:highlight w:val="none"/>
              </w:rPr>
              <w:t>信誉</w:t>
            </w:r>
          </w:p>
        </w:tc>
        <w:tc>
          <w:tcPr>
            <w:tcW w:w="6260" w:type="dxa"/>
            <w:tcBorders>
              <w:top w:val="single" w:color="auto" w:sz="4" w:space="0"/>
              <w:left w:val="single" w:color="auto" w:sz="4" w:space="0"/>
              <w:bottom w:val="single" w:color="auto" w:sz="4" w:space="0"/>
              <w:right w:val="single" w:color="auto" w:sz="4" w:space="0"/>
            </w:tcBorders>
            <w:noWrap w:val="0"/>
            <w:vAlign w:val="center"/>
          </w:tcPr>
          <w:p w14:paraId="7024B8AF">
            <w:pPr>
              <w:pStyle w:val="154"/>
              <w:spacing w:line="360" w:lineRule="exact"/>
              <w:rPr>
                <w:rFonts w:hint="eastAsia" w:ascii="宋体" w:hAnsi="宋体" w:cs="宋体"/>
                <w:color w:val="000000"/>
                <w:sz w:val="21"/>
                <w:szCs w:val="21"/>
                <w:highlight w:val="none"/>
              </w:rPr>
            </w:pPr>
            <w:r>
              <w:rPr>
                <w:rFonts w:hint="eastAsia" w:ascii="宋体" w:hAnsi="宋体" w:cs="宋体"/>
                <w:color w:val="000000"/>
                <w:sz w:val="21"/>
                <w:szCs w:val="21"/>
                <w:highlight w:val="none"/>
              </w:rPr>
              <w:t>1.报价方近两年（截止报价文件递交时间）连续获得税务部门颁发的纳税信用A级证书的得0.5分，其他得0分。</w:t>
            </w:r>
          </w:p>
          <w:p w14:paraId="3ED47C33">
            <w:pPr>
              <w:pStyle w:val="154"/>
              <w:spacing w:line="360" w:lineRule="exact"/>
              <w:rPr>
                <w:rFonts w:hint="eastAsia" w:ascii="宋体" w:hAnsi="宋体" w:cs="宋体"/>
                <w:color w:val="000000"/>
                <w:sz w:val="21"/>
                <w:szCs w:val="21"/>
                <w:highlight w:val="none"/>
              </w:rPr>
            </w:pPr>
            <w:r>
              <w:rPr>
                <w:rFonts w:hint="eastAsia" w:ascii="宋体" w:hAnsi="宋体" w:cs="宋体"/>
                <w:color w:val="000000"/>
                <w:sz w:val="21"/>
                <w:szCs w:val="21"/>
                <w:highlight w:val="none"/>
              </w:rPr>
              <w:t>【提供证书复印件或网站截图或政府书面文件为依据】</w:t>
            </w:r>
          </w:p>
        </w:tc>
        <w:tc>
          <w:tcPr>
            <w:tcW w:w="1077" w:type="dxa"/>
            <w:tcBorders>
              <w:top w:val="single" w:color="auto" w:sz="4" w:space="0"/>
              <w:left w:val="single" w:color="auto" w:sz="4" w:space="0"/>
              <w:bottom w:val="single" w:color="auto" w:sz="4" w:space="0"/>
              <w:right w:val="single" w:color="auto" w:sz="4" w:space="0"/>
            </w:tcBorders>
            <w:noWrap/>
            <w:vAlign w:val="center"/>
          </w:tcPr>
          <w:p w14:paraId="3FF354A4">
            <w:pPr>
              <w:pStyle w:val="154"/>
              <w:jc w:val="center"/>
              <w:rPr>
                <w:rFonts w:hint="eastAsia" w:ascii="宋体" w:hAnsi="宋体" w:cs="宋体"/>
                <w:color w:val="000000"/>
                <w:sz w:val="21"/>
                <w:szCs w:val="21"/>
                <w:highlight w:val="none"/>
              </w:rPr>
            </w:pPr>
            <w:r>
              <w:rPr>
                <w:rFonts w:hint="eastAsia" w:ascii="宋体" w:hAnsi="宋体" w:cs="宋体"/>
                <w:color w:val="000000"/>
                <w:sz w:val="21"/>
                <w:szCs w:val="21"/>
                <w:highlight w:val="none"/>
              </w:rPr>
              <w:t>0.5</w:t>
            </w:r>
          </w:p>
        </w:tc>
      </w:tr>
      <w:tr w14:paraId="089DDAEA">
        <w:tblPrEx>
          <w:tblCellMar>
            <w:top w:w="0" w:type="dxa"/>
            <w:left w:w="108" w:type="dxa"/>
            <w:bottom w:w="0" w:type="dxa"/>
            <w:right w:w="108" w:type="dxa"/>
          </w:tblCellMar>
        </w:tblPrEx>
        <w:trPr>
          <w:trHeight w:val="830" w:hRule="atLeast"/>
          <w:jc w:val="center"/>
        </w:trPr>
        <w:tc>
          <w:tcPr>
            <w:tcW w:w="740" w:type="dxa"/>
            <w:vMerge w:val="continue"/>
            <w:tcBorders>
              <w:top w:val="single" w:color="auto" w:sz="4" w:space="0"/>
              <w:left w:val="single" w:color="auto" w:sz="4" w:space="0"/>
              <w:bottom w:val="single" w:color="auto" w:sz="4" w:space="0"/>
              <w:right w:val="single" w:color="auto" w:sz="4" w:space="0"/>
            </w:tcBorders>
            <w:noWrap/>
            <w:vAlign w:val="center"/>
          </w:tcPr>
          <w:p w14:paraId="2A565AA7">
            <w:pPr>
              <w:pStyle w:val="154"/>
              <w:jc w:val="center"/>
              <w:rPr>
                <w:rFonts w:hint="eastAsia" w:ascii="宋体" w:hAnsi="宋体" w:cs="宋体"/>
                <w:color w:val="000000"/>
                <w:sz w:val="21"/>
                <w:szCs w:val="21"/>
                <w:highlight w:val="none"/>
              </w:rPr>
            </w:pPr>
          </w:p>
        </w:tc>
        <w:tc>
          <w:tcPr>
            <w:tcW w:w="1060" w:type="dxa"/>
            <w:vMerge w:val="continue"/>
            <w:tcBorders>
              <w:top w:val="single" w:color="auto" w:sz="4" w:space="0"/>
              <w:left w:val="single" w:color="auto" w:sz="4" w:space="0"/>
              <w:bottom w:val="single" w:color="auto" w:sz="4" w:space="0"/>
              <w:right w:val="single" w:color="auto" w:sz="4" w:space="0"/>
            </w:tcBorders>
            <w:noWrap/>
            <w:vAlign w:val="center"/>
          </w:tcPr>
          <w:p w14:paraId="7312D58F">
            <w:pPr>
              <w:pStyle w:val="154"/>
              <w:jc w:val="center"/>
              <w:rPr>
                <w:rFonts w:hint="eastAsia" w:ascii="宋体" w:hAnsi="宋体" w:cs="宋体"/>
                <w:color w:val="000000"/>
                <w:sz w:val="21"/>
                <w:szCs w:val="21"/>
                <w:highlight w:val="none"/>
              </w:rPr>
            </w:pPr>
          </w:p>
        </w:tc>
        <w:tc>
          <w:tcPr>
            <w:tcW w:w="6260" w:type="dxa"/>
            <w:tcBorders>
              <w:top w:val="single" w:color="auto" w:sz="4" w:space="0"/>
              <w:left w:val="single" w:color="auto" w:sz="4" w:space="0"/>
              <w:bottom w:val="single" w:color="auto" w:sz="4" w:space="0"/>
              <w:right w:val="single" w:color="auto" w:sz="4" w:space="0"/>
            </w:tcBorders>
            <w:noWrap w:val="0"/>
            <w:vAlign w:val="center"/>
          </w:tcPr>
          <w:p w14:paraId="7437F726">
            <w:pPr>
              <w:pStyle w:val="154"/>
              <w:spacing w:line="360" w:lineRule="exact"/>
              <w:rPr>
                <w:rFonts w:hint="eastAsia" w:ascii="宋体" w:hAnsi="宋体" w:cs="宋体"/>
                <w:color w:val="000000"/>
                <w:sz w:val="21"/>
                <w:szCs w:val="21"/>
                <w:highlight w:val="none"/>
              </w:rPr>
            </w:pPr>
            <w:r>
              <w:rPr>
                <w:rFonts w:hint="eastAsia" w:ascii="宋体" w:hAnsi="宋体" w:cs="宋体"/>
                <w:color w:val="000000"/>
                <w:sz w:val="21"/>
                <w:szCs w:val="21"/>
                <w:highlight w:val="none"/>
              </w:rPr>
              <w:t>2.报价方近一年（截止报价文件递交时间）获得银行颁发的资信（信用）等级证明，级别最高的得0.5分，其他得0分。</w:t>
            </w:r>
          </w:p>
        </w:tc>
        <w:tc>
          <w:tcPr>
            <w:tcW w:w="1077" w:type="dxa"/>
            <w:tcBorders>
              <w:top w:val="single" w:color="auto" w:sz="4" w:space="0"/>
              <w:left w:val="single" w:color="auto" w:sz="4" w:space="0"/>
              <w:bottom w:val="single" w:color="auto" w:sz="4" w:space="0"/>
              <w:right w:val="single" w:color="auto" w:sz="4" w:space="0"/>
            </w:tcBorders>
            <w:noWrap/>
            <w:vAlign w:val="center"/>
          </w:tcPr>
          <w:p w14:paraId="3D90F16A">
            <w:pPr>
              <w:pStyle w:val="154"/>
              <w:jc w:val="center"/>
              <w:rPr>
                <w:rFonts w:hint="eastAsia" w:ascii="宋体" w:hAnsi="宋体" w:cs="宋体"/>
                <w:color w:val="000000"/>
                <w:sz w:val="21"/>
                <w:szCs w:val="21"/>
                <w:highlight w:val="none"/>
              </w:rPr>
            </w:pPr>
            <w:r>
              <w:rPr>
                <w:rFonts w:hint="eastAsia" w:ascii="宋体" w:hAnsi="宋体" w:cs="宋体"/>
                <w:color w:val="000000"/>
                <w:sz w:val="21"/>
                <w:szCs w:val="21"/>
                <w:highlight w:val="none"/>
              </w:rPr>
              <w:t>0.5</w:t>
            </w:r>
          </w:p>
        </w:tc>
      </w:tr>
      <w:tr w14:paraId="4A63EF4E">
        <w:tblPrEx>
          <w:tblCellMar>
            <w:top w:w="0" w:type="dxa"/>
            <w:left w:w="108" w:type="dxa"/>
            <w:bottom w:w="0" w:type="dxa"/>
            <w:right w:w="108" w:type="dxa"/>
          </w:tblCellMar>
        </w:tblPrEx>
        <w:trPr>
          <w:trHeight w:val="1249" w:hRule="atLeast"/>
          <w:jc w:val="center"/>
        </w:trPr>
        <w:tc>
          <w:tcPr>
            <w:tcW w:w="740" w:type="dxa"/>
            <w:vMerge w:val="continue"/>
            <w:tcBorders>
              <w:top w:val="single" w:color="auto" w:sz="4" w:space="0"/>
              <w:left w:val="single" w:color="auto" w:sz="4" w:space="0"/>
              <w:bottom w:val="single" w:color="auto" w:sz="4" w:space="0"/>
              <w:right w:val="single" w:color="auto" w:sz="4" w:space="0"/>
            </w:tcBorders>
            <w:noWrap/>
            <w:vAlign w:val="center"/>
          </w:tcPr>
          <w:p w14:paraId="1F0ED785">
            <w:pPr>
              <w:pStyle w:val="154"/>
              <w:jc w:val="center"/>
              <w:rPr>
                <w:rFonts w:hint="eastAsia" w:ascii="宋体" w:hAnsi="宋体" w:cs="宋体"/>
                <w:color w:val="000000"/>
                <w:sz w:val="21"/>
                <w:szCs w:val="21"/>
                <w:highlight w:val="none"/>
              </w:rPr>
            </w:pPr>
          </w:p>
        </w:tc>
        <w:tc>
          <w:tcPr>
            <w:tcW w:w="1060" w:type="dxa"/>
            <w:vMerge w:val="continue"/>
            <w:tcBorders>
              <w:top w:val="single" w:color="auto" w:sz="4" w:space="0"/>
              <w:left w:val="single" w:color="auto" w:sz="4" w:space="0"/>
              <w:bottom w:val="single" w:color="auto" w:sz="4" w:space="0"/>
              <w:right w:val="single" w:color="auto" w:sz="4" w:space="0"/>
            </w:tcBorders>
            <w:noWrap/>
            <w:vAlign w:val="center"/>
          </w:tcPr>
          <w:p w14:paraId="60C71DB1">
            <w:pPr>
              <w:pStyle w:val="154"/>
              <w:jc w:val="center"/>
              <w:rPr>
                <w:rFonts w:hint="eastAsia" w:ascii="宋体" w:hAnsi="宋体" w:cs="宋体"/>
                <w:color w:val="000000"/>
                <w:sz w:val="21"/>
                <w:szCs w:val="21"/>
                <w:highlight w:val="none"/>
              </w:rPr>
            </w:pPr>
          </w:p>
        </w:tc>
        <w:tc>
          <w:tcPr>
            <w:tcW w:w="6260" w:type="dxa"/>
            <w:tcBorders>
              <w:top w:val="single" w:color="auto" w:sz="4" w:space="0"/>
              <w:left w:val="single" w:color="auto" w:sz="4" w:space="0"/>
              <w:bottom w:val="single" w:color="auto" w:sz="4" w:space="0"/>
              <w:right w:val="single" w:color="auto" w:sz="4" w:space="0"/>
            </w:tcBorders>
            <w:noWrap w:val="0"/>
            <w:vAlign w:val="center"/>
          </w:tcPr>
          <w:p w14:paraId="5A018082">
            <w:pPr>
              <w:pStyle w:val="154"/>
              <w:spacing w:line="360" w:lineRule="exact"/>
              <w:rPr>
                <w:rFonts w:hint="eastAsia" w:ascii="宋体" w:hAnsi="宋体" w:cs="宋体"/>
                <w:color w:val="000000"/>
                <w:sz w:val="21"/>
                <w:szCs w:val="21"/>
                <w:highlight w:val="none"/>
              </w:rPr>
            </w:pPr>
            <w:r>
              <w:rPr>
                <w:rFonts w:hint="eastAsia" w:ascii="宋体" w:hAnsi="宋体" w:cs="宋体"/>
                <w:color w:val="000000"/>
                <w:sz w:val="21"/>
                <w:szCs w:val="21"/>
                <w:highlight w:val="none"/>
                <w:lang w:val="en-US" w:eastAsia="zh-CN"/>
              </w:rPr>
              <w:t>3.</w:t>
            </w:r>
            <w:r>
              <w:rPr>
                <w:rFonts w:hint="eastAsia" w:ascii="宋体" w:hAnsi="宋体" w:cs="宋体"/>
                <w:color w:val="000000"/>
                <w:sz w:val="21"/>
                <w:szCs w:val="21"/>
                <w:highlight w:val="none"/>
              </w:rPr>
              <w:t>近三年（截止报价文件递交时间）参加军队采购未通过首检的，每次得-1分。</w:t>
            </w:r>
          </w:p>
          <w:p w14:paraId="49136FF2">
            <w:pPr>
              <w:pStyle w:val="154"/>
              <w:spacing w:line="360" w:lineRule="exact"/>
              <w:rPr>
                <w:rFonts w:hint="eastAsia" w:ascii="宋体" w:hAnsi="宋体" w:cs="宋体"/>
                <w:color w:val="000000"/>
                <w:sz w:val="21"/>
                <w:szCs w:val="21"/>
                <w:highlight w:val="none"/>
              </w:rPr>
            </w:pPr>
            <w:r>
              <w:rPr>
                <w:rFonts w:hint="eastAsia" w:ascii="宋体" w:hAnsi="宋体" w:cs="宋体"/>
                <w:color w:val="000000"/>
                <w:sz w:val="21"/>
                <w:szCs w:val="21"/>
                <w:highlight w:val="none"/>
              </w:rPr>
              <w:t>（需求部门向采购管理部门提供违规供应商名单）</w:t>
            </w:r>
          </w:p>
        </w:tc>
        <w:tc>
          <w:tcPr>
            <w:tcW w:w="1077" w:type="dxa"/>
            <w:tcBorders>
              <w:top w:val="single" w:color="auto" w:sz="4" w:space="0"/>
              <w:left w:val="single" w:color="auto" w:sz="4" w:space="0"/>
              <w:bottom w:val="single" w:color="auto" w:sz="4" w:space="0"/>
              <w:right w:val="single" w:color="auto" w:sz="4" w:space="0"/>
            </w:tcBorders>
            <w:noWrap/>
            <w:vAlign w:val="center"/>
          </w:tcPr>
          <w:p w14:paraId="0B39D9F5">
            <w:pPr>
              <w:pStyle w:val="154"/>
              <w:jc w:val="center"/>
              <w:rPr>
                <w:rFonts w:hint="eastAsia" w:ascii="宋体" w:hAnsi="宋体" w:cs="宋体"/>
                <w:color w:val="000000"/>
                <w:sz w:val="21"/>
                <w:szCs w:val="21"/>
                <w:highlight w:val="none"/>
              </w:rPr>
            </w:pPr>
            <w:r>
              <w:rPr>
                <w:rFonts w:hint="eastAsia" w:ascii="宋体" w:hAnsi="宋体" w:cs="宋体"/>
                <w:color w:val="000000"/>
                <w:sz w:val="21"/>
                <w:szCs w:val="21"/>
                <w:highlight w:val="none"/>
              </w:rPr>
              <w:t>可累计扣分</w:t>
            </w:r>
          </w:p>
        </w:tc>
      </w:tr>
      <w:tr w14:paraId="6B0B0B73">
        <w:tblPrEx>
          <w:tblCellMar>
            <w:top w:w="0" w:type="dxa"/>
            <w:left w:w="108" w:type="dxa"/>
            <w:bottom w:w="0" w:type="dxa"/>
            <w:right w:w="108" w:type="dxa"/>
          </w:tblCellMar>
        </w:tblPrEx>
        <w:trPr>
          <w:trHeight w:val="1129" w:hRule="atLeast"/>
          <w:jc w:val="center"/>
        </w:trPr>
        <w:tc>
          <w:tcPr>
            <w:tcW w:w="740" w:type="dxa"/>
            <w:vMerge w:val="continue"/>
            <w:tcBorders>
              <w:top w:val="single" w:color="auto" w:sz="4" w:space="0"/>
              <w:left w:val="single" w:color="auto" w:sz="4" w:space="0"/>
              <w:bottom w:val="single" w:color="auto" w:sz="4" w:space="0"/>
              <w:right w:val="single" w:color="auto" w:sz="4" w:space="0"/>
            </w:tcBorders>
            <w:noWrap/>
            <w:vAlign w:val="center"/>
          </w:tcPr>
          <w:p w14:paraId="743876B4">
            <w:pPr>
              <w:pStyle w:val="154"/>
              <w:jc w:val="center"/>
              <w:rPr>
                <w:rFonts w:hint="eastAsia" w:ascii="宋体" w:hAnsi="宋体" w:cs="宋体"/>
                <w:color w:val="000000"/>
                <w:sz w:val="21"/>
                <w:szCs w:val="21"/>
                <w:highlight w:val="none"/>
              </w:rPr>
            </w:pPr>
          </w:p>
        </w:tc>
        <w:tc>
          <w:tcPr>
            <w:tcW w:w="1060" w:type="dxa"/>
            <w:vMerge w:val="continue"/>
            <w:tcBorders>
              <w:top w:val="single" w:color="auto" w:sz="4" w:space="0"/>
              <w:left w:val="single" w:color="auto" w:sz="4" w:space="0"/>
              <w:bottom w:val="single" w:color="auto" w:sz="4" w:space="0"/>
              <w:right w:val="single" w:color="auto" w:sz="4" w:space="0"/>
            </w:tcBorders>
            <w:noWrap/>
            <w:vAlign w:val="center"/>
          </w:tcPr>
          <w:p w14:paraId="3DD03B28">
            <w:pPr>
              <w:pStyle w:val="154"/>
              <w:jc w:val="center"/>
              <w:rPr>
                <w:rFonts w:hint="eastAsia" w:ascii="宋体" w:hAnsi="宋体" w:cs="宋体"/>
                <w:color w:val="000000"/>
                <w:sz w:val="21"/>
                <w:szCs w:val="21"/>
                <w:highlight w:val="none"/>
              </w:rPr>
            </w:pPr>
          </w:p>
        </w:tc>
        <w:tc>
          <w:tcPr>
            <w:tcW w:w="6260" w:type="dxa"/>
            <w:tcBorders>
              <w:top w:val="single" w:color="auto" w:sz="4" w:space="0"/>
              <w:left w:val="single" w:color="auto" w:sz="4" w:space="0"/>
              <w:bottom w:val="single" w:color="auto" w:sz="4" w:space="0"/>
              <w:right w:val="single" w:color="auto" w:sz="4" w:space="0"/>
            </w:tcBorders>
            <w:noWrap w:val="0"/>
            <w:vAlign w:val="center"/>
          </w:tcPr>
          <w:p w14:paraId="5B2A4DCB">
            <w:pPr>
              <w:pStyle w:val="154"/>
              <w:spacing w:line="360" w:lineRule="exact"/>
              <w:rPr>
                <w:rFonts w:hint="eastAsia" w:ascii="宋体" w:hAnsi="宋体" w:cs="宋体"/>
                <w:color w:val="000000"/>
                <w:sz w:val="21"/>
                <w:szCs w:val="21"/>
                <w:highlight w:val="none"/>
              </w:rPr>
            </w:pPr>
            <w:r>
              <w:rPr>
                <w:rFonts w:hint="eastAsia" w:ascii="宋体" w:hAnsi="宋体" w:cs="宋体"/>
                <w:color w:val="000000"/>
                <w:sz w:val="21"/>
                <w:szCs w:val="21"/>
                <w:highlight w:val="none"/>
                <w:lang w:val="en-US" w:eastAsia="zh-CN"/>
              </w:rPr>
              <w:t>4.</w:t>
            </w:r>
            <w:r>
              <w:rPr>
                <w:rFonts w:hint="eastAsia" w:ascii="宋体" w:hAnsi="宋体" w:cs="宋体"/>
                <w:color w:val="000000"/>
                <w:sz w:val="21"/>
                <w:szCs w:val="21"/>
                <w:highlight w:val="none"/>
              </w:rPr>
              <w:t>近三年（截止报价文件递交时间）参加军队采购产品出现重要质量问题的，每次得-2分。</w:t>
            </w:r>
          </w:p>
          <w:p w14:paraId="0973679E">
            <w:pPr>
              <w:pStyle w:val="154"/>
              <w:spacing w:line="360" w:lineRule="exact"/>
              <w:rPr>
                <w:rFonts w:hint="eastAsia" w:ascii="宋体" w:hAnsi="宋体" w:cs="宋体"/>
                <w:color w:val="000000"/>
                <w:sz w:val="21"/>
                <w:szCs w:val="21"/>
                <w:highlight w:val="none"/>
              </w:rPr>
            </w:pPr>
            <w:r>
              <w:rPr>
                <w:rFonts w:hint="eastAsia" w:ascii="宋体" w:hAnsi="宋体" w:cs="宋体"/>
                <w:color w:val="000000"/>
                <w:sz w:val="21"/>
                <w:szCs w:val="21"/>
                <w:highlight w:val="none"/>
              </w:rPr>
              <w:t>（需求部门向采购管理部门提供违规供应商名单）</w:t>
            </w:r>
          </w:p>
        </w:tc>
        <w:tc>
          <w:tcPr>
            <w:tcW w:w="1077" w:type="dxa"/>
            <w:tcBorders>
              <w:top w:val="single" w:color="auto" w:sz="4" w:space="0"/>
              <w:left w:val="single" w:color="auto" w:sz="4" w:space="0"/>
              <w:bottom w:val="single" w:color="auto" w:sz="4" w:space="0"/>
              <w:right w:val="single" w:color="auto" w:sz="4" w:space="0"/>
            </w:tcBorders>
            <w:noWrap/>
            <w:vAlign w:val="center"/>
          </w:tcPr>
          <w:p w14:paraId="32D22717">
            <w:pPr>
              <w:pStyle w:val="154"/>
              <w:jc w:val="center"/>
              <w:rPr>
                <w:rFonts w:hint="eastAsia" w:ascii="宋体" w:hAnsi="宋体" w:cs="宋体"/>
                <w:color w:val="000000"/>
                <w:sz w:val="21"/>
                <w:szCs w:val="21"/>
                <w:highlight w:val="none"/>
              </w:rPr>
            </w:pPr>
            <w:r>
              <w:rPr>
                <w:rFonts w:hint="eastAsia" w:ascii="宋体" w:hAnsi="宋体" w:cs="宋体"/>
                <w:color w:val="000000"/>
                <w:sz w:val="21"/>
                <w:szCs w:val="21"/>
                <w:highlight w:val="none"/>
              </w:rPr>
              <w:t>可累计扣分</w:t>
            </w:r>
          </w:p>
        </w:tc>
      </w:tr>
      <w:tr w14:paraId="4D6EA6D2">
        <w:tblPrEx>
          <w:tblCellMar>
            <w:top w:w="0" w:type="dxa"/>
            <w:left w:w="108" w:type="dxa"/>
            <w:bottom w:w="0" w:type="dxa"/>
            <w:right w:w="108" w:type="dxa"/>
          </w:tblCellMar>
        </w:tblPrEx>
        <w:trPr>
          <w:trHeight w:val="1535" w:hRule="atLeast"/>
          <w:jc w:val="center"/>
        </w:trPr>
        <w:tc>
          <w:tcPr>
            <w:tcW w:w="740" w:type="dxa"/>
            <w:tcBorders>
              <w:top w:val="single" w:color="auto" w:sz="4" w:space="0"/>
              <w:left w:val="single" w:color="auto" w:sz="4" w:space="0"/>
              <w:bottom w:val="single" w:color="auto" w:sz="4" w:space="0"/>
              <w:right w:val="single" w:color="auto" w:sz="4" w:space="0"/>
            </w:tcBorders>
            <w:noWrap/>
            <w:vAlign w:val="center"/>
          </w:tcPr>
          <w:p w14:paraId="632DFDBA">
            <w:pPr>
              <w:pStyle w:val="154"/>
              <w:jc w:val="center"/>
              <w:rPr>
                <w:rFonts w:hint="eastAsia" w:ascii="宋体" w:hAnsi="宋体" w:eastAsia="宋体" w:cs="宋体"/>
                <w:color w:val="000000"/>
                <w:sz w:val="21"/>
                <w:szCs w:val="21"/>
                <w:highlight w:val="none"/>
                <w:lang w:eastAsia="zh-CN"/>
              </w:rPr>
            </w:pPr>
            <w:r>
              <w:rPr>
                <w:rFonts w:hint="eastAsia" w:ascii="宋体" w:hAnsi="宋体" w:cs="宋体"/>
                <w:color w:val="000000"/>
                <w:sz w:val="21"/>
                <w:szCs w:val="21"/>
                <w:highlight w:val="none"/>
                <w:lang w:eastAsia="zh-CN"/>
              </w:rPr>
              <w:t>四</w:t>
            </w:r>
          </w:p>
        </w:tc>
        <w:tc>
          <w:tcPr>
            <w:tcW w:w="1060" w:type="dxa"/>
            <w:tcBorders>
              <w:top w:val="single" w:color="auto" w:sz="4" w:space="0"/>
              <w:left w:val="nil"/>
              <w:bottom w:val="single" w:color="auto" w:sz="4" w:space="0"/>
              <w:right w:val="single" w:color="auto" w:sz="4" w:space="0"/>
            </w:tcBorders>
            <w:noWrap/>
            <w:vAlign w:val="center"/>
          </w:tcPr>
          <w:p w14:paraId="7D45F44E">
            <w:pPr>
              <w:widowControl/>
              <w:snapToGrid w:val="0"/>
              <w:spacing w:line="240" w:lineRule="exact"/>
              <w:rPr>
                <w:rFonts w:hint="eastAsia" w:ascii="宋体" w:hAnsi="宋体" w:cs="宋体"/>
                <w:color w:val="000000"/>
                <w:sz w:val="21"/>
                <w:szCs w:val="21"/>
                <w:highlight w:val="none"/>
              </w:rPr>
            </w:pPr>
            <w:r>
              <w:rPr>
                <w:rFonts w:hint="eastAsia" w:ascii="宋体" w:hAnsi="宋体" w:cs="宋体"/>
                <w:color w:val="000000"/>
                <w:sz w:val="21"/>
                <w:szCs w:val="21"/>
                <w:highlight w:val="none"/>
              </w:rPr>
              <w:t>财务状况</w:t>
            </w:r>
          </w:p>
        </w:tc>
        <w:tc>
          <w:tcPr>
            <w:tcW w:w="6260" w:type="dxa"/>
            <w:tcBorders>
              <w:top w:val="single" w:color="auto" w:sz="4" w:space="0"/>
              <w:left w:val="nil"/>
              <w:bottom w:val="single" w:color="auto" w:sz="4" w:space="0"/>
              <w:right w:val="single" w:color="auto" w:sz="4" w:space="0"/>
            </w:tcBorders>
            <w:noWrap w:val="0"/>
            <w:vAlign w:val="center"/>
          </w:tcPr>
          <w:p w14:paraId="49D6BE2C">
            <w:pPr>
              <w:pStyle w:val="154"/>
              <w:spacing w:line="360" w:lineRule="exact"/>
              <w:rPr>
                <w:rFonts w:hint="eastAsia" w:ascii="宋体" w:hAnsi="宋体" w:cs="宋体"/>
                <w:color w:val="000000"/>
                <w:sz w:val="21"/>
                <w:szCs w:val="21"/>
                <w:highlight w:val="none"/>
              </w:rPr>
            </w:pPr>
            <w:r>
              <w:rPr>
                <w:rFonts w:hint="eastAsia" w:ascii="宋体" w:hAnsi="宋体" w:cs="宋体"/>
                <w:color w:val="000000"/>
                <w:sz w:val="21"/>
                <w:szCs w:val="21"/>
                <w:highlight w:val="none"/>
              </w:rPr>
              <w:t>根据报价方近1年（202</w:t>
            </w:r>
            <w:r>
              <w:rPr>
                <w:rFonts w:hint="eastAsia" w:ascii="宋体" w:hAnsi="宋体" w:cs="宋体"/>
                <w:color w:val="000000"/>
                <w:sz w:val="21"/>
                <w:szCs w:val="21"/>
                <w:highlight w:val="none"/>
                <w:lang w:val="en-US" w:eastAsia="zh-CN"/>
              </w:rPr>
              <w:t>3</w:t>
            </w:r>
            <w:r>
              <w:rPr>
                <w:rFonts w:hint="eastAsia" w:ascii="宋体" w:hAnsi="宋体" w:cs="宋体"/>
                <w:color w:val="000000"/>
                <w:sz w:val="21"/>
                <w:szCs w:val="21"/>
                <w:highlight w:val="none"/>
              </w:rPr>
              <w:t>年）净利润金额排名进行评审：第一名得1分，依次递减0.2分，净利润为负值的得0分。</w:t>
            </w:r>
          </w:p>
          <w:p w14:paraId="5A5FB68C">
            <w:pPr>
              <w:pStyle w:val="154"/>
              <w:spacing w:line="360" w:lineRule="exact"/>
              <w:rPr>
                <w:rFonts w:hint="eastAsia" w:ascii="宋体" w:hAnsi="宋体" w:cs="宋体"/>
                <w:color w:val="000000"/>
                <w:sz w:val="21"/>
                <w:szCs w:val="21"/>
                <w:highlight w:val="none"/>
              </w:rPr>
            </w:pPr>
            <w:r>
              <w:rPr>
                <w:rFonts w:hint="eastAsia" w:ascii="宋体" w:hAnsi="宋体" w:cs="宋体"/>
                <w:color w:val="000000"/>
                <w:sz w:val="21"/>
                <w:szCs w:val="21"/>
                <w:highlight w:val="none"/>
              </w:rPr>
              <w:t>【以第三方会计师事务所出具的审计报告或公司财务报告（表）数据为准，未提供的得0分】</w:t>
            </w:r>
          </w:p>
        </w:tc>
        <w:tc>
          <w:tcPr>
            <w:tcW w:w="1077" w:type="dxa"/>
            <w:tcBorders>
              <w:top w:val="single" w:color="auto" w:sz="4" w:space="0"/>
              <w:left w:val="nil"/>
              <w:bottom w:val="single" w:color="auto" w:sz="4" w:space="0"/>
              <w:right w:val="single" w:color="auto" w:sz="4" w:space="0"/>
            </w:tcBorders>
            <w:noWrap/>
            <w:vAlign w:val="center"/>
          </w:tcPr>
          <w:p w14:paraId="568CB80C">
            <w:pPr>
              <w:widowControl/>
              <w:snapToGrid w:val="0"/>
              <w:spacing w:line="240" w:lineRule="exact"/>
              <w:jc w:val="center"/>
              <w:rPr>
                <w:rFonts w:hint="eastAsia" w:ascii="宋体" w:hAnsi="宋体" w:cs="宋体"/>
                <w:color w:val="000000"/>
                <w:sz w:val="21"/>
                <w:szCs w:val="21"/>
                <w:highlight w:val="none"/>
              </w:rPr>
            </w:pPr>
            <w:r>
              <w:rPr>
                <w:rFonts w:hint="eastAsia" w:ascii="宋体" w:hAnsi="宋体" w:cs="宋体"/>
                <w:color w:val="000000"/>
                <w:sz w:val="21"/>
                <w:szCs w:val="21"/>
                <w:highlight w:val="none"/>
              </w:rPr>
              <w:t>1分</w:t>
            </w:r>
          </w:p>
        </w:tc>
      </w:tr>
      <w:tr w14:paraId="454A2306">
        <w:tblPrEx>
          <w:tblCellMar>
            <w:top w:w="0" w:type="dxa"/>
            <w:left w:w="108" w:type="dxa"/>
            <w:bottom w:w="0" w:type="dxa"/>
            <w:right w:w="108" w:type="dxa"/>
          </w:tblCellMar>
        </w:tblPrEx>
        <w:trPr>
          <w:trHeight w:val="1361" w:hRule="atLeast"/>
          <w:jc w:val="center"/>
        </w:trPr>
        <w:tc>
          <w:tcPr>
            <w:tcW w:w="740" w:type="dxa"/>
            <w:tcBorders>
              <w:top w:val="single" w:color="auto" w:sz="4" w:space="0"/>
              <w:left w:val="single" w:color="auto" w:sz="4" w:space="0"/>
              <w:bottom w:val="single" w:color="auto" w:sz="4" w:space="0"/>
              <w:right w:val="single" w:color="auto" w:sz="4" w:space="0"/>
            </w:tcBorders>
            <w:noWrap/>
            <w:vAlign w:val="center"/>
          </w:tcPr>
          <w:p w14:paraId="4A4DE526">
            <w:pPr>
              <w:pStyle w:val="154"/>
              <w:jc w:val="center"/>
              <w:rPr>
                <w:rFonts w:hint="eastAsia" w:ascii="宋体" w:hAnsi="宋体" w:eastAsia="宋体" w:cs="宋体"/>
                <w:color w:val="000000"/>
                <w:sz w:val="21"/>
                <w:szCs w:val="21"/>
                <w:highlight w:val="none"/>
                <w:lang w:eastAsia="zh-CN"/>
              </w:rPr>
            </w:pPr>
            <w:r>
              <w:rPr>
                <w:rFonts w:hint="eastAsia" w:ascii="宋体" w:hAnsi="宋体" w:cs="宋体"/>
                <w:color w:val="000000"/>
                <w:sz w:val="21"/>
                <w:szCs w:val="21"/>
                <w:highlight w:val="none"/>
                <w:lang w:eastAsia="zh-CN"/>
              </w:rPr>
              <w:t>五</w:t>
            </w:r>
          </w:p>
        </w:tc>
        <w:tc>
          <w:tcPr>
            <w:tcW w:w="1060" w:type="dxa"/>
            <w:tcBorders>
              <w:top w:val="single" w:color="auto" w:sz="4" w:space="0"/>
              <w:left w:val="nil"/>
              <w:bottom w:val="single" w:color="auto" w:sz="4" w:space="0"/>
              <w:right w:val="single" w:color="auto" w:sz="4" w:space="0"/>
            </w:tcBorders>
            <w:noWrap/>
            <w:vAlign w:val="center"/>
          </w:tcPr>
          <w:p w14:paraId="4AA3CF86">
            <w:pPr>
              <w:widowControl/>
              <w:snapToGrid w:val="0"/>
              <w:spacing w:line="240" w:lineRule="exact"/>
              <w:jc w:val="center"/>
              <w:rPr>
                <w:rFonts w:hint="eastAsia" w:ascii="宋体" w:hAnsi="宋体" w:cs="宋体"/>
                <w:color w:val="000000"/>
                <w:sz w:val="21"/>
                <w:szCs w:val="21"/>
                <w:highlight w:val="none"/>
              </w:rPr>
            </w:pPr>
            <w:r>
              <w:rPr>
                <w:rFonts w:hint="eastAsia" w:ascii="宋体" w:hAnsi="宋体" w:cs="宋体"/>
                <w:color w:val="000000"/>
                <w:sz w:val="21"/>
                <w:szCs w:val="21"/>
                <w:highlight w:val="none"/>
                <w:lang w:eastAsia="zh-CN"/>
              </w:rPr>
              <w:t>报价</w:t>
            </w:r>
            <w:r>
              <w:rPr>
                <w:rFonts w:hint="eastAsia" w:ascii="宋体" w:hAnsi="宋体" w:cs="宋体"/>
                <w:color w:val="000000"/>
                <w:sz w:val="21"/>
                <w:szCs w:val="21"/>
                <w:highlight w:val="none"/>
              </w:rPr>
              <w:t>人性质</w:t>
            </w:r>
          </w:p>
        </w:tc>
        <w:tc>
          <w:tcPr>
            <w:tcW w:w="6260" w:type="dxa"/>
            <w:tcBorders>
              <w:top w:val="single" w:color="auto" w:sz="4" w:space="0"/>
              <w:left w:val="nil"/>
              <w:bottom w:val="single" w:color="auto" w:sz="4" w:space="0"/>
              <w:right w:val="single" w:color="auto" w:sz="4" w:space="0"/>
            </w:tcBorders>
            <w:noWrap w:val="0"/>
            <w:vAlign w:val="center"/>
          </w:tcPr>
          <w:p w14:paraId="1FF0EEB4">
            <w:pPr>
              <w:pStyle w:val="154"/>
              <w:spacing w:line="360" w:lineRule="exact"/>
              <w:rPr>
                <w:rFonts w:hint="eastAsia" w:ascii="宋体" w:hAnsi="宋体" w:cs="宋体"/>
                <w:color w:val="000000"/>
                <w:sz w:val="21"/>
                <w:szCs w:val="21"/>
                <w:highlight w:val="none"/>
              </w:rPr>
            </w:pPr>
            <w:r>
              <w:rPr>
                <w:rFonts w:hint="eastAsia" w:ascii="宋体" w:hAnsi="宋体" w:cs="宋体"/>
                <w:color w:val="000000"/>
                <w:sz w:val="21"/>
                <w:szCs w:val="21"/>
                <w:highlight w:val="none"/>
              </w:rPr>
              <w:t>报价方是本项目所</w:t>
            </w:r>
            <w:r>
              <w:rPr>
                <w:rFonts w:hint="eastAsia" w:ascii="宋体" w:hAnsi="宋体" w:cs="宋体"/>
                <w:color w:val="000000"/>
                <w:sz w:val="21"/>
                <w:szCs w:val="21"/>
                <w:highlight w:val="none"/>
                <w:lang w:eastAsia="zh-CN"/>
              </w:rPr>
              <w:t>报</w:t>
            </w:r>
            <w:r>
              <w:rPr>
                <w:rFonts w:hint="eastAsia" w:ascii="宋体" w:hAnsi="宋体" w:cs="宋体"/>
                <w:color w:val="000000"/>
                <w:sz w:val="21"/>
                <w:szCs w:val="21"/>
                <w:highlight w:val="none"/>
              </w:rPr>
              <w:t>产品的生产企业或进口产品全国（大区）</w:t>
            </w:r>
            <w:r>
              <w:rPr>
                <w:rFonts w:hint="eastAsia" w:ascii="宋体" w:hAnsi="宋体" w:cs="宋体"/>
                <w:color w:val="000000"/>
                <w:sz w:val="21"/>
                <w:szCs w:val="21"/>
                <w:highlight w:val="none"/>
                <w:lang w:eastAsia="zh-CN"/>
              </w:rPr>
              <w:t>（</w:t>
            </w:r>
            <w:r>
              <w:rPr>
                <w:rFonts w:hint="eastAsia" w:ascii="宋体" w:hAnsi="宋体" w:cs="宋体"/>
                <w:color w:val="000000"/>
                <w:sz w:val="21"/>
                <w:szCs w:val="21"/>
                <w:highlight w:val="none"/>
              </w:rPr>
              <w:t>至少包含三个省级区域</w:t>
            </w:r>
            <w:r>
              <w:rPr>
                <w:rFonts w:hint="eastAsia" w:ascii="宋体" w:hAnsi="宋体" w:cs="宋体"/>
                <w:color w:val="000000"/>
                <w:sz w:val="21"/>
                <w:szCs w:val="21"/>
                <w:highlight w:val="none"/>
                <w:lang w:eastAsia="zh-CN"/>
              </w:rPr>
              <w:t>）</w:t>
            </w:r>
            <w:r>
              <w:rPr>
                <w:rFonts w:hint="eastAsia" w:ascii="宋体" w:hAnsi="宋体" w:cs="宋体"/>
                <w:color w:val="000000"/>
                <w:sz w:val="21"/>
                <w:szCs w:val="21"/>
                <w:highlight w:val="none"/>
              </w:rPr>
              <w:t>代理的得2分，否则得0分。</w:t>
            </w:r>
          </w:p>
          <w:p w14:paraId="5DA53B1F">
            <w:pPr>
              <w:pStyle w:val="154"/>
              <w:spacing w:line="360" w:lineRule="exact"/>
              <w:rPr>
                <w:rFonts w:hint="eastAsia" w:ascii="宋体" w:hAnsi="宋体" w:cs="宋体"/>
                <w:color w:val="000000"/>
                <w:sz w:val="21"/>
                <w:szCs w:val="21"/>
                <w:highlight w:val="none"/>
              </w:rPr>
            </w:pPr>
            <w:r>
              <w:rPr>
                <w:rFonts w:hint="eastAsia" w:ascii="宋体" w:hAnsi="宋体" w:cs="宋体"/>
                <w:color w:val="000000"/>
                <w:sz w:val="21"/>
                <w:szCs w:val="21"/>
                <w:highlight w:val="none"/>
              </w:rPr>
              <w:t>【</w:t>
            </w:r>
            <w:r>
              <w:rPr>
                <w:rFonts w:hint="eastAsia" w:ascii="宋体" w:hAnsi="宋体" w:cs="宋体"/>
                <w:color w:val="000000"/>
                <w:sz w:val="21"/>
                <w:szCs w:val="21"/>
                <w:highlight w:val="none"/>
                <w:lang w:val="en-US" w:eastAsia="zh-CN"/>
              </w:rPr>
              <w:t>以</w:t>
            </w:r>
            <w:r>
              <w:rPr>
                <w:rFonts w:hint="eastAsia" w:ascii="宋体" w:hAnsi="宋体" w:cs="宋体"/>
                <w:color w:val="000000"/>
                <w:sz w:val="21"/>
                <w:szCs w:val="21"/>
                <w:highlight w:val="none"/>
                <w:lang w:eastAsia="zh-CN"/>
              </w:rPr>
              <w:t>报价</w:t>
            </w:r>
            <w:r>
              <w:rPr>
                <w:rFonts w:hint="eastAsia" w:ascii="宋体" w:hAnsi="宋体" w:cs="宋体"/>
                <w:color w:val="000000"/>
                <w:sz w:val="21"/>
                <w:szCs w:val="21"/>
                <w:highlight w:val="none"/>
              </w:rPr>
              <w:t>人提供的“生产厂家出具的授权文件”</w:t>
            </w:r>
            <w:r>
              <w:rPr>
                <w:rFonts w:hint="eastAsia" w:ascii="宋体" w:hAnsi="宋体" w:cs="宋体"/>
                <w:color w:val="000000"/>
                <w:sz w:val="21"/>
                <w:szCs w:val="21"/>
                <w:highlight w:val="none"/>
                <w:lang w:val="en-US" w:eastAsia="zh-CN"/>
              </w:rPr>
              <w:t>为准</w:t>
            </w:r>
            <w:r>
              <w:rPr>
                <w:rFonts w:hint="eastAsia" w:ascii="宋体" w:hAnsi="宋体" w:cs="宋体"/>
                <w:color w:val="000000"/>
                <w:sz w:val="21"/>
                <w:szCs w:val="21"/>
                <w:highlight w:val="none"/>
              </w:rPr>
              <w:t>】</w:t>
            </w:r>
          </w:p>
        </w:tc>
        <w:tc>
          <w:tcPr>
            <w:tcW w:w="1077" w:type="dxa"/>
            <w:tcBorders>
              <w:top w:val="single" w:color="auto" w:sz="4" w:space="0"/>
              <w:left w:val="nil"/>
              <w:bottom w:val="single" w:color="auto" w:sz="4" w:space="0"/>
              <w:right w:val="single" w:color="auto" w:sz="4" w:space="0"/>
            </w:tcBorders>
            <w:noWrap/>
            <w:vAlign w:val="center"/>
          </w:tcPr>
          <w:p w14:paraId="24EBC5BB">
            <w:pPr>
              <w:widowControl/>
              <w:snapToGrid w:val="0"/>
              <w:spacing w:line="240" w:lineRule="exact"/>
              <w:jc w:val="center"/>
              <w:rPr>
                <w:rFonts w:hint="eastAsia" w:ascii="宋体" w:hAnsi="宋体" w:cs="宋体"/>
                <w:color w:val="000000"/>
                <w:sz w:val="21"/>
                <w:szCs w:val="21"/>
                <w:highlight w:val="none"/>
              </w:rPr>
            </w:pPr>
            <w:r>
              <w:rPr>
                <w:rFonts w:hint="eastAsia" w:ascii="宋体" w:hAnsi="宋体" w:cs="宋体"/>
                <w:color w:val="000000"/>
                <w:sz w:val="21"/>
                <w:szCs w:val="21"/>
                <w:highlight w:val="none"/>
              </w:rPr>
              <w:t>2分</w:t>
            </w:r>
          </w:p>
        </w:tc>
      </w:tr>
      <w:tr w14:paraId="3C1ADA96">
        <w:tblPrEx>
          <w:tblCellMar>
            <w:top w:w="0" w:type="dxa"/>
            <w:left w:w="108" w:type="dxa"/>
            <w:bottom w:w="0" w:type="dxa"/>
            <w:right w:w="108" w:type="dxa"/>
          </w:tblCellMar>
        </w:tblPrEx>
        <w:trPr>
          <w:trHeight w:val="663" w:hRule="atLeast"/>
          <w:jc w:val="center"/>
        </w:trPr>
        <w:tc>
          <w:tcPr>
            <w:tcW w:w="8060" w:type="dxa"/>
            <w:gridSpan w:val="3"/>
            <w:tcBorders>
              <w:top w:val="single" w:color="auto" w:sz="4" w:space="0"/>
              <w:left w:val="single" w:color="auto" w:sz="4" w:space="0"/>
              <w:bottom w:val="single" w:color="auto" w:sz="4" w:space="0"/>
              <w:right w:val="single" w:color="auto" w:sz="4" w:space="0"/>
            </w:tcBorders>
            <w:noWrap/>
            <w:vAlign w:val="center"/>
          </w:tcPr>
          <w:p w14:paraId="561CC9EA">
            <w:pPr>
              <w:pStyle w:val="154"/>
              <w:jc w:val="center"/>
              <w:rPr>
                <w:color w:val="000000"/>
                <w:highlight w:val="none"/>
              </w:rPr>
            </w:pPr>
            <w:r>
              <w:rPr>
                <w:rFonts w:hint="eastAsia"/>
                <w:b/>
                <w:bCs/>
                <w:color w:val="000000"/>
                <w:highlight w:val="none"/>
              </w:rPr>
              <w:t>合    计</w:t>
            </w:r>
          </w:p>
        </w:tc>
        <w:tc>
          <w:tcPr>
            <w:tcW w:w="1077" w:type="dxa"/>
            <w:tcBorders>
              <w:top w:val="single" w:color="auto" w:sz="4" w:space="0"/>
              <w:left w:val="single" w:color="auto" w:sz="4" w:space="0"/>
              <w:bottom w:val="single" w:color="auto" w:sz="4" w:space="0"/>
              <w:right w:val="single" w:color="auto" w:sz="4" w:space="0"/>
            </w:tcBorders>
            <w:noWrap/>
            <w:vAlign w:val="center"/>
          </w:tcPr>
          <w:p w14:paraId="74A1ED04">
            <w:pPr>
              <w:pStyle w:val="154"/>
              <w:jc w:val="center"/>
              <w:rPr>
                <w:color w:val="000000"/>
                <w:highlight w:val="none"/>
              </w:rPr>
            </w:pPr>
            <w:r>
              <w:rPr>
                <w:rFonts w:hint="eastAsia"/>
                <w:color w:val="000000"/>
                <w:highlight w:val="none"/>
                <w:lang w:val="en-US" w:eastAsia="zh-CN"/>
              </w:rPr>
              <w:t>1</w:t>
            </w:r>
            <w:r>
              <w:rPr>
                <w:rFonts w:hint="eastAsia"/>
                <w:color w:val="000000"/>
                <w:highlight w:val="none"/>
              </w:rPr>
              <w:t>0分</w:t>
            </w:r>
          </w:p>
        </w:tc>
      </w:tr>
    </w:tbl>
    <w:p w14:paraId="0A72C69B">
      <w:pPr>
        <w:rPr>
          <w:highlight w:val="none"/>
        </w:rPr>
      </w:pPr>
    </w:p>
    <w:p w14:paraId="146462DC">
      <w:pPr>
        <w:widowControl/>
        <w:jc w:val="left"/>
        <w:rPr>
          <w:rFonts w:ascii="黑体" w:hAnsi="黑体" w:eastAsia="黑体"/>
          <w:bCs/>
          <w:sz w:val="28"/>
          <w:szCs w:val="28"/>
          <w:highlight w:val="none"/>
        </w:rPr>
      </w:pPr>
      <w:r>
        <w:rPr>
          <w:rFonts w:ascii="黑体" w:hAnsi="黑体"/>
          <w:b/>
          <w:sz w:val="28"/>
          <w:szCs w:val="28"/>
          <w:highlight w:val="none"/>
        </w:rPr>
        <w:br w:type="page"/>
      </w:r>
    </w:p>
    <w:p w14:paraId="68CF4B5E">
      <w:pPr>
        <w:pStyle w:val="5"/>
        <w:spacing w:before="120" w:beforeLines="50" w:after="120" w:afterLines="50" w:line="415" w:lineRule="auto"/>
        <w:rPr>
          <w:rFonts w:ascii="黑体" w:hAnsi="黑体"/>
          <w:b w:val="0"/>
          <w:sz w:val="28"/>
          <w:szCs w:val="28"/>
          <w:highlight w:val="none"/>
        </w:rPr>
      </w:pPr>
      <w:bookmarkStart w:id="850" w:name="_Toc4877"/>
      <w:bookmarkStart w:id="851" w:name="_Toc150421243"/>
      <w:bookmarkStart w:id="852" w:name="_Toc5306"/>
      <w:bookmarkStart w:id="853" w:name="_Toc130888002"/>
      <w:bookmarkStart w:id="854" w:name="_Toc128470290"/>
      <w:bookmarkStart w:id="855" w:name="_Toc132191254"/>
      <w:bookmarkStart w:id="856" w:name="_Toc130661173"/>
      <w:bookmarkStart w:id="857" w:name="_Toc13734"/>
      <w:bookmarkStart w:id="858" w:name="_Toc128154363"/>
      <w:bookmarkStart w:id="859" w:name="_Toc25671"/>
      <w:bookmarkStart w:id="860" w:name="_Toc132186970"/>
      <w:bookmarkStart w:id="861" w:name="_Toc7141"/>
      <w:bookmarkStart w:id="862" w:name="_Toc19936"/>
      <w:r>
        <w:rPr>
          <w:rFonts w:hint="eastAsia" w:ascii="黑体" w:hAnsi="黑体"/>
          <w:b w:val="0"/>
          <w:sz w:val="28"/>
          <w:szCs w:val="28"/>
          <w:highlight w:val="none"/>
        </w:rPr>
        <w:t>附表</w:t>
      </w:r>
      <w:r>
        <w:rPr>
          <w:rFonts w:ascii="黑体" w:hAnsi="黑体"/>
          <w:b w:val="0"/>
          <w:sz w:val="28"/>
          <w:szCs w:val="28"/>
          <w:highlight w:val="none"/>
        </w:rPr>
        <w:t xml:space="preserve">4 </w:t>
      </w:r>
      <w:r>
        <w:rPr>
          <w:rFonts w:hint="eastAsia" w:ascii="黑体" w:hAnsi="黑体"/>
          <w:b w:val="0"/>
          <w:sz w:val="28"/>
          <w:szCs w:val="28"/>
          <w:highlight w:val="none"/>
        </w:rPr>
        <w:t>技术评审标准表（综合评分法）</w:t>
      </w:r>
      <w:bookmarkEnd w:id="849"/>
      <w:bookmarkEnd w:id="850"/>
      <w:bookmarkEnd w:id="851"/>
      <w:bookmarkEnd w:id="852"/>
      <w:bookmarkEnd w:id="853"/>
      <w:bookmarkEnd w:id="854"/>
      <w:bookmarkEnd w:id="855"/>
      <w:bookmarkEnd w:id="856"/>
      <w:bookmarkEnd w:id="857"/>
      <w:bookmarkEnd w:id="858"/>
      <w:bookmarkEnd w:id="859"/>
      <w:bookmarkEnd w:id="860"/>
      <w:bookmarkEnd w:id="861"/>
      <w:bookmarkEnd w:id="862"/>
    </w:p>
    <w:p w14:paraId="38C0CA13">
      <w:pPr>
        <w:widowControl/>
        <w:snapToGrid w:val="0"/>
        <w:spacing w:before="120" w:beforeLines="50" w:line="360" w:lineRule="auto"/>
        <w:jc w:val="center"/>
        <w:rPr>
          <w:rFonts w:hint="eastAsia" w:ascii="黑体" w:hAnsi="黑体" w:eastAsia="黑体"/>
          <w:bCs/>
          <w:sz w:val="36"/>
          <w:szCs w:val="36"/>
          <w:highlight w:val="none"/>
        </w:rPr>
      </w:pPr>
      <w:r>
        <w:rPr>
          <w:rFonts w:hint="eastAsia" w:ascii="黑体" w:hAnsi="黑体" w:eastAsia="黑体"/>
          <w:bCs/>
          <w:sz w:val="36"/>
          <w:szCs w:val="36"/>
          <w:highlight w:val="none"/>
        </w:rPr>
        <w:t>技术评审标准表（综合评分法）</w:t>
      </w:r>
    </w:p>
    <w:p w14:paraId="13111EE6">
      <w:pPr>
        <w:pStyle w:val="155"/>
        <w:jc w:val="both"/>
        <w:rPr>
          <w:highlight w:val="none"/>
        </w:rPr>
      </w:pPr>
      <w:r>
        <w:rPr>
          <w:bCs/>
          <w:color w:val="000000"/>
          <w:highlight w:val="none"/>
        </w:rPr>
        <w:t>项目名称：</w:t>
      </w:r>
      <w:r>
        <w:rPr>
          <w:bCs/>
          <w:color w:val="000000"/>
          <w:highlight w:val="none"/>
          <w:u w:val="single"/>
        </w:rPr>
        <w:t xml:space="preserve">          </w:t>
      </w:r>
      <w:r>
        <w:rPr>
          <w:rFonts w:hint="eastAsia"/>
          <w:bCs/>
          <w:color w:val="000000"/>
          <w:highlight w:val="none"/>
          <w:u w:val="single"/>
        </w:rPr>
        <w:t xml:space="preserve">           </w:t>
      </w:r>
      <w:r>
        <w:rPr>
          <w:bCs/>
          <w:color w:val="000000"/>
          <w:highlight w:val="none"/>
          <w:u w:val="single"/>
        </w:rPr>
        <w:t xml:space="preserve">    </w:t>
      </w:r>
      <w:r>
        <w:rPr>
          <w:bCs/>
          <w:color w:val="000000"/>
          <w:highlight w:val="none"/>
        </w:rPr>
        <w:t xml:space="preserve">     项目编号：</w:t>
      </w:r>
      <w:r>
        <w:rPr>
          <w:bCs/>
          <w:color w:val="000000"/>
          <w:highlight w:val="none"/>
          <w:u w:val="single"/>
        </w:rPr>
        <w:t xml:space="preserve">            </w:t>
      </w:r>
      <w:r>
        <w:rPr>
          <w:bCs/>
          <w:color w:val="000000"/>
          <w:highlight w:val="none"/>
        </w:rPr>
        <w:t xml:space="preserve">       包号：</w:t>
      </w:r>
      <w:r>
        <w:rPr>
          <w:rFonts w:hint="eastAsia"/>
          <w:bCs/>
          <w:color w:val="000000"/>
          <w:highlight w:val="none"/>
          <w:u w:val="single"/>
        </w:rPr>
        <w:t xml:space="preserve">          </w:t>
      </w:r>
    </w:p>
    <w:tbl>
      <w:tblPr>
        <w:tblStyle w:val="42"/>
        <w:tblW w:w="95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8"/>
        <w:gridCol w:w="1149"/>
        <w:gridCol w:w="1041"/>
        <w:gridCol w:w="4507"/>
        <w:gridCol w:w="1237"/>
        <w:gridCol w:w="899"/>
      </w:tblGrid>
      <w:tr w14:paraId="20FA6C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78" w:type="dxa"/>
            <w:noWrap/>
            <w:vAlign w:val="center"/>
          </w:tcPr>
          <w:p w14:paraId="690A8581">
            <w:pPr>
              <w:pStyle w:val="154"/>
              <w:spacing w:line="360" w:lineRule="atLeast"/>
              <w:jc w:val="center"/>
              <w:rPr>
                <w:b/>
                <w:bCs/>
                <w:color w:val="000000"/>
                <w:highlight w:val="none"/>
              </w:rPr>
            </w:pPr>
            <w:r>
              <w:rPr>
                <w:rFonts w:hint="eastAsia"/>
                <w:b/>
                <w:bCs/>
                <w:color w:val="000000"/>
                <w:highlight w:val="none"/>
              </w:rPr>
              <w:t>序号</w:t>
            </w:r>
          </w:p>
        </w:tc>
        <w:tc>
          <w:tcPr>
            <w:tcW w:w="1149" w:type="dxa"/>
            <w:noWrap/>
            <w:vAlign w:val="center"/>
          </w:tcPr>
          <w:p w14:paraId="2518BCA6">
            <w:pPr>
              <w:pStyle w:val="154"/>
              <w:spacing w:line="360" w:lineRule="atLeast"/>
              <w:jc w:val="center"/>
              <w:rPr>
                <w:b/>
                <w:bCs/>
                <w:color w:val="000000"/>
                <w:highlight w:val="none"/>
              </w:rPr>
            </w:pPr>
            <w:r>
              <w:rPr>
                <w:rFonts w:hint="eastAsia"/>
                <w:b/>
                <w:bCs/>
                <w:color w:val="000000"/>
                <w:highlight w:val="none"/>
              </w:rPr>
              <w:t>评审项目</w:t>
            </w:r>
          </w:p>
        </w:tc>
        <w:tc>
          <w:tcPr>
            <w:tcW w:w="6785" w:type="dxa"/>
            <w:gridSpan w:val="3"/>
            <w:noWrap/>
            <w:vAlign w:val="center"/>
          </w:tcPr>
          <w:p w14:paraId="21AE5FC3">
            <w:pPr>
              <w:pStyle w:val="154"/>
              <w:spacing w:line="360" w:lineRule="atLeast"/>
              <w:jc w:val="center"/>
              <w:rPr>
                <w:b/>
                <w:bCs/>
                <w:color w:val="000000"/>
                <w:highlight w:val="none"/>
              </w:rPr>
            </w:pPr>
            <w:r>
              <w:rPr>
                <w:rFonts w:hint="eastAsia"/>
                <w:b/>
                <w:bCs/>
                <w:color w:val="000000"/>
                <w:highlight w:val="none"/>
              </w:rPr>
              <w:t>评审内容及规则</w:t>
            </w:r>
          </w:p>
        </w:tc>
        <w:tc>
          <w:tcPr>
            <w:tcW w:w="899" w:type="dxa"/>
            <w:noWrap/>
            <w:vAlign w:val="center"/>
          </w:tcPr>
          <w:p w14:paraId="158ADBF0">
            <w:pPr>
              <w:pStyle w:val="154"/>
              <w:spacing w:line="360" w:lineRule="atLeast"/>
              <w:jc w:val="center"/>
              <w:rPr>
                <w:b/>
                <w:bCs/>
                <w:color w:val="000000"/>
                <w:highlight w:val="none"/>
              </w:rPr>
            </w:pPr>
            <w:r>
              <w:rPr>
                <w:rFonts w:hint="eastAsia"/>
                <w:b/>
                <w:bCs/>
                <w:color w:val="000000"/>
                <w:highlight w:val="none"/>
              </w:rPr>
              <w:t>标准分值</w:t>
            </w:r>
          </w:p>
        </w:tc>
      </w:tr>
      <w:tr w14:paraId="1B120F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78" w:type="dxa"/>
            <w:noWrap/>
            <w:vAlign w:val="center"/>
          </w:tcPr>
          <w:p w14:paraId="7DC6ABD5">
            <w:pPr>
              <w:pStyle w:val="154"/>
              <w:spacing w:line="360" w:lineRule="atLeast"/>
              <w:jc w:val="center"/>
              <w:rPr>
                <w:rFonts w:hint="eastAsia"/>
                <w:color w:val="000000"/>
                <w:highlight w:val="none"/>
              </w:rPr>
            </w:pPr>
            <w:r>
              <w:rPr>
                <w:rFonts w:hint="eastAsia"/>
                <w:color w:val="000000"/>
                <w:highlight w:val="none"/>
              </w:rPr>
              <w:t>二</w:t>
            </w:r>
          </w:p>
        </w:tc>
        <w:tc>
          <w:tcPr>
            <w:tcW w:w="1149" w:type="dxa"/>
            <w:noWrap w:val="0"/>
            <w:vAlign w:val="center"/>
          </w:tcPr>
          <w:p w14:paraId="5F3F6DD8">
            <w:pPr>
              <w:pStyle w:val="154"/>
              <w:spacing w:line="360" w:lineRule="atLeast"/>
              <w:jc w:val="center"/>
              <w:rPr>
                <w:rFonts w:hint="eastAsia" w:ascii="宋体" w:hAnsi="宋体" w:cs="宋体"/>
                <w:color w:val="000000"/>
                <w:sz w:val="21"/>
                <w:szCs w:val="21"/>
                <w:highlight w:val="none"/>
              </w:rPr>
            </w:pPr>
            <w:r>
              <w:rPr>
                <w:rFonts w:hint="eastAsia" w:ascii="宋体" w:hAnsi="宋体" w:cs="宋体"/>
                <w:color w:val="000000"/>
                <w:sz w:val="21"/>
                <w:szCs w:val="21"/>
                <w:highlight w:val="none"/>
              </w:rPr>
              <w:t>技术指标评分规则</w:t>
            </w:r>
          </w:p>
        </w:tc>
        <w:tc>
          <w:tcPr>
            <w:tcW w:w="6785" w:type="dxa"/>
            <w:gridSpan w:val="3"/>
            <w:noWrap w:val="0"/>
            <w:vAlign w:val="center"/>
          </w:tcPr>
          <w:p w14:paraId="7C098453">
            <w:pPr>
              <w:spacing w:line="360" w:lineRule="atLeast"/>
              <w:ind w:firstLine="422"/>
              <w:rPr>
                <w:rFonts w:hint="eastAsia" w:ascii="宋体" w:hAnsi="宋体" w:cs="宋体"/>
                <w:b/>
                <w:bCs/>
                <w:color w:val="000000"/>
                <w:sz w:val="21"/>
                <w:szCs w:val="21"/>
                <w:highlight w:val="none"/>
              </w:rPr>
            </w:pPr>
            <w:r>
              <w:rPr>
                <w:rFonts w:hint="eastAsia" w:ascii="宋体" w:hAnsi="宋体" w:cs="宋体"/>
                <w:b/>
                <w:bCs/>
                <w:color w:val="000000"/>
                <w:sz w:val="21"/>
                <w:szCs w:val="21"/>
                <w:highlight w:val="none"/>
              </w:rPr>
              <w:t>（1）可量化排名指标评分规则</w:t>
            </w:r>
          </w:p>
          <w:p w14:paraId="0DEC060A">
            <w:pPr>
              <w:spacing w:line="360" w:lineRule="atLeast"/>
              <w:ind w:firstLine="422"/>
              <w:rPr>
                <w:rFonts w:hint="eastAsia" w:ascii="宋体" w:hAnsi="宋体" w:cs="宋体"/>
                <w:color w:val="000000"/>
                <w:sz w:val="21"/>
                <w:szCs w:val="21"/>
                <w:highlight w:val="none"/>
              </w:rPr>
            </w:pPr>
            <w:r>
              <w:rPr>
                <w:rFonts w:hint="eastAsia" w:ascii="宋体" w:hAnsi="宋体" w:cs="宋体"/>
                <w:b/>
                <w:bCs/>
                <w:color w:val="000000"/>
                <w:sz w:val="21"/>
                <w:szCs w:val="21"/>
                <w:highlight w:val="none"/>
              </w:rPr>
              <w:t>①可以量化排名的</w:t>
            </w:r>
            <w:r>
              <w:rPr>
                <w:rFonts w:hint="eastAsia" w:ascii="宋体" w:hAnsi="宋体" w:cs="宋体"/>
                <w:b/>
                <w:bCs/>
                <w:color w:val="000000"/>
                <w:sz w:val="21"/>
                <w:szCs w:val="21"/>
                <w:highlight w:val="none"/>
                <w:u w:val="single"/>
              </w:rPr>
              <w:t>“★”条款</w:t>
            </w:r>
            <w:r>
              <w:rPr>
                <w:rFonts w:hint="eastAsia" w:ascii="宋体" w:hAnsi="宋体" w:cs="宋体"/>
                <w:b/>
                <w:bCs/>
                <w:color w:val="000000"/>
                <w:sz w:val="21"/>
                <w:szCs w:val="21"/>
                <w:highlight w:val="none"/>
              </w:rPr>
              <w:t>、</w:t>
            </w:r>
            <w:r>
              <w:rPr>
                <w:rFonts w:hint="eastAsia" w:ascii="宋体" w:hAnsi="宋体" w:cs="宋体"/>
                <w:b/>
                <w:bCs/>
                <w:color w:val="000000"/>
                <w:sz w:val="21"/>
                <w:szCs w:val="21"/>
                <w:highlight w:val="none"/>
                <w:u w:val="single"/>
              </w:rPr>
              <w:t>“▲”条款</w:t>
            </w:r>
            <w:r>
              <w:rPr>
                <w:rFonts w:hint="eastAsia" w:ascii="宋体" w:hAnsi="宋体" w:cs="宋体"/>
                <w:b/>
                <w:bCs/>
                <w:color w:val="000000"/>
                <w:sz w:val="21"/>
                <w:szCs w:val="21"/>
                <w:highlight w:val="none"/>
              </w:rPr>
              <w:t>和</w:t>
            </w:r>
            <w:r>
              <w:rPr>
                <w:rFonts w:hint="eastAsia" w:ascii="宋体" w:hAnsi="宋体" w:cs="宋体"/>
                <w:b/>
                <w:bCs/>
                <w:color w:val="000000"/>
                <w:sz w:val="21"/>
                <w:szCs w:val="21"/>
                <w:highlight w:val="none"/>
                <w:u w:val="single"/>
              </w:rPr>
              <w:t>“</w:t>
            </w:r>
            <w:r>
              <w:rPr>
                <w:rFonts w:hint="eastAsia" w:ascii="宋体" w:hAnsi="宋体" w:cs="宋体"/>
                <w:b/>
                <w:bCs/>
                <w:color w:val="000000"/>
                <w:sz w:val="21"/>
                <w:szCs w:val="21"/>
                <w:highlight w:val="none"/>
                <w:u w:val="single"/>
                <w:lang w:val="zh-CN"/>
              </w:rPr>
              <w:t>一般技术指标参数</w:t>
            </w:r>
            <w:r>
              <w:rPr>
                <w:rFonts w:hint="eastAsia" w:ascii="宋体" w:hAnsi="宋体" w:cs="宋体"/>
                <w:b/>
                <w:bCs/>
                <w:color w:val="000000"/>
                <w:sz w:val="21"/>
                <w:szCs w:val="21"/>
                <w:highlight w:val="none"/>
                <w:u w:val="single"/>
              </w:rPr>
              <w:t>”</w:t>
            </w:r>
            <w:r>
              <w:rPr>
                <w:rFonts w:hint="eastAsia" w:ascii="宋体" w:hAnsi="宋体" w:cs="宋体"/>
                <w:b/>
                <w:bCs/>
                <w:color w:val="000000"/>
                <w:sz w:val="21"/>
                <w:szCs w:val="21"/>
                <w:highlight w:val="none"/>
              </w:rPr>
              <w:t>的正偏离评分规则：</w:t>
            </w:r>
            <w:r>
              <w:rPr>
                <w:rFonts w:hint="eastAsia" w:ascii="宋体" w:hAnsi="宋体" w:cs="宋体"/>
                <w:color w:val="000000"/>
                <w:sz w:val="21"/>
                <w:szCs w:val="21"/>
                <w:highlight w:val="none"/>
              </w:rPr>
              <w:t>按偏离程度由高到低排名，排名第一得标准分值，排名第二按标准分值的25%递减得分，依此类推，</w:t>
            </w:r>
            <w:r>
              <w:rPr>
                <w:rFonts w:hint="eastAsia" w:ascii="宋体" w:hAnsi="宋体" w:cs="宋体"/>
                <w:color w:val="000000"/>
                <w:sz w:val="21"/>
                <w:szCs w:val="21"/>
                <w:highlight w:val="none"/>
                <w:u w:val="single"/>
              </w:rPr>
              <w:t>无偏离和排名第四名之后的正偏离为0分。</w:t>
            </w:r>
          </w:p>
          <w:p w14:paraId="7875D5A9">
            <w:pPr>
              <w:spacing w:line="360" w:lineRule="atLeast"/>
              <w:ind w:firstLine="422"/>
              <w:rPr>
                <w:rFonts w:hint="eastAsia" w:ascii="宋体" w:hAnsi="宋体" w:cs="宋体"/>
                <w:color w:val="000000"/>
                <w:sz w:val="21"/>
                <w:szCs w:val="21"/>
                <w:highlight w:val="none"/>
              </w:rPr>
            </w:pPr>
            <w:r>
              <w:rPr>
                <w:rFonts w:hint="eastAsia" w:ascii="宋体" w:hAnsi="宋体" w:cs="宋体"/>
                <w:b/>
                <w:bCs/>
                <w:color w:val="000000"/>
                <w:sz w:val="21"/>
                <w:szCs w:val="21"/>
                <w:highlight w:val="none"/>
              </w:rPr>
              <w:t>注：</w:t>
            </w:r>
            <w:r>
              <w:rPr>
                <w:rFonts w:hint="eastAsia" w:ascii="宋体" w:hAnsi="宋体" w:cs="宋体"/>
                <w:color w:val="000000"/>
                <w:sz w:val="21"/>
                <w:szCs w:val="21"/>
                <w:highlight w:val="none"/>
              </w:rPr>
              <w:t>三分之二及以上技术专家认定正偏离对产品性能没有实质意义的指标值，可以不列入排名，得分一致，但须备注：正偏离无实质意义。</w:t>
            </w:r>
          </w:p>
          <w:p w14:paraId="117AAEB9">
            <w:pPr>
              <w:spacing w:line="360" w:lineRule="atLeast"/>
              <w:ind w:firstLine="422"/>
              <w:rPr>
                <w:rFonts w:hint="eastAsia" w:ascii="宋体" w:hAnsi="宋体" w:cs="宋体"/>
                <w:b/>
                <w:bCs/>
                <w:color w:val="000000"/>
                <w:sz w:val="21"/>
                <w:szCs w:val="21"/>
                <w:highlight w:val="none"/>
              </w:rPr>
            </w:pPr>
            <w:r>
              <w:rPr>
                <w:rFonts w:hint="eastAsia" w:ascii="宋体" w:hAnsi="宋体" w:cs="宋体"/>
                <w:b/>
                <w:bCs/>
                <w:color w:val="000000"/>
                <w:sz w:val="21"/>
                <w:szCs w:val="21"/>
                <w:highlight w:val="none"/>
              </w:rPr>
              <w:t>②可以量化排名的</w:t>
            </w:r>
            <w:r>
              <w:rPr>
                <w:rFonts w:hint="eastAsia" w:ascii="宋体" w:hAnsi="宋体" w:cs="宋体"/>
                <w:b/>
                <w:bCs/>
                <w:color w:val="000000"/>
                <w:sz w:val="21"/>
                <w:szCs w:val="21"/>
                <w:highlight w:val="none"/>
                <w:u w:val="single"/>
              </w:rPr>
              <w:t>“▲”条款</w:t>
            </w:r>
            <w:r>
              <w:rPr>
                <w:rFonts w:hint="eastAsia" w:ascii="宋体" w:hAnsi="宋体" w:cs="宋体"/>
                <w:b/>
                <w:bCs/>
                <w:color w:val="000000"/>
                <w:sz w:val="21"/>
                <w:szCs w:val="21"/>
                <w:highlight w:val="none"/>
              </w:rPr>
              <w:t>和</w:t>
            </w:r>
            <w:r>
              <w:rPr>
                <w:rFonts w:hint="eastAsia" w:ascii="宋体" w:hAnsi="宋体" w:cs="宋体"/>
                <w:b/>
                <w:bCs/>
                <w:color w:val="000000"/>
                <w:sz w:val="21"/>
                <w:szCs w:val="21"/>
                <w:highlight w:val="none"/>
                <w:u w:val="single"/>
              </w:rPr>
              <w:t>“</w:t>
            </w:r>
            <w:r>
              <w:rPr>
                <w:rFonts w:hint="eastAsia" w:ascii="宋体" w:hAnsi="宋体" w:cs="宋体"/>
                <w:b/>
                <w:bCs/>
                <w:color w:val="000000"/>
                <w:sz w:val="21"/>
                <w:szCs w:val="21"/>
                <w:highlight w:val="none"/>
                <w:u w:val="single"/>
                <w:lang w:val="zh-CN"/>
              </w:rPr>
              <w:t>一般技术指标参数</w:t>
            </w:r>
            <w:r>
              <w:rPr>
                <w:rFonts w:hint="eastAsia" w:ascii="宋体" w:hAnsi="宋体" w:cs="宋体"/>
                <w:b/>
                <w:bCs/>
                <w:color w:val="000000"/>
                <w:sz w:val="21"/>
                <w:szCs w:val="21"/>
                <w:highlight w:val="none"/>
                <w:u w:val="single"/>
              </w:rPr>
              <w:t>”</w:t>
            </w:r>
            <w:r>
              <w:rPr>
                <w:rFonts w:hint="eastAsia" w:ascii="宋体" w:hAnsi="宋体" w:cs="宋体"/>
                <w:b/>
                <w:bCs/>
                <w:color w:val="000000"/>
                <w:sz w:val="21"/>
                <w:szCs w:val="21"/>
                <w:highlight w:val="none"/>
              </w:rPr>
              <w:t>负偏离评分规则：</w:t>
            </w:r>
            <w:r>
              <w:rPr>
                <w:rFonts w:hint="eastAsia" w:ascii="宋体" w:hAnsi="宋体" w:cs="宋体"/>
                <w:color w:val="000000"/>
                <w:sz w:val="21"/>
                <w:szCs w:val="21"/>
                <w:highlight w:val="none"/>
              </w:rPr>
              <w:t>按偏离程度由低到高排名。只有1家负偏离的，得分为相应指标负标准分值；有2家负偏离的，负偏离程度最大的得负标准分值，负偏离程度第二的得标准分值的负50%分；有3家负偏离的，负偏离程度最大得负标准分值，负偏离程度第二的得标准分值的负66%分，负偏离程度第三的得标准分值的负33%分；有4家及以上负偏离的，负偏离程度最大得负标准分值，负偏离程度第二的得标准分值的负75%分，负偏离程度第三的得标准分值的负50%分；负偏离程度第四的得标准分值的负25%分；其余负偏离的得0分。</w:t>
            </w:r>
          </w:p>
          <w:p w14:paraId="4D29FF8A">
            <w:pPr>
              <w:spacing w:line="360" w:lineRule="atLeast"/>
              <w:ind w:firstLine="422"/>
              <w:rPr>
                <w:rFonts w:hint="eastAsia" w:ascii="宋体" w:hAnsi="宋体" w:cs="宋体"/>
                <w:color w:val="000000"/>
                <w:sz w:val="21"/>
                <w:szCs w:val="21"/>
                <w:highlight w:val="none"/>
              </w:rPr>
            </w:pPr>
            <w:r>
              <w:rPr>
                <w:rFonts w:hint="eastAsia" w:ascii="宋体" w:hAnsi="宋体" w:cs="宋体"/>
                <w:b/>
                <w:bCs/>
                <w:color w:val="000000"/>
                <w:sz w:val="21"/>
                <w:szCs w:val="21"/>
                <w:highlight w:val="none"/>
              </w:rPr>
              <w:t>（2）不可量化排名指标评分规则：</w:t>
            </w:r>
            <w:r>
              <w:rPr>
                <w:rFonts w:hint="eastAsia" w:ascii="宋体" w:hAnsi="宋体" w:cs="宋体"/>
                <w:color w:val="000000"/>
                <w:sz w:val="21"/>
                <w:szCs w:val="21"/>
                <w:highlight w:val="none"/>
              </w:rPr>
              <w:t>适用于</w:t>
            </w:r>
            <w:r>
              <w:rPr>
                <w:rFonts w:hint="eastAsia" w:ascii="宋体" w:hAnsi="宋体" w:cs="宋体"/>
                <w:color w:val="000000"/>
                <w:sz w:val="21"/>
                <w:szCs w:val="21"/>
                <w:highlight w:val="none"/>
                <w:u w:val="single"/>
              </w:rPr>
              <w:t>“▲”条款</w:t>
            </w:r>
            <w:r>
              <w:rPr>
                <w:rFonts w:hint="eastAsia" w:ascii="宋体" w:hAnsi="宋体" w:cs="宋体"/>
                <w:color w:val="000000"/>
                <w:sz w:val="21"/>
                <w:szCs w:val="21"/>
                <w:highlight w:val="none"/>
              </w:rPr>
              <w:t>和</w:t>
            </w:r>
            <w:r>
              <w:rPr>
                <w:rFonts w:hint="eastAsia" w:ascii="宋体" w:hAnsi="宋体" w:cs="宋体"/>
                <w:color w:val="000000"/>
                <w:sz w:val="21"/>
                <w:szCs w:val="21"/>
                <w:highlight w:val="none"/>
                <w:u w:val="single"/>
              </w:rPr>
              <w:t>“</w:t>
            </w:r>
            <w:r>
              <w:rPr>
                <w:rFonts w:hint="eastAsia" w:ascii="宋体" w:hAnsi="宋体" w:cs="宋体"/>
                <w:color w:val="000000"/>
                <w:sz w:val="21"/>
                <w:szCs w:val="21"/>
                <w:highlight w:val="none"/>
                <w:u w:val="single"/>
                <w:lang w:val="zh-CN"/>
              </w:rPr>
              <w:t>一般技术指标参数</w:t>
            </w:r>
            <w:r>
              <w:rPr>
                <w:rFonts w:hint="eastAsia" w:ascii="宋体" w:hAnsi="宋体" w:cs="宋体"/>
                <w:color w:val="000000"/>
                <w:sz w:val="21"/>
                <w:szCs w:val="21"/>
                <w:highlight w:val="none"/>
                <w:u w:val="single"/>
              </w:rPr>
              <w:t>”</w:t>
            </w:r>
            <w:r>
              <w:rPr>
                <w:rFonts w:hint="eastAsia" w:ascii="宋体" w:hAnsi="宋体" w:cs="宋体"/>
                <w:color w:val="000000"/>
                <w:sz w:val="21"/>
                <w:szCs w:val="21"/>
                <w:highlight w:val="none"/>
              </w:rPr>
              <w:t>中不便量化排名的，满足要求的得标准分值，不满足的得0分。</w:t>
            </w:r>
          </w:p>
          <w:p w14:paraId="45474336">
            <w:pPr>
              <w:spacing w:line="360" w:lineRule="atLeast"/>
              <w:rPr>
                <w:rFonts w:hint="eastAsia" w:ascii="宋体" w:hAnsi="宋体" w:cs="宋体"/>
                <w:color w:val="000000"/>
                <w:sz w:val="21"/>
                <w:szCs w:val="21"/>
                <w:highlight w:val="none"/>
              </w:rPr>
            </w:pPr>
            <w:r>
              <w:rPr>
                <w:rFonts w:hint="eastAsia" w:ascii="宋体" w:hAnsi="宋体" w:cs="宋体"/>
                <w:color w:val="000000"/>
                <w:sz w:val="21"/>
                <w:szCs w:val="21"/>
                <w:highlight w:val="none"/>
                <w:u w:val="single"/>
              </w:rPr>
              <w:t>“★”条款</w:t>
            </w:r>
            <w:r>
              <w:rPr>
                <w:rFonts w:hint="eastAsia" w:ascii="宋体" w:hAnsi="宋体" w:cs="宋体"/>
                <w:color w:val="000000"/>
                <w:sz w:val="21"/>
                <w:szCs w:val="21"/>
                <w:highlight w:val="none"/>
              </w:rPr>
              <w:t>标准分值应当大于</w:t>
            </w:r>
            <w:r>
              <w:rPr>
                <w:rFonts w:hint="eastAsia" w:ascii="宋体" w:hAnsi="宋体" w:cs="宋体"/>
                <w:color w:val="000000"/>
                <w:sz w:val="21"/>
                <w:szCs w:val="21"/>
                <w:highlight w:val="none"/>
                <w:u w:val="single"/>
              </w:rPr>
              <w:t>“▲”条款</w:t>
            </w:r>
            <w:r>
              <w:rPr>
                <w:rFonts w:hint="eastAsia" w:ascii="宋体" w:hAnsi="宋体" w:cs="宋体"/>
                <w:color w:val="000000"/>
                <w:sz w:val="21"/>
                <w:szCs w:val="21"/>
                <w:highlight w:val="none"/>
              </w:rPr>
              <w:t>标准分值，</w:t>
            </w:r>
            <w:r>
              <w:rPr>
                <w:rFonts w:hint="eastAsia" w:ascii="宋体" w:hAnsi="宋体" w:cs="宋体"/>
                <w:color w:val="000000"/>
                <w:sz w:val="21"/>
                <w:szCs w:val="21"/>
                <w:highlight w:val="none"/>
                <w:u w:val="single"/>
              </w:rPr>
              <w:t>“▲”条款</w:t>
            </w:r>
            <w:r>
              <w:rPr>
                <w:rFonts w:hint="eastAsia" w:ascii="宋体" w:hAnsi="宋体" w:cs="宋体"/>
                <w:color w:val="000000"/>
                <w:sz w:val="21"/>
                <w:szCs w:val="21"/>
                <w:highlight w:val="none"/>
              </w:rPr>
              <w:t>标准分值应当大于</w:t>
            </w:r>
            <w:r>
              <w:rPr>
                <w:rFonts w:hint="eastAsia" w:ascii="宋体" w:hAnsi="宋体" w:cs="宋体"/>
                <w:color w:val="000000"/>
                <w:sz w:val="21"/>
                <w:szCs w:val="21"/>
                <w:highlight w:val="none"/>
                <w:u w:val="single"/>
              </w:rPr>
              <w:t>“</w:t>
            </w:r>
            <w:r>
              <w:rPr>
                <w:rFonts w:hint="eastAsia" w:ascii="宋体" w:hAnsi="宋体" w:cs="宋体"/>
                <w:color w:val="000000"/>
                <w:sz w:val="21"/>
                <w:szCs w:val="21"/>
                <w:highlight w:val="none"/>
                <w:u w:val="single"/>
                <w:lang w:val="zh-CN"/>
              </w:rPr>
              <w:t>一般技术指标参数</w:t>
            </w:r>
            <w:r>
              <w:rPr>
                <w:rFonts w:hint="eastAsia" w:ascii="宋体" w:hAnsi="宋体" w:cs="宋体"/>
                <w:color w:val="000000"/>
                <w:sz w:val="21"/>
                <w:szCs w:val="21"/>
                <w:highlight w:val="none"/>
                <w:u w:val="single"/>
              </w:rPr>
              <w:t>”</w:t>
            </w:r>
            <w:r>
              <w:rPr>
                <w:rFonts w:hint="eastAsia" w:ascii="宋体" w:hAnsi="宋体" w:cs="宋体"/>
                <w:color w:val="000000"/>
                <w:sz w:val="21"/>
                <w:szCs w:val="21"/>
                <w:highlight w:val="none"/>
              </w:rPr>
              <w:t>标准分值。</w:t>
            </w:r>
          </w:p>
          <w:p w14:paraId="5A755E2D">
            <w:pPr>
              <w:spacing w:line="360" w:lineRule="atLeast"/>
              <w:ind w:firstLine="422"/>
              <w:rPr>
                <w:rFonts w:hint="eastAsia" w:ascii="宋体" w:hAnsi="宋体" w:cs="宋体"/>
                <w:color w:val="000000"/>
                <w:sz w:val="21"/>
                <w:szCs w:val="21"/>
                <w:highlight w:val="none"/>
              </w:rPr>
            </w:pPr>
            <w:r>
              <w:rPr>
                <w:rFonts w:hint="eastAsia" w:ascii="宋体" w:hAnsi="宋体" w:cs="宋体"/>
                <w:color w:val="000000"/>
                <w:sz w:val="21"/>
                <w:szCs w:val="21"/>
                <w:highlight w:val="none"/>
              </w:rPr>
              <w:t>（3）负偏离合计超过4项（含），“产品技术性能指标参数满足偏离情况”总得分为0分。</w:t>
            </w:r>
          </w:p>
          <w:p w14:paraId="37FCC919">
            <w:pPr>
              <w:spacing w:line="360" w:lineRule="atLeast"/>
              <w:ind w:firstLine="422"/>
              <w:rPr>
                <w:rFonts w:hint="eastAsia" w:ascii="宋体" w:hAnsi="宋体" w:cs="宋体"/>
                <w:b/>
                <w:bCs/>
                <w:color w:val="000000"/>
                <w:sz w:val="21"/>
                <w:szCs w:val="21"/>
                <w:highlight w:val="none"/>
              </w:rPr>
            </w:pPr>
            <w:r>
              <w:rPr>
                <w:rFonts w:hint="eastAsia" w:ascii="宋体" w:hAnsi="宋体" w:cs="宋体"/>
                <w:b/>
                <w:bCs/>
                <w:color w:val="000000"/>
                <w:sz w:val="21"/>
                <w:szCs w:val="21"/>
                <w:highlight w:val="none"/>
              </w:rPr>
              <w:t>说明：若技术指标存在范围或数值，评审时应考虑</w:t>
            </w:r>
            <w:r>
              <w:rPr>
                <w:rFonts w:hint="eastAsia" w:ascii="宋体" w:hAnsi="宋体" w:cs="宋体"/>
                <w:b/>
                <w:bCs/>
                <w:color w:val="000000"/>
                <w:sz w:val="21"/>
                <w:szCs w:val="21"/>
                <w:highlight w:val="none"/>
                <w:lang w:eastAsia="zh-CN"/>
              </w:rPr>
              <w:t>报价人</w:t>
            </w:r>
            <w:r>
              <w:rPr>
                <w:rFonts w:hint="eastAsia" w:ascii="宋体" w:hAnsi="宋体" w:cs="宋体"/>
                <w:b/>
                <w:bCs/>
                <w:color w:val="000000"/>
                <w:sz w:val="21"/>
                <w:szCs w:val="21"/>
                <w:highlight w:val="none"/>
              </w:rPr>
              <w:t>响应指标的优劣进行量化排名，按可量化排名指标进行评审。</w:t>
            </w:r>
            <w:r>
              <w:rPr>
                <w:rFonts w:hint="eastAsia" w:ascii="宋体" w:hAnsi="宋体" w:cs="宋体"/>
                <w:sz w:val="21"/>
                <w:szCs w:val="21"/>
                <w:highlight w:val="none"/>
              </w:rPr>
              <w:t>【本项评审正偏离认定时以</w:t>
            </w:r>
            <w:r>
              <w:rPr>
                <w:rFonts w:hint="eastAsia" w:ascii="宋体" w:hAnsi="宋体" w:cs="宋体"/>
                <w:sz w:val="21"/>
                <w:szCs w:val="21"/>
                <w:highlight w:val="none"/>
                <w:lang w:eastAsia="zh-CN"/>
              </w:rPr>
              <w:t>报价人</w:t>
            </w:r>
            <w:r>
              <w:rPr>
                <w:rFonts w:hint="eastAsia" w:ascii="宋体" w:hAnsi="宋体" w:cs="宋体"/>
                <w:sz w:val="21"/>
                <w:szCs w:val="21"/>
                <w:highlight w:val="none"/>
              </w:rPr>
              <w:t>提供的完整的技术支持资料（包括制造商公开发布的印刷资料（含制造商出具的产品规格表等）或第三方检测机构出具的检测报告或医疗器械注册（备案凭证）证）为依据，没有依据的不得判定技术指标正偏离】</w:t>
            </w:r>
          </w:p>
        </w:tc>
        <w:tc>
          <w:tcPr>
            <w:tcW w:w="899" w:type="dxa"/>
            <w:noWrap/>
            <w:vAlign w:val="center"/>
          </w:tcPr>
          <w:p w14:paraId="7F01EC98">
            <w:pPr>
              <w:pStyle w:val="154"/>
              <w:spacing w:line="360" w:lineRule="atLeast"/>
              <w:jc w:val="center"/>
              <w:rPr>
                <w:rFonts w:hint="eastAsia" w:ascii="宋体" w:hAnsi="宋体" w:cs="宋体"/>
                <w:color w:val="000000"/>
                <w:sz w:val="21"/>
                <w:szCs w:val="21"/>
                <w:highlight w:val="none"/>
              </w:rPr>
            </w:pPr>
            <w:r>
              <w:rPr>
                <w:rFonts w:hint="eastAsia" w:ascii="宋体" w:hAnsi="宋体" w:cs="宋体"/>
                <w:color w:val="000000"/>
                <w:sz w:val="21"/>
                <w:szCs w:val="21"/>
                <w:highlight w:val="none"/>
              </w:rPr>
              <w:t>本大项标准分值合计</w:t>
            </w:r>
            <w:r>
              <w:rPr>
                <w:rFonts w:hint="eastAsia" w:ascii="宋体" w:hAnsi="宋体" w:cs="宋体"/>
                <w:color w:val="000000"/>
                <w:sz w:val="21"/>
                <w:szCs w:val="21"/>
                <w:highlight w:val="none"/>
                <w:u w:val="single"/>
              </w:rPr>
              <w:t xml:space="preserve"> </w:t>
            </w:r>
            <w:r>
              <w:rPr>
                <w:rFonts w:hint="eastAsia" w:ascii="宋体" w:hAnsi="宋体" w:cs="宋体"/>
                <w:color w:val="000000"/>
                <w:sz w:val="21"/>
                <w:szCs w:val="21"/>
                <w:highlight w:val="none"/>
                <w:u w:val="single"/>
                <w:lang w:val="en-US" w:eastAsia="zh-CN"/>
              </w:rPr>
              <w:t>50</w:t>
            </w:r>
            <w:r>
              <w:rPr>
                <w:rFonts w:hint="eastAsia" w:ascii="宋体" w:hAnsi="宋体" w:cs="宋体"/>
                <w:color w:val="000000"/>
                <w:sz w:val="21"/>
                <w:szCs w:val="21"/>
                <w:highlight w:val="none"/>
              </w:rPr>
              <w:t>分</w:t>
            </w:r>
          </w:p>
        </w:tc>
      </w:tr>
      <w:tr w14:paraId="369024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78" w:type="dxa"/>
            <w:vMerge w:val="restart"/>
            <w:noWrap/>
            <w:vAlign w:val="center"/>
          </w:tcPr>
          <w:p w14:paraId="4320B193">
            <w:pPr>
              <w:pStyle w:val="154"/>
              <w:spacing w:line="360" w:lineRule="atLeast"/>
              <w:jc w:val="center"/>
              <w:rPr>
                <w:rFonts w:hint="eastAsia"/>
                <w:color w:val="000000"/>
                <w:highlight w:val="none"/>
              </w:rPr>
            </w:pPr>
          </w:p>
        </w:tc>
        <w:tc>
          <w:tcPr>
            <w:tcW w:w="1149" w:type="dxa"/>
            <w:vMerge w:val="restart"/>
            <w:noWrap w:val="0"/>
            <w:vAlign w:val="center"/>
          </w:tcPr>
          <w:p w14:paraId="1BB4FC3F">
            <w:pPr>
              <w:pStyle w:val="154"/>
              <w:spacing w:line="360" w:lineRule="atLeast"/>
              <w:jc w:val="center"/>
              <w:rPr>
                <w:rFonts w:hint="eastAsia" w:ascii="宋体" w:hAnsi="宋体" w:cs="宋体"/>
                <w:color w:val="000000"/>
                <w:sz w:val="21"/>
                <w:szCs w:val="21"/>
                <w:highlight w:val="none"/>
              </w:rPr>
            </w:pPr>
            <w:r>
              <w:rPr>
                <w:rFonts w:hint="eastAsia" w:ascii="宋体" w:hAnsi="宋体" w:cs="宋体"/>
                <w:b/>
                <w:bCs/>
                <w:color w:val="000000"/>
                <w:sz w:val="21"/>
                <w:szCs w:val="21"/>
                <w:highlight w:val="none"/>
              </w:rPr>
              <w:t>产品技术性能指标参数满足偏离情况</w:t>
            </w:r>
          </w:p>
        </w:tc>
        <w:tc>
          <w:tcPr>
            <w:tcW w:w="5548" w:type="dxa"/>
            <w:gridSpan w:val="2"/>
            <w:noWrap w:val="0"/>
            <w:vAlign w:val="center"/>
          </w:tcPr>
          <w:p w14:paraId="1EBCD33A">
            <w:pPr>
              <w:pStyle w:val="154"/>
              <w:spacing w:line="360" w:lineRule="atLeast"/>
              <w:jc w:val="left"/>
              <w:rPr>
                <w:rFonts w:hint="eastAsia" w:ascii="宋体" w:hAnsi="宋体" w:cs="宋体"/>
                <w:sz w:val="21"/>
                <w:szCs w:val="21"/>
                <w:highlight w:val="none"/>
              </w:rPr>
            </w:pPr>
            <w:r>
              <w:rPr>
                <w:rFonts w:hint="eastAsia" w:ascii="宋体" w:hAnsi="宋体" w:eastAsia="宋体" w:cs="华文中宋"/>
                <w:b/>
                <w:bCs/>
                <w:sz w:val="24"/>
                <w:szCs w:val="21"/>
                <w:highlight w:val="none"/>
                <w:lang w:val="zh-CN"/>
              </w:rPr>
              <w:t>技术参数</w:t>
            </w:r>
          </w:p>
        </w:tc>
        <w:tc>
          <w:tcPr>
            <w:tcW w:w="1237" w:type="dxa"/>
            <w:noWrap/>
            <w:vAlign w:val="center"/>
          </w:tcPr>
          <w:p w14:paraId="41B27C84">
            <w:pPr>
              <w:pStyle w:val="154"/>
              <w:spacing w:line="360" w:lineRule="atLeast"/>
              <w:ind w:firstLine="0" w:firstLineChars="0"/>
              <w:jc w:val="center"/>
              <w:rPr>
                <w:rFonts w:hint="eastAsia" w:ascii="宋体" w:hAnsi="宋体" w:eastAsia="宋体" w:cs="宋体"/>
                <w:kern w:val="2"/>
                <w:sz w:val="21"/>
                <w:szCs w:val="21"/>
                <w:highlight w:val="none"/>
                <w:lang w:val="en-US" w:eastAsia="zh-CN" w:bidi="ar-SA"/>
              </w:rPr>
            </w:pPr>
            <w:r>
              <w:rPr>
                <w:rFonts w:hint="eastAsia" w:ascii="宋体" w:hAnsi="宋体" w:cs="华文中宋"/>
                <w:b/>
                <w:bCs/>
                <w:szCs w:val="21"/>
                <w:highlight w:val="none"/>
                <w:lang w:val="zh-CN"/>
              </w:rPr>
              <w:t>可量化指标正偏离认定情况</w:t>
            </w:r>
          </w:p>
        </w:tc>
        <w:tc>
          <w:tcPr>
            <w:tcW w:w="899" w:type="dxa"/>
            <w:noWrap w:val="0"/>
            <w:vAlign w:val="center"/>
          </w:tcPr>
          <w:p w14:paraId="3434F4F5">
            <w:pPr>
              <w:pStyle w:val="154"/>
              <w:spacing w:line="360" w:lineRule="atLeast"/>
              <w:ind w:firstLine="0" w:firstLineChars="0"/>
              <w:jc w:val="center"/>
              <w:rPr>
                <w:rFonts w:hint="eastAsia" w:ascii="宋体" w:hAnsi="宋体" w:eastAsia="宋体" w:cs="宋体"/>
                <w:color w:val="000000"/>
                <w:kern w:val="2"/>
                <w:sz w:val="21"/>
                <w:szCs w:val="21"/>
                <w:highlight w:val="none"/>
                <w:lang w:val="en-US" w:eastAsia="zh-CN" w:bidi="ar-SA"/>
              </w:rPr>
            </w:pPr>
            <w:r>
              <w:rPr>
                <w:rFonts w:hint="eastAsia" w:ascii="宋体" w:hAnsi="宋体" w:eastAsia="宋体" w:cs="华文中宋"/>
                <w:b/>
                <w:bCs/>
                <w:kern w:val="2"/>
                <w:sz w:val="21"/>
                <w:szCs w:val="21"/>
                <w:highlight w:val="none"/>
                <w:lang w:val="en-US" w:eastAsia="zh-CN" w:bidi="ar-SA"/>
              </w:rPr>
              <w:t>得分</w:t>
            </w:r>
            <w:r>
              <w:rPr>
                <w:rFonts w:hint="eastAsia" w:ascii="宋体" w:hAnsi="宋体" w:cs="华文中宋"/>
                <w:b/>
                <w:bCs/>
                <w:kern w:val="2"/>
                <w:sz w:val="21"/>
                <w:szCs w:val="21"/>
                <w:highlight w:val="none"/>
                <w:lang w:val="en-US" w:eastAsia="zh-CN" w:bidi="ar-SA"/>
              </w:rPr>
              <w:t>（分）</w:t>
            </w:r>
          </w:p>
        </w:tc>
      </w:tr>
      <w:tr w14:paraId="04F85A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78" w:type="dxa"/>
            <w:vMerge w:val="continue"/>
            <w:noWrap/>
            <w:vAlign w:val="center"/>
          </w:tcPr>
          <w:p w14:paraId="427D9931">
            <w:pPr>
              <w:pStyle w:val="154"/>
              <w:spacing w:line="360" w:lineRule="atLeast"/>
              <w:jc w:val="center"/>
              <w:rPr>
                <w:rFonts w:hint="eastAsia"/>
                <w:color w:val="000000"/>
                <w:highlight w:val="none"/>
              </w:rPr>
            </w:pPr>
          </w:p>
        </w:tc>
        <w:tc>
          <w:tcPr>
            <w:tcW w:w="1149" w:type="dxa"/>
            <w:vMerge w:val="continue"/>
            <w:noWrap w:val="0"/>
            <w:vAlign w:val="center"/>
          </w:tcPr>
          <w:p w14:paraId="447213B7">
            <w:pPr>
              <w:pStyle w:val="154"/>
              <w:spacing w:line="360" w:lineRule="atLeast"/>
              <w:jc w:val="center"/>
              <w:rPr>
                <w:rFonts w:hint="eastAsia" w:ascii="宋体" w:hAnsi="宋体" w:cs="宋体"/>
                <w:color w:val="000000"/>
                <w:sz w:val="21"/>
                <w:szCs w:val="21"/>
                <w:highlight w:val="none"/>
              </w:rPr>
            </w:pPr>
          </w:p>
        </w:tc>
        <w:tc>
          <w:tcPr>
            <w:tcW w:w="1041" w:type="dxa"/>
            <w:noWrap w:val="0"/>
            <w:vAlign w:val="center"/>
          </w:tcPr>
          <w:p w14:paraId="47108D9E">
            <w:pPr>
              <w:spacing w:line="360" w:lineRule="atLeast"/>
              <w:rPr>
                <w:rFonts w:hint="default" w:ascii="宋体" w:hAnsi="宋体" w:eastAsia="宋体" w:cs="宋体"/>
                <w:kern w:val="2"/>
                <w:sz w:val="21"/>
                <w:szCs w:val="21"/>
                <w:highlight w:val="none"/>
                <w:lang w:val="en-US" w:eastAsia="zh-CN" w:bidi="ar-SA"/>
              </w:rPr>
            </w:pPr>
            <w:r>
              <w:rPr>
                <w:rFonts w:hint="eastAsia" w:ascii="宋体" w:hAnsi="宋体" w:cs="宋体"/>
                <w:kern w:val="2"/>
                <w:sz w:val="21"/>
                <w:szCs w:val="21"/>
                <w:highlight w:val="none"/>
                <w:lang w:val="en-US" w:eastAsia="zh-CN" w:bidi="ar-SA"/>
              </w:rPr>
              <w:t>主要功能</w:t>
            </w:r>
          </w:p>
        </w:tc>
        <w:tc>
          <w:tcPr>
            <w:tcW w:w="4507" w:type="dxa"/>
            <w:noWrap w:val="0"/>
            <w:vAlign w:val="center"/>
          </w:tcPr>
          <w:p w14:paraId="6ACF4507">
            <w:pPr>
              <w:jc w:val="both"/>
              <w:rPr>
                <w:rFonts w:hint="default" w:ascii="宋体" w:hAnsi="宋体" w:eastAsia="宋体" w:cs="宋体"/>
                <w:kern w:val="2"/>
                <w:sz w:val="21"/>
                <w:szCs w:val="21"/>
                <w:highlight w:val="none"/>
                <w:lang w:val="en-US" w:eastAsia="zh-CN" w:bidi="ar-SA"/>
              </w:rPr>
            </w:pPr>
            <w:r>
              <w:rPr>
                <w:rFonts w:hint="eastAsia" w:ascii="宋体" w:hAnsi="宋体" w:eastAsia="宋体"/>
                <w:kern w:val="0"/>
                <w:sz w:val="21"/>
                <w:szCs w:val="21"/>
                <w:highlight w:val="none"/>
                <w:lang w:val="zh-CN" w:bidi="zh-CN"/>
              </w:rPr>
              <w:t>★</w:t>
            </w:r>
            <w:r>
              <w:rPr>
                <w:rFonts w:hint="eastAsia" w:ascii="宋体" w:hAnsi="宋体"/>
                <w:kern w:val="0"/>
                <w:sz w:val="21"/>
                <w:szCs w:val="21"/>
                <w:highlight w:val="none"/>
                <w:lang w:val="en-US" w:bidi="zh-CN"/>
              </w:rPr>
              <w:t>1.可进行有氧呼吸基础代谢率、有氧呼吸极限呼吸率、有氧呼吸储备能力、质子漏水平、糖酵解水平、糖酵解能力最大值、糖酵解能力储备值、glycoATP产生速率、mitoatp产生速率、总ATP生成速率、糖酵解质子流出速率、补偿性糖酵解等指标的检测；</w:t>
            </w:r>
          </w:p>
        </w:tc>
        <w:tc>
          <w:tcPr>
            <w:tcW w:w="1237" w:type="dxa"/>
            <w:noWrap/>
            <w:vAlign w:val="center"/>
          </w:tcPr>
          <w:p w14:paraId="7106EAEF">
            <w:pPr>
              <w:spacing w:line="360" w:lineRule="atLeast"/>
              <w:jc w:val="center"/>
              <w:rPr>
                <w:rFonts w:hint="default" w:ascii="宋体" w:hAnsi="宋体" w:eastAsia="宋体" w:cs="宋体"/>
                <w:color w:val="000000"/>
                <w:sz w:val="21"/>
                <w:szCs w:val="21"/>
                <w:highlight w:val="none"/>
                <w:lang w:val="en-US" w:eastAsia="zh-CN"/>
              </w:rPr>
            </w:pPr>
          </w:p>
        </w:tc>
        <w:tc>
          <w:tcPr>
            <w:tcW w:w="899" w:type="dxa"/>
            <w:noWrap w:val="0"/>
            <w:vAlign w:val="center"/>
          </w:tcPr>
          <w:p w14:paraId="2E6459FB">
            <w:pPr>
              <w:pStyle w:val="154"/>
              <w:spacing w:line="360" w:lineRule="atLeast"/>
              <w:ind w:firstLine="0" w:firstLineChars="0"/>
              <w:jc w:val="center"/>
              <w:rPr>
                <w:rFonts w:hint="default" w:ascii="宋体" w:hAnsi="宋体" w:eastAsia="宋体" w:cs="宋体"/>
                <w:color w:val="000000"/>
                <w:kern w:val="2"/>
                <w:sz w:val="21"/>
                <w:szCs w:val="21"/>
                <w:highlight w:val="none"/>
                <w:lang w:val="en-US" w:eastAsia="zh-CN" w:bidi="ar-SA"/>
              </w:rPr>
            </w:pPr>
            <w:r>
              <w:rPr>
                <w:rFonts w:hint="eastAsia" w:ascii="宋体" w:hAnsi="宋体" w:cs="宋体"/>
                <w:color w:val="000000"/>
                <w:kern w:val="2"/>
                <w:sz w:val="21"/>
                <w:szCs w:val="21"/>
                <w:highlight w:val="none"/>
                <w:lang w:val="en-US" w:eastAsia="zh-CN" w:bidi="ar-SA"/>
              </w:rPr>
              <w:t>8.62分</w:t>
            </w:r>
          </w:p>
        </w:tc>
      </w:tr>
      <w:tr w14:paraId="2B686D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 w:hRule="atLeast"/>
          <w:jc w:val="center"/>
        </w:trPr>
        <w:tc>
          <w:tcPr>
            <w:tcW w:w="678" w:type="dxa"/>
            <w:vMerge w:val="continue"/>
            <w:noWrap/>
            <w:vAlign w:val="center"/>
          </w:tcPr>
          <w:p w14:paraId="34521891">
            <w:pPr>
              <w:pStyle w:val="154"/>
              <w:spacing w:line="360" w:lineRule="atLeast"/>
              <w:jc w:val="center"/>
              <w:rPr>
                <w:rFonts w:hint="eastAsia" w:ascii="宋体" w:hAnsi="宋体" w:cs="宋体"/>
                <w:b/>
                <w:bCs/>
                <w:color w:val="000000"/>
                <w:sz w:val="21"/>
                <w:szCs w:val="21"/>
                <w:highlight w:val="none"/>
              </w:rPr>
            </w:pPr>
          </w:p>
        </w:tc>
        <w:tc>
          <w:tcPr>
            <w:tcW w:w="1149" w:type="dxa"/>
            <w:vMerge w:val="continue"/>
            <w:noWrap w:val="0"/>
            <w:vAlign w:val="center"/>
          </w:tcPr>
          <w:p w14:paraId="3D0DEA49">
            <w:pPr>
              <w:pStyle w:val="154"/>
              <w:spacing w:line="360" w:lineRule="atLeast"/>
              <w:jc w:val="center"/>
              <w:rPr>
                <w:rFonts w:hint="eastAsia" w:ascii="宋体" w:hAnsi="宋体" w:cs="宋体"/>
                <w:b/>
                <w:bCs/>
                <w:color w:val="000000"/>
                <w:sz w:val="21"/>
                <w:szCs w:val="21"/>
                <w:highlight w:val="none"/>
              </w:rPr>
            </w:pPr>
          </w:p>
        </w:tc>
        <w:tc>
          <w:tcPr>
            <w:tcW w:w="1041" w:type="dxa"/>
            <w:noWrap w:val="0"/>
            <w:vAlign w:val="center"/>
          </w:tcPr>
          <w:p w14:paraId="3CD4673E">
            <w:pPr>
              <w:spacing w:line="360" w:lineRule="atLeast"/>
              <w:rPr>
                <w:rFonts w:hint="eastAsia" w:ascii="宋体" w:hAnsi="宋体" w:eastAsia="宋体" w:cs="宋体"/>
                <w:kern w:val="2"/>
                <w:sz w:val="21"/>
                <w:szCs w:val="21"/>
                <w:highlight w:val="none"/>
                <w:lang w:val="en-US" w:eastAsia="zh-CN" w:bidi="ar-SA"/>
              </w:rPr>
            </w:pPr>
            <w:r>
              <w:rPr>
                <w:rFonts w:hint="eastAsia" w:ascii="宋体" w:hAnsi="宋体" w:cs="宋体"/>
                <w:kern w:val="2"/>
                <w:sz w:val="21"/>
                <w:szCs w:val="21"/>
                <w:highlight w:val="none"/>
                <w:lang w:val="en-US" w:eastAsia="zh-CN" w:bidi="ar-SA"/>
              </w:rPr>
              <w:t>检测数量</w:t>
            </w:r>
          </w:p>
        </w:tc>
        <w:tc>
          <w:tcPr>
            <w:tcW w:w="4507" w:type="dxa"/>
            <w:noWrap w:val="0"/>
            <w:vAlign w:val="center"/>
          </w:tcPr>
          <w:p w14:paraId="71E60028">
            <w:pPr>
              <w:spacing w:line="360" w:lineRule="atLeast"/>
              <w:rPr>
                <w:rFonts w:hint="eastAsia" w:ascii="宋体" w:hAnsi="宋体" w:eastAsia="宋体" w:cs="宋体"/>
                <w:kern w:val="2"/>
                <w:sz w:val="21"/>
                <w:szCs w:val="21"/>
                <w:highlight w:val="none"/>
                <w:lang w:val="en-US" w:eastAsia="zh-CN" w:bidi="ar-SA"/>
              </w:rPr>
            </w:pPr>
            <w:r>
              <w:rPr>
                <w:rFonts w:hint="eastAsia" w:ascii="宋体" w:hAnsi="宋体" w:cs="宋体"/>
                <w:color w:val="000000"/>
                <w:sz w:val="21"/>
                <w:szCs w:val="21"/>
                <w:highlight w:val="none"/>
                <w:u w:val="none"/>
              </w:rPr>
              <w:t>▲</w:t>
            </w:r>
            <w:r>
              <w:rPr>
                <w:rFonts w:hint="eastAsia" w:ascii="宋体" w:hAnsi="宋体" w:cs="宋体"/>
                <w:color w:val="000000"/>
                <w:sz w:val="21"/>
                <w:szCs w:val="21"/>
                <w:highlight w:val="none"/>
                <w:u w:val="none"/>
                <w:lang w:val="en-US" w:eastAsia="zh-CN"/>
              </w:rPr>
              <w:t>2.</w:t>
            </w:r>
            <w:r>
              <w:rPr>
                <w:rFonts w:hint="eastAsia" w:ascii="宋体" w:hAnsi="宋体" w:cs="宋体"/>
                <w:color w:val="000000"/>
                <w:sz w:val="21"/>
                <w:szCs w:val="21"/>
                <w:highlight w:val="none"/>
                <w:u w:val="none"/>
                <w:lang w:eastAsia="zh-CN"/>
              </w:rPr>
              <w:t>具备≥</w:t>
            </w:r>
            <w:r>
              <w:rPr>
                <w:rFonts w:hint="eastAsia" w:ascii="宋体" w:hAnsi="宋体" w:cs="宋体"/>
                <w:color w:val="000000"/>
                <w:sz w:val="21"/>
                <w:szCs w:val="21"/>
                <w:highlight w:val="none"/>
                <w:u w:val="none"/>
                <w:lang w:val="en-US" w:eastAsia="zh-CN"/>
              </w:rPr>
              <w:t>6个独立的光电二极管检测器，同时对所有样品孔进行数据采集；一次实验可满足</w:t>
            </w:r>
            <w:r>
              <w:rPr>
                <w:rFonts w:hint="eastAsia" w:ascii="宋体" w:hAnsi="宋体" w:cs="宋体"/>
                <w:color w:val="000000"/>
                <w:sz w:val="21"/>
                <w:szCs w:val="21"/>
                <w:highlight w:val="none"/>
                <w:u w:val="none"/>
                <w:lang w:eastAsia="zh-CN"/>
              </w:rPr>
              <w:t>≥</w:t>
            </w:r>
            <w:r>
              <w:rPr>
                <w:rFonts w:hint="eastAsia" w:ascii="宋体" w:hAnsi="宋体" w:cs="宋体"/>
                <w:color w:val="000000"/>
                <w:sz w:val="21"/>
                <w:szCs w:val="21"/>
                <w:highlight w:val="none"/>
                <w:u w:val="none"/>
                <w:lang w:val="en-US" w:eastAsia="zh-CN"/>
              </w:rPr>
              <w:t>6个样品的平行、同时检测；</w:t>
            </w:r>
          </w:p>
        </w:tc>
        <w:tc>
          <w:tcPr>
            <w:tcW w:w="1237" w:type="dxa"/>
            <w:noWrap/>
            <w:vAlign w:val="center"/>
          </w:tcPr>
          <w:p w14:paraId="429FB6B6">
            <w:pPr>
              <w:spacing w:line="360" w:lineRule="atLeast"/>
              <w:jc w:val="center"/>
              <w:rPr>
                <w:rFonts w:hint="default" w:ascii="宋体" w:hAnsi="宋体" w:eastAsia="宋体" w:cs="宋体"/>
                <w:color w:val="000000"/>
                <w:sz w:val="21"/>
                <w:szCs w:val="21"/>
                <w:highlight w:val="none"/>
                <w:lang w:val="en-US" w:eastAsia="zh-CN"/>
              </w:rPr>
            </w:pPr>
            <w:r>
              <w:rPr>
                <w:rFonts w:hint="eastAsia" w:ascii="宋体" w:hAnsi="宋体" w:cs="宋体"/>
                <w:kern w:val="2"/>
                <w:sz w:val="21"/>
                <w:szCs w:val="21"/>
                <w:highlight w:val="none"/>
                <w:lang w:val="en-US" w:eastAsia="zh-CN" w:bidi="ar-SA"/>
              </w:rPr>
              <w:t>检测器数量和可检测样品数越多越好</w:t>
            </w:r>
          </w:p>
        </w:tc>
        <w:tc>
          <w:tcPr>
            <w:tcW w:w="899" w:type="dxa"/>
            <w:noWrap w:val="0"/>
            <w:vAlign w:val="center"/>
          </w:tcPr>
          <w:p w14:paraId="418E9BB2">
            <w:pPr>
              <w:pStyle w:val="154"/>
              <w:spacing w:line="360" w:lineRule="atLeast"/>
              <w:ind w:firstLine="0" w:firstLineChars="0"/>
              <w:jc w:val="center"/>
              <w:rPr>
                <w:rFonts w:hint="default" w:ascii="宋体" w:hAnsi="宋体" w:eastAsia="宋体" w:cs="宋体"/>
                <w:color w:val="000000"/>
                <w:kern w:val="2"/>
                <w:sz w:val="21"/>
                <w:szCs w:val="21"/>
                <w:highlight w:val="none"/>
                <w:lang w:val="en-US" w:eastAsia="zh-CN" w:bidi="ar-SA"/>
              </w:rPr>
            </w:pPr>
            <w:r>
              <w:rPr>
                <w:rFonts w:hint="eastAsia" w:ascii="宋体" w:hAnsi="宋体" w:cs="宋体"/>
                <w:color w:val="000000"/>
                <w:kern w:val="2"/>
                <w:sz w:val="21"/>
                <w:szCs w:val="21"/>
                <w:highlight w:val="none"/>
                <w:lang w:val="en-US" w:eastAsia="zh-CN" w:bidi="ar-SA"/>
              </w:rPr>
              <w:t>5.17分</w:t>
            </w:r>
          </w:p>
        </w:tc>
      </w:tr>
      <w:tr w14:paraId="0125D0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 w:hRule="atLeast"/>
          <w:jc w:val="center"/>
        </w:trPr>
        <w:tc>
          <w:tcPr>
            <w:tcW w:w="678" w:type="dxa"/>
            <w:vMerge w:val="continue"/>
            <w:noWrap/>
            <w:vAlign w:val="center"/>
          </w:tcPr>
          <w:p w14:paraId="73327E48">
            <w:pPr>
              <w:pStyle w:val="154"/>
              <w:spacing w:line="360" w:lineRule="atLeast"/>
              <w:jc w:val="center"/>
              <w:rPr>
                <w:rFonts w:hint="eastAsia" w:ascii="宋体" w:hAnsi="宋体" w:cs="宋体"/>
                <w:b/>
                <w:bCs/>
                <w:color w:val="000000"/>
                <w:sz w:val="21"/>
                <w:szCs w:val="21"/>
                <w:highlight w:val="none"/>
              </w:rPr>
            </w:pPr>
          </w:p>
        </w:tc>
        <w:tc>
          <w:tcPr>
            <w:tcW w:w="1149" w:type="dxa"/>
            <w:vMerge w:val="continue"/>
            <w:noWrap w:val="0"/>
            <w:vAlign w:val="center"/>
          </w:tcPr>
          <w:p w14:paraId="34975017">
            <w:pPr>
              <w:pStyle w:val="154"/>
              <w:spacing w:line="360" w:lineRule="atLeast"/>
              <w:jc w:val="center"/>
              <w:rPr>
                <w:rFonts w:hint="eastAsia" w:ascii="宋体" w:hAnsi="宋体" w:cs="宋体"/>
                <w:b/>
                <w:bCs/>
                <w:color w:val="000000"/>
                <w:sz w:val="21"/>
                <w:szCs w:val="21"/>
                <w:highlight w:val="none"/>
              </w:rPr>
            </w:pPr>
          </w:p>
        </w:tc>
        <w:tc>
          <w:tcPr>
            <w:tcW w:w="1041" w:type="dxa"/>
            <w:noWrap w:val="0"/>
            <w:vAlign w:val="center"/>
          </w:tcPr>
          <w:p w14:paraId="01ED8747">
            <w:pPr>
              <w:spacing w:line="360" w:lineRule="atLeast"/>
              <w:rPr>
                <w:rFonts w:hint="eastAsia" w:ascii="宋体" w:hAnsi="宋体" w:eastAsia="宋体" w:cs="宋体"/>
                <w:kern w:val="2"/>
                <w:sz w:val="21"/>
                <w:szCs w:val="21"/>
                <w:highlight w:val="none"/>
                <w:lang w:val="en-US" w:eastAsia="zh-CN" w:bidi="ar-SA"/>
              </w:rPr>
            </w:pPr>
            <w:r>
              <w:rPr>
                <w:rFonts w:hint="eastAsia" w:ascii="宋体" w:hAnsi="宋体" w:cs="宋体"/>
                <w:kern w:val="2"/>
                <w:sz w:val="21"/>
                <w:szCs w:val="21"/>
                <w:highlight w:val="none"/>
                <w:lang w:val="en-US" w:eastAsia="zh-CN" w:bidi="ar-SA"/>
              </w:rPr>
              <w:t>检测参数</w:t>
            </w:r>
          </w:p>
        </w:tc>
        <w:tc>
          <w:tcPr>
            <w:tcW w:w="4507" w:type="dxa"/>
            <w:noWrap w:val="0"/>
            <w:vAlign w:val="center"/>
          </w:tcPr>
          <w:p w14:paraId="13ABEDC8">
            <w:pPr>
              <w:rPr>
                <w:rFonts w:hint="eastAsia" w:ascii="宋体" w:hAnsi="宋体" w:eastAsia="宋体" w:cs="宋体"/>
                <w:kern w:val="2"/>
                <w:sz w:val="21"/>
                <w:szCs w:val="21"/>
                <w:highlight w:val="none"/>
                <w:lang w:val="en-US" w:eastAsia="zh-CN" w:bidi="ar-SA"/>
              </w:rPr>
            </w:pPr>
            <w:r>
              <w:rPr>
                <w:rFonts w:hint="eastAsia" w:ascii="宋体" w:hAnsi="宋体" w:cs="宋体"/>
                <w:color w:val="000000"/>
                <w:sz w:val="21"/>
                <w:szCs w:val="21"/>
                <w:highlight w:val="none"/>
                <w:u w:val="none"/>
              </w:rPr>
              <w:t>▲</w:t>
            </w:r>
            <w:r>
              <w:rPr>
                <w:rFonts w:hint="eastAsia" w:ascii="宋体" w:hAnsi="宋体" w:cs="宋体"/>
                <w:color w:val="000000"/>
                <w:sz w:val="21"/>
                <w:szCs w:val="21"/>
                <w:highlight w:val="none"/>
                <w:u w:val="none"/>
                <w:lang w:val="en-US" w:eastAsia="zh-CN"/>
              </w:rPr>
              <w:t>3.实时多因子参数检测：所有样品孔同时检测，每个样品孔中同时分析O</w:t>
            </w:r>
            <w:r>
              <w:rPr>
                <w:rFonts w:hint="eastAsia" w:ascii="宋体" w:hAnsi="宋体" w:cs="宋体"/>
                <w:color w:val="000000"/>
                <w:sz w:val="21"/>
                <w:szCs w:val="21"/>
                <w:highlight w:val="none"/>
                <w:u w:val="none"/>
                <w:vertAlign w:val="subscript"/>
                <w:lang w:val="en-US" w:eastAsia="zh-CN"/>
              </w:rPr>
              <w:t>2</w:t>
            </w:r>
            <w:r>
              <w:rPr>
                <w:rFonts w:hint="eastAsia" w:ascii="宋体" w:hAnsi="宋体" w:cs="宋体"/>
                <w:color w:val="000000"/>
                <w:sz w:val="21"/>
                <w:szCs w:val="21"/>
                <w:highlight w:val="none"/>
                <w:u w:val="none"/>
                <w:vertAlign w:val="baseline"/>
                <w:lang w:val="en-US" w:eastAsia="zh-CN"/>
              </w:rPr>
              <w:t>与H</w:t>
            </w:r>
            <w:r>
              <w:rPr>
                <w:rFonts w:hint="eastAsia" w:ascii="宋体" w:hAnsi="宋体" w:cs="宋体"/>
                <w:color w:val="000000"/>
                <w:sz w:val="21"/>
                <w:szCs w:val="21"/>
                <w:highlight w:val="none"/>
                <w:u w:val="none"/>
                <w:vertAlign w:val="superscript"/>
                <w:lang w:val="en-US" w:eastAsia="zh-CN"/>
              </w:rPr>
              <w:t>+</w:t>
            </w:r>
            <w:r>
              <w:rPr>
                <w:rFonts w:hint="eastAsia" w:ascii="宋体" w:hAnsi="宋体" w:cs="宋体"/>
                <w:color w:val="000000"/>
                <w:sz w:val="21"/>
                <w:szCs w:val="21"/>
                <w:highlight w:val="none"/>
                <w:u w:val="none"/>
                <w:vertAlign w:val="baseline"/>
                <w:lang w:val="en-US" w:eastAsia="zh-CN"/>
              </w:rPr>
              <w:t>，</w:t>
            </w:r>
            <w:r>
              <w:rPr>
                <w:rFonts w:hint="eastAsia" w:ascii="宋体" w:hAnsi="宋体" w:cs="宋体"/>
                <w:color w:val="000000"/>
                <w:sz w:val="21"/>
                <w:szCs w:val="21"/>
                <w:highlight w:val="none"/>
                <w:u w:val="none"/>
                <w:lang w:val="en-US" w:eastAsia="zh-CN"/>
              </w:rPr>
              <w:t>同时检测0CR与ECAR值，侦测有氧与无氧代谢途径;</w:t>
            </w:r>
          </w:p>
        </w:tc>
        <w:tc>
          <w:tcPr>
            <w:tcW w:w="1237" w:type="dxa"/>
            <w:noWrap/>
            <w:vAlign w:val="center"/>
          </w:tcPr>
          <w:p w14:paraId="5199BE54">
            <w:pPr>
              <w:spacing w:line="360" w:lineRule="atLeast"/>
              <w:jc w:val="center"/>
              <w:rPr>
                <w:rFonts w:hint="default" w:ascii="宋体" w:hAnsi="宋体" w:eastAsia="宋体" w:cs="宋体"/>
                <w:color w:val="000000"/>
                <w:sz w:val="21"/>
                <w:szCs w:val="21"/>
                <w:highlight w:val="none"/>
                <w:lang w:val="en-US" w:eastAsia="zh-CN"/>
              </w:rPr>
            </w:pPr>
          </w:p>
        </w:tc>
        <w:tc>
          <w:tcPr>
            <w:tcW w:w="899" w:type="dxa"/>
            <w:noWrap w:val="0"/>
            <w:vAlign w:val="center"/>
          </w:tcPr>
          <w:p w14:paraId="304AE943">
            <w:pPr>
              <w:pStyle w:val="154"/>
              <w:spacing w:line="360" w:lineRule="atLeast"/>
              <w:ind w:firstLine="0" w:firstLineChars="0"/>
              <w:jc w:val="center"/>
              <w:rPr>
                <w:rFonts w:hint="default" w:ascii="宋体" w:hAnsi="宋体" w:eastAsia="宋体" w:cs="宋体"/>
                <w:color w:val="000000"/>
                <w:kern w:val="2"/>
                <w:sz w:val="21"/>
                <w:szCs w:val="21"/>
                <w:highlight w:val="none"/>
                <w:lang w:val="en-US" w:eastAsia="zh-CN" w:bidi="ar-SA"/>
              </w:rPr>
            </w:pPr>
            <w:r>
              <w:rPr>
                <w:rFonts w:hint="eastAsia" w:ascii="宋体" w:hAnsi="宋体" w:cs="宋体"/>
                <w:color w:val="000000"/>
                <w:kern w:val="2"/>
                <w:sz w:val="21"/>
                <w:szCs w:val="21"/>
                <w:highlight w:val="none"/>
                <w:lang w:val="en-US" w:eastAsia="zh-CN" w:bidi="ar-SA"/>
              </w:rPr>
              <w:t>5.17分</w:t>
            </w:r>
          </w:p>
        </w:tc>
      </w:tr>
      <w:tr w14:paraId="25628B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 w:hRule="atLeast"/>
          <w:jc w:val="center"/>
        </w:trPr>
        <w:tc>
          <w:tcPr>
            <w:tcW w:w="678" w:type="dxa"/>
            <w:vMerge w:val="continue"/>
            <w:noWrap/>
            <w:vAlign w:val="center"/>
          </w:tcPr>
          <w:p w14:paraId="010A6901">
            <w:pPr>
              <w:pStyle w:val="154"/>
              <w:spacing w:line="360" w:lineRule="atLeast"/>
              <w:jc w:val="center"/>
              <w:rPr>
                <w:rFonts w:hint="eastAsia" w:ascii="宋体" w:hAnsi="宋体" w:cs="宋体"/>
                <w:b/>
                <w:bCs/>
                <w:color w:val="000000"/>
                <w:sz w:val="21"/>
                <w:szCs w:val="21"/>
                <w:highlight w:val="none"/>
              </w:rPr>
            </w:pPr>
          </w:p>
        </w:tc>
        <w:tc>
          <w:tcPr>
            <w:tcW w:w="1149" w:type="dxa"/>
            <w:vMerge w:val="continue"/>
            <w:noWrap w:val="0"/>
            <w:vAlign w:val="center"/>
          </w:tcPr>
          <w:p w14:paraId="1CC7E408">
            <w:pPr>
              <w:pStyle w:val="154"/>
              <w:spacing w:line="360" w:lineRule="atLeast"/>
              <w:jc w:val="center"/>
              <w:rPr>
                <w:rFonts w:hint="eastAsia" w:ascii="宋体" w:hAnsi="宋体" w:cs="宋体"/>
                <w:b/>
                <w:bCs/>
                <w:color w:val="000000"/>
                <w:sz w:val="21"/>
                <w:szCs w:val="21"/>
                <w:highlight w:val="none"/>
              </w:rPr>
            </w:pPr>
          </w:p>
        </w:tc>
        <w:tc>
          <w:tcPr>
            <w:tcW w:w="1041" w:type="dxa"/>
            <w:noWrap w:val="0"/>
            <w:vAlign w:val="center"/>
          </w:tcPr>
          <w:p w14:paraId="052E5C4F">
            <w:pPr>
              <w:spacing w:line="360" w:lineRule="atLeast"/>
              <w:rPr>
                <w:rFonts w:hint="eastAsia" w:ascii="宋体" w:hAnsi="宋体" w:eastAsia="宋体" w:cs="宋体"/>
                <w:kern w:val="2"/>
                <w:sz w:val="21"/>
                <w:szCs w:val="21"/>
                <w:highlight w:val="none"/>
                <w:lang w:val="en-US" w:eastAsia="zh-CN" w:bidi="ar-SA"/>
              </w:rPr>
            </w:pPr>
            <w:r>
              <w:rPr>
                <w:rFonts w:hint="eastAsia" w:ascii="宋体" w:hAnsi="宋体" w:cs="宋体"/>
                <w:kern w:val="2"/>
                <w:sz w:val="21"/>
                <w:szCs w:val="21"/>
                <w:highlight w:val="none"/>
                <w:lang w:val="en-US" w:eastAsia="zh-CN" w:bidi="ar-SA"/>
              </w:rPr>
              <w:t>探针类型</w:t>
            </w:r>
          </w:p>
        </w:tc>
        <w:tc>
          <w:tcPr>
            <w:tcW w:w="4507" w:type="dxa"/>
            <w:noWrap w:val="0"/>
            <w:vAlign w:val="center"/>
          </w:tcPr>
          <w:p w14:paraId="1A57AB96">
            <w:pPr>
              <w:rPr>
                <w:rFonts w:hint="eastAsia" w:ascii="宋体" w:hAnsi="宋体" w:eastAsia="宋体" w:cs="宋体"/>
                <w:kern w:val="2"/>
                <w:sz w:val="21"/>
                <w:szCs w:val="21"/>
                <w:highlight w:val="none"/>
                <w:lang w:val="en-US" w:eastAsia="zh-CN" w:bidi="ar-SA"/>
              </w:rPr>
            </w:pPr>
            <w:r>
              <w:rPr>
                <w:rFonts w:hint="eastAsia" w:ascii="宋体" w:hAnsi="宋体" w:cs="宋体"/>
                <w:color w:val="000000"/>
                <w:sz w:val="21"/>
                <w:szCs w:val="21"/>
                <w:highlight w:val="none"/>
                <w:u w:val="none"/>
                <w:lang w:val="en-US" w:eastAsia="zh-CN"/>
              </w:rPr>
              <w:t>▲4.探针类型:固态荧光探针。无需对细胞进行染色标记，对细胞不造成损伤，最大限度降低探针对细胞状态的影响；</w:t>
            </w:r>
          </w:p>
        </w:tc>
        <w:tc>
          <w:tcPr>
            <w:tcW w:w="1237" w:type="dxa"/>
            <w:noWrap/>
            <w:vAlign w:val="center"/>
          </w:tcPr>
          <w:p w14:paraId="64789719">
            <w:pPr>
              <w:spacing w:line="360" w:lineRule="atLeast"/>
              <w:jc w:val="center"/>
              <w:rPr>
                <w:rFonts w:hint="default" w:ascii="宋体" w:hAnsi="宋体" w:eastAsia="宋体" w:cs="宋体"/>
                <w:color w:val="000000"/>
                <w:sz w:val="21"/>
                <w:szCs w:val="21"/>
                <w:highlight w:val="none"/>
                <w:lang w:val="en-US" w:eastAsia="zh-CN"/>
              </w:rPr>
            </w:pPr>
          </w:p>
        </w:tc>
        <w:tc>
          <w:tcPr>
            <w:tcW w:w="899" w:type="dxa"/>
            <w:noWrap w:val="0"/>
            <w:vAlign w:val="center"/>
          </w:tcPr>
          <w:p w14:paraId="14F8CE89">
            <w:pPr>
              <w:pStyle w:val="154"/>
              <w:spacing w:line="360" w:lineRule="atLeast"/>
              <w:ind w:firstLine="0" w:firstLineChars="0"/>
              <w:jc w:val="center"/>
              <w:rPr>
                <w:rFonts w:hint="default" w:ascii="宋体" w:hAnsi="宋体" w:eastAsia="宋体" w:cs="宋体"/>
                <w:color w:val="000000"/>
                <w:kern w:val="2"/>
                <w:sz w:val="21"/>
                <w:szCs w:val="21"/>
                <w:highlight w:val="none"/>
                <w:lang w:val="en-US" w:eastAsia="zh-CN" w:bidi="ar-SA"/>
              </w:rPr>
            </w:pPr>
            <w:r>
              <w:rPr>
                <w:rFonts w:hint="eastAsia" w:ascii="宋体" w:hAnsi="宋体" w:cs="宋体"/>
                <w:color w:val="000000"/>
                <w:kern w:val="2"/>
                <w:sz w:val="21"/>
                <w:szCs w:val="21"/>
                <w:highlight w:val="none"/>
                <w:lang w:val="en-US" w:eastAsia="zh-CN" w:bidi="ar-SA"/>
              </w:rPr>
              <w:t>5.17分</w:t>
            </w:r>
          </w:p>
        </w:tc>
      </w:tr>
      <w:tr w14:paraId="2617AB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 w:hRule="atLeast"/>
          <w:jc w:val="center"/>
        </w:trPr>
        <w:tc>
          <w:tcPr>
            <w:tcW w:w="678" w:type="dxa"/>
            <w:vMerge w:val="continue"/>
            <w:noWrap/>
            <w:vAlign w:val="center"/>
          </w:tcPr>
          <w:p w14:paraId="59B220D3">
            <w:pPr>
              <w:pStyle w:val="154"/>
              <w:spacing w:line="360" w:lineRule="atLeast"/>
              <w:jc w:val="center"/>
              <w:rPr>
                <w:rFonts w:hint="eastAsia" w:ascii="宋体" w:hAnsi="宋体" w:cs="宋体"/>
                <w:b/>
                <w:bCs/>
                <w:color w:val="000000"/>
                <w:sz w:val="21"/>
                <w:szCs w:val="21"/>
                <w:highlight w:val="none"/>
              </w:rPr>
            </w:pPr>
          </w:p>
        </w:tc>
        <w:tc>
          <w:tcPr>
            <w:tcW w:w="1149" w:type="dxa"/>
            <w:vMerge w:val="continue"/>
            <w:noWrap w:val="0"/>
            <w:vAlign w:val="center"/>
          </w:tcPr>
          <w:p w14:paraId="5D369C72">
            <w:pPr>
              <w:pStyle w:val="154"/>
              <w:spacing w:line="360" w:lineRule="atLeast"/>
              <w:jc w:val="center"/>
              <w:rPr>
                <w:rFonts w:hint="eastAsia" w:ascii="宋体" w:hAnsi="宋体" w:cs="宋体"/>
                <w:b/>
                <w:bCs/>
                <w:color w:val="000000"/>
                <w:sz w:val="21"/>
                <w:szCs w:val="21"/>
                <w:highlight w:val="none"/>
              </w:rPr>
            </w:pPr>
          </w:p>
        </w:tc>
        <w:tc>
          <w:tcPr>
            <w:tcW w:w="1041" w:type="dxa"/>
            <w:noWrap w:val="0"/>
            <w:vAlign w:val="center"/>
          </w:tcPr>
          <w:p w14:paraId="7EA7E012">
            <w:pPr>
              <w:spacing w:line="360" w:lineRule="atLeast"/>
              <w:rPr>
                <w:rFonts w:hint="eastAsia" w:ascii="宋体" w:hAnsi="宋体" w:eastAsia="宋体" w:cs="宋体"/>
                <w:kern w:val="2"/>
                <w:sz w:val="21"/>
                <w:szCs w:val="21"/>
                <w:highlight w:val="none"/>
                <w:lang w:val="en-US" w:eastAsia="zh-CN" w:bidi="ar-SA"/>
              </w:rPr>
            </w:pPr>
            <w:r>
              <w:rPr>
                <w:rFonts w:hint="eastAsia" w:ascii="宋体" w:hAnsi="宋体" w:cs="宋体"/>
                <w:kern w:val="2"/>
                <w:sz w:val="21"/>
                <w:szCs w:val="21"/>
                <w:highlight w:val="none"/>
                <w:lang w:val="en-US" w:eastAsia="zh-CN" w:bidi="ar-SA"/>
              </w:rPr>
              <w:t>自动加药</w:t>
            </w:r>
          </w:p>
        </w:tc>
        <w:tc>
          <w:tcPr>
            <w:tcW w:w="4507" w:type="dxa"/>
            <w:noWrap w:val="0"/>
            <w:vAlign w:val="center"/>
          </w:tcPr>
          <w:p w14:paraId="17AB75C2">
            <w:pPr>
              <w:jc w:val="left"/>
              <w:rPr>
                <w:rFonts w:hint="eastAsia" w:ascii="宋体" w:hAnsi="宋体" w:eastAsia="宋体" w:cs="宋体"/>
                <w:kern w:val="2"/>
                <w:sz w:val="21"/>
                <w:szCs w:val="21"/>
                <w:highlight w:val="none"/>
                <w:lang w:val="en-US" w:eastAsia="zh-CN" w:bidi="ar-SA"/>
              </w:rPr>
            </w:pPr>
            <w:r>
              <w:rPr>
                <w:rFonts w:hint="eastAsia" w:ascii="宋体" w:hAnsi="宋体" w:cs="宋体"/>
                <w:color w:val="000000"/>
                <w:sz w:val="21"/>
                <w:szCs w:val="21"/>
                <w:highlight w:val="none"/>
                <w:u w:val="none"/>
                <w:lang w:val="en-US" w:eastAsia="zh-CN"/>
              </w:rPr>
              <w:t>▲5.全自动加药口:具有自动化药物注入功能，可通过气体驱动药物传递，并自动混匀。每个样品孔配有</w:t>
            </w:r>
            <w:r>
              <w:rPr>
                <w:rFonts w:hint="eastAsia" w:ascii="宋体" w:hAnsi="宋体" w:cs="宋体"/>
                <w:color w:val="000000"/>
                <w:sz w:val="21"/>
                <w:szCs w:val="21"/>
                <w:highlight w:val="none"/>
                <w:u w:val="none"/>
                <w:lang w:eastAsia="zh-CN"/>
              </w:rPr>
              <w:t>≥</w:t>
            </w:r>
            <w:r>
              <w:rPr>
                <w:rFonts w:hint="eastAsia" w:ascii="宋体" w:hAnsi="宋体" w:cs="宋体"/>
                <w:color w:val="000000"/>
                <w:sz w:val="21"/>
                <w:szCs w:val="21"/>
                <w:highlight w:val="none"/>
                <w:u w:val="none"/>
                <w:lang w:val="en-US" w:eastAsia="zh-CN"/>
              </w:rPr>
              <w:t>3个全自动加药口，可在实验进程中定时、定量自动加入≥3种不同的研究介质或化合物；</w:t>
            </w:r>
          </w:p>
        </w:tc>
        <w:tc>
          <w:tcPr>
            <w:tcW w:w="1237" w:type="dxa"/>
            <w:noWrap/>
            <w:vAlign w:val="center"/>
          </w:tcPr>
          <w:p w14:paraId="45F11594">
            <w:pPr>
              <w:spacing w:line="360" w:lineRule="atLeast"/>
              <w:jc w:val="center"/>
              <w:rPr>
                <w:rFonts w:hint="eastAsia" w:ascii="宋体" w:hAnsi="宋体" w:eastAsia="宋体" w:cs="宋体"/>
                <w:color w:val="000000"/>
                <w:sz w:val="21"/>
                <w:szCs w:val="21"/>
                <w:highlight w:val="none"/>
                <w:lang w:val="en-US" w:eastAsia="zh-CN"/>
              </w:rPr>
            </w:pPr>
            <w:r>
              <w:rPr>
                <w:rFonts w:hint="eastAsia" w:ascii="宋体" w:hAnsi="宋体" w:cs="宋体"/>
                <w:kern w:val="2"/>
                <w:sz w:val="21"/>
                <w:szCs w:val="21"/>
                <w:highlight w:val="none"/>
                <w:lang w:val="en-US" w:eastAsia="zh-CN" w:bidi="ar-SA"/>
              </w:rPr>
              <w:t>每个样品孔加药口数量越多越好</w:t>
            </w:r>
          </w:p>
        </w:tc>
        <w:tc>
          <w:tcPr>
            <w:tcW w:w="899" w:type="dxa"/>
            <w:noWrap w:val="0"/>
            <w:vAlign w:val="center"/>
          </w:tcPr>
          <w:p w14:paraId="6233ACEB">
            <w:pPr>
              <w:pStyle w:val="154"/>
              <w:spacing w:line="360" w:lineRule="atLeast"/>
              <w:ind w:firstLine="0" w:firstLineChars="0"/>
              <w:jc w:val="center"/>
              <w:rPr>
                <w:rFonts w:hint="default" w:ascii="宋体" w:hAnsi="宋体" w:eastAsia="宋体" w:cs="宋体"/>
                <w:color w:val="000000"/>
                <w:kern w:val="2"/>
                <w:sz w:val="21"/>
                <w:szCs w:val="21"/>
                <w:highlight w:val="none"/>
                <w:lang w:val="en-US" w:eastAsia="zh-CN" w:bidi="ar-SA"/>
              </w:rPr>
            </w:pPr>
            <w:r>
              <w:rPr>
                <w:rFonts w:hint="eastAsia" w:ascii="宋体" w:hAnsi="宋体" w:cs="宋体"/>
                <w:color w:val="000000"/>
                <w:kern w:val="2"/>
                <w:sz w:val="21"/>
                <w:szCs w:val="21"/>
                <w:highlight w:val="none"/>
                <w:lang w:val="en-US" w:eastAsia="zh-CN" w:bidi="ar-SA"/>
              </w:rPr>
              <w:t>5.17分</w:t>
            </w:r>
          </w:p>
        </w:tc>
      </w:tr>
      <w:tr w14:paraId="468E55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 w:hRule="atLeast"/>
          <w:jc w:val="center"/>
        </w:trPr>
        <w:tc>
          <w:tcPr>
            <w:tcW w:w="678" w:type="dxa"/>
            <w:vMerge w:val="continue"/>
            <w:noWrap/>
            <w:vAlign w:val="center"/>
          </w:tcPr>
          <w:p w14:paraId="4875603E">
            <w:pPr>
              <w:pStyle w:val="154"/>
              <w:spacing w:line="360" w:lineRule="atLeast"/>
              <w:jc w:val="center"/>
              <w:rPr>
                <w:rFonts w:hint="eastAsia" w:ascii="宋体" w:hAnsi="宋体" w:cs="宋体"/>
                <w:b/>
                <w:bCs/>
                <w:color w:val="000000"/>
                <w:sz w:val="21"/>
                <w:szCs w:val="21"/>
                <w:highlight w:val="none"/>
              </w:rPr>
            </w:pPr>
          </w:p>
        </w:tc>
        <w:tc>
          <w:tcPr>
            <w:tcW w:w="1149" w:type="dxa"/>
            <w:vMerge w:val="continue"/>
            <w:noWrap w:val="0"/>
            <w:vAlign w:val="center"/>
          </w:tcPr>
          <w:p w14:paraId="01D27BAE">
            <w:pPr>
              <w:pStyle w:val="154"/>
              <w:spacing w:line="360" w:lineRule="atLeast"/>
              <w:jc w:val="center"/>
              <w:rPr>
                <w:rFonts w:hint="eastAsia" w:ascii="宋体" w:hAnsi="宋体" w:cs="宋体"/>
                <w:b/>
                <w:bCs/>
                <w:color w:val="000000"/>
                <w:sz w:val="21"/>
                <w:szCs w:val="21"/>
                <w:highlight w:val="none"/>
              </w:rPr>
            </w:pPr>
          </w:p>
        </w:tc>
        <w:tc>
          <w:tcPr>
            <w:tcW w:w="1041" w:type="dxa"/>
            <w:noWrap w:val="0"/>
            <w:vAlign w:val="center"/>
          </w:tcPr>
          <w:p w14:paraId="3D71C84E">
            <w:pPr>
              <w:spacing w:line="360" w:lineRule="atLeast"/>
              <w:rPr>
                <w:rFonts w:hint="eastAsia" w:ascii="宋体" w:hAnsi="宋体" w:eastAsia="宋体" w:cs="宋体"/>
                <w:kern w:val="2"/>
                <w:sz w:val="21"/>
                <w:szCs w:val="21"/>
                <w:highlight w:val="none"/>
                <w:lang w:val="en-US" w:eastAsia="zh-CN" w:bidi="ar-SA"/>
              </w:rPr>
            </w:pPr>
            <w:r>
              <w:rPr>
                <w:rFonts w:hint="eastAsia" w:ascii="宋体" w:hAnsi="宋体" w:cs="宋体"/>
                <w:kern w:val="2"/>
                <w:sz w:val="21"/>
                <w:szCs w:val="21"/>
                <w:highlight w:val="none"/>
                <w:lang w:val="en-US" w:eastAsia="zh-CN" w:bidi="ar-SA"/>
              </w:rPr>
              <w:t>数据采集</w:t>
            </w:r>
          </w:p>
        </w:tc>
        <w:tc>
          <w:tcPr>
            <w:tcW w:w="4507" w:type="dxa"/>
            <w:noWrap w:val="0"/>
            <w:vAlign w:val="center"/>
          </w:tcPr>
          <w:p w14:paraId="2D3BA41E">
            <w:pPr>
              <w:widowControl/>
              <w:jc w:val="left"/>
              <w:rPr>
                <w:rFonts w:hint="eastAsia" w:ascii="宋体" w:hAnsi="宋体" w:eastAsia="宋体" w:cs="宋体"/>
                <w:kern w:val="2"/>
                <w:sz w:val="21"/>
                <w:szCs w:val="21"/>
                <w:highlight w:val="none"/>
                <w:lang w:val="en-US" w:eastAsia="zh-CN" w:bidi="ar-SA"/>
              </w:rPr>
            </w:pPr>
            <w:r>
              <w:rPr>
                <w:rFonts w:hint="eastAsia" w:ascii="宋体" w:hAnsi="宋体" w:cs="宋体"/>
                <w:color w:val="000000"/>
                <w:sz w:val="21"/>
                <w:szCs w:val="21"/>
                <w:highlight w:val="none"/>
                <w:u w:val="none"/>
                <w:lang w:val="en-US" w:eastAsia="zh-CN"/>
              </w:rPr>
              <w:t>6.数据采集:可同时检测线粒体功能与无氧代谢，即时反应细胞生理状态变化，单次检测时间间隔≤20秒；</w:t>
            </w:r>
          </w:p>
        </w:tc>
        <w:tc>
          <w:tcPr>
            <w:tcW w:w="1237" w:type="dxa"/>
            <w:noWrap/>
            <w:vAlign w:val="center"/>
          </w:tcPr>
          <w:p w14:paraId="5BE93B64">
            <w:pPr>
              <w:spacing w:line="360" w:lineRule="atLeast"/>
              <w:jc w:val="center"/>
              <w:rPr>
                <w:rFonts w:hint="eastAsia" w:ascii="宋体" w:hAnsi="宋体" w:eastAsia="宋体" w:cs="宋体"/>
                <w:color w:val="000000"/>
                <w:sz w:val="21"/>
                <w:szCs w:val="21"/>
                <w:highlight w:val="none"/>
                <w:lang w:val="en-US" w:eastAsia="zh-CN"/>
              </w:rPr>
            </w:pPr>
            <w:r>
              <w:rPr>
                <w:rFonts w:hint="eastAsia" w:ascii="宋体" w:hAnsi="宋体" w:cs="宋体"/>
                <w:kern w:val="2"/>
                <w:sz w:val="21"/>
                <w:szCs w:val="21"/>
                <w:highlight w:val="none"/>
                <w:lang w:val="en-US" w:eastAsia="zh-CN" w:bidi="ar-SA"/>
              </w:rPr>
              <w:t>单次检测时间间隔越短越好</w:t>
            </w:r>
          </w:p>
        </w:tc>
        <w:tc>
          <w:tcPr>
            <w:tcW w:w="899" w:type="dxa"/>
            <w:noWrap w:val="0"/>
            <w:vAlign w:val="center"/>
          </w:tcPr>
          <w:p w14:paraId="03AC14D2">
            <w:pPr>
              <w:pStyle w:val="154"/>
              <w:spacing w:line="360" w:lineRule="atLeast"/>
              <w:ind w:firstLine="0" w:firstLineChars="0"/>
              <w:jc w:val="center"/>
              <w:rPr>
                <w:rFonts w:hint="default" w:ascii="宋体" w:hAnsi="宋体" w:eastAsia="宋体" w:cs="宋体"/>
                <w:color w:val="000000"/>
                <w:kern w:val="2"/>
                <w:sz w:val="21"/>
                <w:szCs w:val="21"/>
                <w:highlight w:val="none"/>
                <w:lang w:val="en-US" w:eastAsia="zh-CN" w:bidi="ar-SA"/>
              </w:rPr>
            </w:pPr>
            <w:r>
              <w:rPr>
                <w:rFonts w:hint="eastAsia" w:ascii="宋体" w:hAnsi="宋体" w:cs="宋体"/>
                <w:color w:val="000000"/>
                <w:kern w:val="2"/>
                <w:sz w:val="21"/>
                <w:szCs w:val="21"/>
                <w:highlight w:val="none"/>
                <w:lang w:val="en-US" w:eastAsia="zh-CN" w:bidi="ar-SA"/>
              </w:rPr>
              <w:t>3.45分</w:t>
            </w:r>
          </w:p>
        </w:tc>
      </w:tr>
      <w:tr w14:paraId="657700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 w:hRule="atLeast"/>
          <w:jc w:val="center"/>
        </w:trPr>
        <w:tc>
          <w:tcPr>
            <w:tcW w:w="678" w:type="dxa"/>
            <w:vMerge w:val="continue"/>
            <w:noWrap/>
            <w:vAlign w:val="center"/>
          </w:tcPr>
          <w:p w14:paraId="5C451AE8">
            <w:pPr>
              <w:pStyle w:val="154"/>
              <w:spacing w:line="360" w:lineRule="atLeast"/>
              <w:jc w:val="center"/>
              <w:rPr>
                <w:rFonts w:hint="eastAsia" w:ascii="宋体" w:hAnsi="宋体" w:cs="宋体"/>
                <w:b/>
                <w:bCs/>
                <w:color w:val="000000"/>
                <w:sz w:val="21"/>
                <w:szCs w:val="21"/>
                <w:highlight w:val="none"/>
              </w:rPr>
            </w:pPr>
          </w:p>
        </w:tc>
        <w:tc>
          <w:tcPr>
            <w:tcW w:w="1149" w:type="dxa"/>
            <w:vMerge w:val="continue"/>
            <w:noWrap w:val="0"/>
            <w:vAlign w:val="center"/>
          </w:tcPr>
          <w:p w14:paraId="5A28A29D">
            <w:pPr>
              <w:pStyle w:val="154"/>
              <w:spacing w:line="360" w:lineRule="atLeast"/>
              <w:jc w:val="center"/>
              <w:rPr>
                <w:rFonts w:hint="eastAsia" w:ascii="宋体" w:hAnsi="宋体" w:cs="宋体"/>
                <w:b/>
                <w:bCs/>
                <w:color w:val="000000"/>
                <w:sz w:val="21"/>
                <w:szCs w:val="21"/>
                <w:highlight w:val="none"/>
              </w:rPr>
            </w:pPr>
          </w:p>
        </w:tc>
        <w:tc>
          <w:tcPr>
            <w:tcW w:w="1041" w:type="dxa"/>
            <w:noWrap w:val="0"/>
            <w:vAlign w:val="center"/>
          </w:tcPr>
          <w:p w14:paraId="423DFCE0">
            <w:pPr>
              <w:spacing w:line="360" w:lineRule="atLeast"/>
              <w:rPr>
                <w:rFonts w:hint="eastAsia" w:ascii="宋体" w:hAnsi="宋体" w:eastAsia="宋体" w:cs="宋体"/>
                <w:kern w:val="2"/>
                <w:sz w:val="21"/>
                <w:szCs w:val="21"/>
                <w:highlight w:val="none"/>
                <w:lang w:val="en-US" w:eastAsia="zh-CN" w:bidi="ar-SA"/>
              </w:rPr>
            </w:pPr>
            <w:r>
              <w:rPr>
                <w:rFonts w:hint="eastAsia" w:ascii="宋体" w:hAnsi="宋体" w:cs="宋体"/>
                <w:kern w:val="2"/>
                <w:sz w:val="21"/>
                <w:szCs w:val="21"/>
                <w:highlight w:val="none"/>
                <w:lang w:val="en-US" w:eastAsia="zh-CN" w:bidi="ar-SA"/>
              </w:rPr>
              <w:t>底物反应</w:t>
            </w:r>
          </w:p>
        </w:tc>
        <w:tc>
          <w:tcPr>
            <w:tcW w:w="4507" w:type="dxa"/>
            <w:noWrap w:val="0"/>
            <w:vAlign w:val="center"/>
          </w:tcPr>
          <w:p w14:paraId="6CAB53CF">
            <w:pPr>
              <w:widowControl/>
              <w:jc w:val="left"/>
              <w:rPr>
                <w:rFonts w:hint="eastAsia" w:ascii="宋体" w:hAnsi="宋体" w:eastAsia="宋体" w:cs="宋体"/>
                <w:kern w:val="2"/>
                <w:sz w:val="21"/>
                <w:szCs w:val="21"/>
                <w:highlight w:val="none"/>
                <w:lang w:val="en-US" w:eastAsia="zh-CN" w:bidi="ar-SA"/>
              </w:rPr>
            </w:pPr>
            <w:r>
              <w:rPr>
                <w:rFonts w:hint="eastAsia" w:ascii="宋体" w:hAnsi="宋体" w:cs="宋体"/>
                <w:color w:val="000000"/>
                <w:sz w:val="21"/>
                <w:szCs w:val="21"/>
                <w:highlight w:val="none"/>
                <w:u w:val="none"/>
                <w:lang w:val="en-US" w:eastAsia="zh-CN"/>
              </w:rPr>
              <w:t>7.无需样品提取或标记，实时检测活细胞对底物、抑制剂及其他化合物的反应；</w:t>
            </w:r>
          </w:p>
        </w:tc>
        <w:tc>
          <w:tcPr>
            <w:tcW w:w="1237" w:type="dxa"/>
            <w:noWrap/>
            <w:vAlign w:val="center"/>
          </w:tcPr>
          <w:p w14:paraId="5C661AF7">
            <w:pPr>
              <w:spacing w:line="360" w:lineRule="atLeast"/>
              <w:jc w:val="center"/>
              <w:rPr>
                <w:rFonts w:hint="default" w:ascii="宋体" w:hAnsi="宋体" w:eastAsia="宋体" w:cs="宋体"/>
                <w:color w:val="000000"/>
                <w:sz w:val="21"/>
                <w:szCs w:val="21"/>
                <w:highlight w:val="none"/>
                <w:lang w:val="en-US" w:eastAsia="zh-CN"/>
              </w:rPr>
            </w:pPr>
          </w:p>
        </w:tc>
        <w:tc>
          <w:tcPr>
            <w:tcW w:w="899" w:type="dxa"/>
            <w:noWrap w:val="0"/>
            <w:vAlign w:val="center"/>
          </w:tcPr>
          <w:p w14:paraId="442DF751">
            <w:pPr>
              <w:pStyle w:val="154"/>
              <w:spacing w:line="360" w:lineRule="atLeast"/>
              <w:ind w:firstLine="0" w:firstLineChars="0"/>
              <w:jc w:val="center"/>
              <w:rPr>
                <w:rFonts w:hint="default" w:ascii="宋体" w:hAnsi="宋体" w:eastAsia="宋体" w:cs="宋体"/>
                <w:color w:val="000000"/>
                <w:kern w:val="2"/>
                <w:sz w:val="21"/>
                <w:szCs w:val="21"/>
                <w:highlight w:val="none"/>
                <w:lang w:val="en-US" w:eastAsia="zh-CN" w:bidi="ar-SA"/>
              </w:rPr>
            </w:pPr>
            <w:r>
              <w:rPr>
                <w:rFonts w:hint="eastAsia" w:ascii="宋体" w:hAnsi="宋体" w:cs="宋体"/>
                <w:color w:val="000000"/>
                <w:kern w:val="2"/>
                <w:sz w:val="21"/>
                <w:szCs w:val="21"/>
                <w:highlight w:val="none"/>
                <w:lang w:val="en-US" w:eastAsia="zh-CN" w:bidi="ar-SA"/>
              </w:rPr>
              <w:t>3.45分</w:t>
            </w:r>
          </w:p>
        </w:tc>
      </w:tr>
      <w:tr w14:paraId="024D88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 w:hRule="atLeast"/>
          <w:jc w:val="center"/>
        </w:trPr>
        <w:tc>
          <w:tcPr>
            <w:tcW w:w="678" w:type="dxa"/>
            <w:vMerge w:val="continue"/>
            <w:noWrap/>
            <w:vAlign w:val="center"/>
          </w:tcPr>
          <w:p w14:paraId="7222F911">
            <w:pPr>
              <w:pStyle w:val="154"/>
              <w:spacing w:line="360" w:lineRule="atLeast"/>
              <w:jc w:val="center"/>
              <w:rPr>
                <w:rFonts w:hint="eastAsia" w:ascii="宋体" w:hAnsi="宋体" w:cs="宋体"/>
                <w:b/>
                <w:bCs/>
                <w:color w:val="000000"/>
                <w:sz w:val="21"/>
                <w:szCs w:val="21"/>
                <w:highlight w:val="none"/>
              </w:rPr>
            </w:pPr>
          </w:p>
        </w:tc>
        <w:tc>
          <w:tcPr>
            <w:tcW w:w="1149" w:type="dxa"/>
            <w:vMerge w:val="continue"/>
            <w:noWrap w:val="0"/>
            <w:vAlign w:val="center"/>
          </w:tcPr>
          <w:p w14:paraId="58782174">
            <w:pPr>
              <w:pStyle w:val="154"/>
              <w:spacing w:line="360" w:lineRule="atLeast"/>
              <w:jc w:val="center"/>
              <w:rPr>
                <w:rFonts w:hint="eastAsia" w:ascii="宋体" w:hAnsi="宋体" w:cs="宋体"/>
                <w:b/>
                <w:bCs/>
                <w:color w:val="000000"/>
                <w:sz w:val="21"/>
                <w:szCs w:val="21"/>
                <w:highlight w:val="none"/>
              </w:rPr>
            </w:pPr>
          </w:p>
        </w:tc>
        <w:tc>
          <w:tcPr>
            <w:tcW w:w="1041" w:type="dxa"/>
            <w:noWrap w:val="0"/>
            <w:vAlign w:val="center"/>
          </w:tcPr>
          <w:p w14:paraId="6D797C47">
            <w:pPr>
              <w:spacing w:line="360" w:lineRule="atLeast"/>
              <w:rPr>
                <w:rFonts w:hint="eastAsia" w:ascii="宋体" w:hAnsi="宋体" w:eastAsia="宋体" w:cs="宋体"/>
                <w:kern w:val="2"/>
                <w:sz w:val="21"/>
                <w:szCs w:val="21"/>
                <w:highlight w:val="none"/>
                <w:lang w:val="en-US" w:eastAsia="zh-CN" w:bidi="ar-SA"/>
              </w:rPr>
            </w:pPr>
          </w:p>
        </w:tc>
        <w:tc>
          <w:tcPr>
            <w:tcW w:w="4507" w:type="dxa"/>
            <w:noWrap w:val="0"/>
            <w:vAlign w:val="center"/>
          </w:tcPr>
          <w:p w14:paraId="505383A6">
            <w:pPr>
              <w:widowControl/>
              <w:jc w:val="left"/>
              <w:rPr>
                <w:rFonts w:hint="eastAsia" w:ascii="宋体" w:hAnsi="宋体" w:eastAsia="宋体" w:cs="宋体"/>
                <w:kern w:val="2"/>
                <w:sz w:val="21"/>
                <w:szCs w:val="21"/>
                <w:highlight w:val="none"/>
                <w:lang w:val="en-US" w:eastAsia="zh-CN" w:bidi="ar-SA"/>
              </w:rPr>
            </w:pPr>
            <w:r>
              <w:rPr>
                <w:rFonts w:hint="eastAsia" w:ascii="宋体" w:hAnsi="宋体" w:cs="宋体"/>
                <w:color w:val="000000"/>
                <w:sz w:val="21"/>
                <w:szCs w:val="21"/>
                <w:highlight w:val="none"/>
                <w:u w:val="none"/>
                <w:lang w:val="en-US" w:eastAsia="zh-CN"/>
              </w:rPr>
              <w:t>8.有氧与无氧代谢检测分别具备独立反应底物，与样本不接触，对细胞生长状态无影响；</w:t>
            </w:r>
          </w:p>
        </w:tc>
        <w:tc>
          <w:tcPr>
            <w:tcW w:w="1237" w:type="dxa"/>
            <w:noWrap/>
            <w:vAlign w:val="center"/>
          </w:tcPr>
          <w:p w14:paraId="58015FD6">
            <w:pPr>
              <w:spacing w:line="360" w:lineRule="atLeast"/>
              <w:jc w:val="center"/>
              <w:rPr>
                <w:rFonts w:hint="eastAsia" w:ascii="宋体" w:hAnsi="宋体" w:eastAsia="宋体" w:cs="宋体"/>
                <w:color w:val="000000"/>
                <w:sz w:val="21"/>
                <w:szCs w:val="21"/>
                <w:highlight w:val="none"/>
                <w:lang w:val="en-US" w:eastAsia="zh-CN"/>
              </w:rPr>
            </w:pPr>
          </w:p>
        </w:tc>
        <w:tc>
          <w:tcPr>
            <w:tcW w:w="899" w:type="dxa"/>
            <w:noWrap w:val="0"/>
            <w:vAlign w:val="center"/>
          </w:tcPr>
          <w:p w14:paraId="15E702C2">
            <w:pPr>
              <w:pStyle w:val="154"/>
              <w:spacing w:line="360" w:lineRule="atLeast"/>
              <w:ind w:firstLine="0" w:firstLineChars="0"/>
              <w:jc w:val="center"/>
              <w:rPr>
                <w:rFonts w:hint="default" w:ascii="宋体" w:hAnsi="宋体" w:eastAsia="宋体" w:cs="宋体"/>
                <w:color w:val="000000"/>
                <w:kern w:val="2"/>
                <w:sz w:val="21"/>
                <w:szCs w:val="21"/>
                <w:highlight w:val="none"/>
                <w:lang w:val="en-US" w:eastAsia="zh-CN" w:bidi="ar-SA"/>
              </w:rPr>
            </w:pPr>
            <w:r>
              <w:rPr>
                <w:rFonts w:hint="eastAsia" w:ascii="宋体" w:hAnsi="宋体" w:cs="宋体"/>
                <w:color w:val="000000"/>
                <w:kern w:val="2"/>
                <w:sz w:val="21"/>
                <w:szCs w:val="21"/>
                <w:highlight w:val="none"/>
                <w:lang w:val="en-US" w:eastAsia="zh-CN" w:bidi="ar-SA"/>
              </w:rPr>
              <w:t>3.45分</w:t>
            </w:r>
          </w:p>
        </w:tc>
      </w:tr>
      <w:tr w14:paraId="6CAAFD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 w:hRule="atLeast"/>
          <w:jc w:val="center"/>
        </w:trPr>
        <w:tc>
          <w:tcPr>
            <w:tcW w:w="678" w:type="dxa"/>
            <w:vMerge w:val="continue"/>
            <w:noWrap/>
            <w:vAlign w:val="center"/>
          </w:tcPr>
          <w:p w14:paraId="32056972">
            <w:pPr>
              <w:pStyle w:val="154"/>
              <w:spacing w:line="360" w:lineRule="atLeast"/>
              <w:jc w:val="center"/>
              <w:rPr>
                <w:rFonts w:hint="eastAsia" w:ascii="宋体" w:hAnsi="宋体" w:cs="宋体"/>
                <w:b/>
                <w:bCs/>
                <w:color w:val="000000"/>
                <w:sz w:val="21"/>
                <w:szCs w:val="21"/>
                <w:highlight w:val="none"/>
              </w:rPr>
            </w:pPr>
          </w:p>
        </w:tc>
        <w:tc>
          <w:tcPr>
            <w:tcW w:w="1149" w:type="dxa"/>
            <w:vMerge w:val="continue"/>
            <w:noWrap w:val="0"/>
            <w:vAlign w:val="center"/>
          </w:tcPr>
          <w:p w14:paraId="52F731F0">
            <w:pPr>
              <w:pStyle w:val="154"/>
              <w:spacing w:line="360" w:lineRule="atLeast"/>
              <w:jc w:val="center"/>
              <w:rPr>
                <w:rFonts w:hint="eastAsia" w:ascii="宋体" w:hAnsi="宋体" w:cs="宋体"/>
                <w:b/>
                <w:bCs/>
                <w:color w:val="000000"/>
                <w:sz w:val="21"/>
                <w:szCs w:val="21"/>
                <w:highlight w:val="none"/>
              </w:rPr>
            </w:pPr>
          </w:p>
        </w:tc>
        <w:tc>
          <w:tcPr>
            <w:tcW w:w="1041" w:type="dxa"/>
            <w:noWrap w:val="0"/>
            <w:vAlign w:val="center"/>
          </w:tcPr>
          <w:p w14:paraId="39A37BCE">
            <w:pPr>
              <w:spacing w:line="360" w:lineRule="atLeast"/>
              <w:rPr>
                <w:rFonts w:hint="eastAsia" w:ascii="宋体" w:hAnsi="宋体" w:eastAsia="宋体" w:cs="宋体"/>
                <w:kern w:val="2"/>
                <w:sz w:val="21"/>
                <w:szCs w:val="21"/>
                <w:highlight w:val="none"/>
                <w:lang w:val="en-US" w:eastAsia="zh-CN" w:bidi="ar-SA"/>
              </w:rPr>
            </w:pPr>
            <w:r>
              <w:rPr>
                <w:rFonts w:hint="eastAsia" w:ascii="宋体" w:hAnsi="宋体" w:cs="宋体"/>
                <w:kern w:val="2"/>
                <w:sz w:val="21"/>
                <w:szCs w:val="21"/>
                <w:highlight w:val="none"/>
                <w:lang w:val="en-US" w:eastAsia="zh-CN" w:bidi="ar-SA"/>
              </w:rPr>
              <w:t>传感器</w:t>
            </w:r>
          </w:p>
        </w:tc>
        <w:tc>
          <w:tcPr>
            <w:tcW w:w="4507" w:type="dxa"/>
            <w:noWrap w:val="0"/>
            <w:vAlign w:val="center"/>
          </w:tcPr>
          <w:p w14:paraId="71D299F6">
            <w:pPr>
              <w:widowControl/>
              <w:jc w:val="left"/>
              <w:rPr>
                <w:rFonts w:hint="eastAsia" w:ascii="宋体" w:hAnsi="宋体" w:eastAsia="宋体" w:cs="宋体"/>
                <w:kern w:val="2"/>
                <w:sz w:val="21"/>
                <w:szCs w:val="21"/>
                <w:highlight w:val="none"/>
                <w:lang w:val="en-US" w:eastAsia="zh-CN" w:bidi="ar-SA"/>
              </w:rPr>
            </w:pPr>
            <w:r>
              <w:rPr>
                <w:rFonts w:hint="eastAsia" w:ascii="宋体" w:hAnsi="宋体" w:cs="宋体"/>
                <w:color w:val="000000"/>
                <w:sz w:val="21"/>
                <w:szCs w:val="21"/>
                <w:highlight w:val="none"/>
                <w:u w:val="none"/>
                <w:lang w:val="en-US" w:eastAsia="zh-CN"/>
              </w:rPr>
              <w:t>9.传感器:</w:t>
            </w:r>
            <w:r>
              <w:rPr>
                <w:rFonts w:hint="eastAsia" w:ascii="宋体" w:hAnsi="宋体" w:cs="宋体"/>
                <w:color w:val="000000"/>
                <w:sz w:val="21"/>
                <w:szCs w:val="21"/>
                <w:highlight w:val="none"/>
                <w:u w:val="none"/>
                <w:lang w:eastAsia="zh-CN"/>
              </w:rPr>
              <w:t>≥</w:t>
            </w:r>
            <w:r>
              <w:rPr>
                <w:rFonts w:hint="eastAsia" w:ascii="宋体" w:hAnsi="宋体" w:cs="宋体"/>
                <w:color w:val="000000"/>
                <w:sz w:val="21"/>
                <w:szCs w:val="21"/>
                <w:highlight w:val="none"/>
                <w:u w:val="none"/>
                <w:lang w:val="en-US" w:eastAsia="zh-CN"/>
              </w:rPr>
              <w:t>6个独立于各样品孔的固态光纤传感器；</w:t>
            </w:r>
          </w:p>
        </w:tc>
        <w:tc>
          <w:tcPr>
            <w:tcW w:w="1237" w:type="dxa"/>
            <w:noWrap/>
            <w:vAlign w:val="center"/>
          </w:tcPr>
          <w:p w14:paraId="6006A665">
            <w:pPr>
              <w:spacing w:line="360" w:lineRule="atLeast"/>
              <w:jc w:val="center"/>
              <w:rPr>
                <w:rFonts w:hint="eastAsia" w:ascii="宋体" w:hAnsi="宋体" w:eastAsia="宋体" w:cs="宋体"/>
                <w:color w:val="000000"/>
                <w:sz w:val="21"/>
                <w:szCs w:val="21"/>
                <w:highlight w:val="none"/>
                <w:lang w:val="en-US" w:eastAsia="zh-CN"/>
              </w:rPr>
            </w:pPr>
            <w:r>
              <w:rPr>
                <w:rFonts w:hint="eastAsia" w:ascii="宋体" w:hAnsi="宋体" w:cs="宋体"/>
                <w:kern w:val="2"/>
                <w:sz w:val="21"/>
                <w:szCs w:val="21"/>
                <w:highlight w:val="none"/>
                <w:lang w:val="en-US" w:eastAsia="zh-CN" w:bidi="ar-SA"/>
              </w:rPr>
              <w:t>传感器数量越多越好</w:t>
            </w:r>
          </w:p>
        </w:tc>
        <w:tc>
          <w:tcPr>
            <w:tcW w:w="899" w:type="dxa"/>
            <w:noWrap w:val="0"/>
            <w:vAlign w:val="center"/>
          </w:tcPr>
          <w:p w14:paraId="02E568EA">
            <w:pPr>
              <w:pStyle w:val="154"/>
              <w:spacing w:line="360" w:lineRule="atLeast"/>
              <w:ind w:firstLine="0" w:firstLineChars="0"/>
              <w:jc w:val="center"/>
              <w:rPr>
                <w:rFonts w:hint="default" w:ascii="宋体" w:hAnsi="宋体" w:eastAsia="宋体" w:cs="宋体"/>
                <w:color w:val="000000"/>
                <w:kern w:val="2"/>
                <w:sz w:val="21"/>
                <w:szCs w:val="21"/>
                <w:highlight w:val="none"/>
                <w:lang w:val="en-US" w:eastAsia="zh-CN" w:bidi="ar-SA"/>
              </w:rPr>
            </w:pPr>
            <w:r>
              <w:rPr>
                <w:rFonts w:hint="eastAsia" w:ascii="宋体" w:hAnsi="宋体" w:cs="宋体"/>
                <w:color w:val="000000"/>
                <w:kern w:val="2"/>
                <w:sz w:val="21"/>
                <w:szCs w:val="21"/>
                <w:highlight w:val="none"/>
                <w:lang w:val="en-US" w:eastAsia="zh-CN" w:bidi="ar-SA"/>
              </w:rPr>
              <w:t>3.45分</w:t>
            </w:r>
          </w:p>
        </w:tc>
      </w:tr>
      <w:tr w14:paraId="720918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 w:hRule="atLeast"/>
          <w:jc w:val="center"/>
        </w:trPr>
        <w:tc>
          <w:tcPr>
            <w:tcW w:w="678" w:type="dxa"/>
            <w:vMerge w:val="continue"/>
            <w:noWrap/>
            <w:vAlign w:val="center"/>
          </w:tcPr>
          <w:p w14:paraId="34FB5F1E">
            <w:pPr>
              <w:pStyle w:val="154"/>
              <w:spacing w:line="360" w:lineRule="atLeast"/>
              <w:jc w:val="center"/>
              <w:rPr>
                <w:rFonts w:hint="eastAsia" w:ascii="宋体" w:hAnsi="宋体" w:cs="宋体"/>
                <w:b/>
                <w:bCs/>
                <w:color w:val="000000"/>
                <w:sz w:val="21"/>
                <w:szCs w:val="21"/>
                <w:highlight w:val="none"/>
              </w:rPr>
            </w:pPr>
          </w:p>
        </w:tc>
        <w:tc>
          <w:tcPr>
            <w:tcW w:w="1149" w:type="dxa"/>
            <w:vMerge w:val="continue"/>
            <w:noWrap w:val="0"/>
            <w:vAlign w:val="center"/>
          </w:tcPr>
          <w:p w14:paraId="50E4875C">
            <w:pPr>
              <w:pStyle w:val="154"/>
              <w:spacing w:line="360" w:lineRule="atLeast"/>
              <w:jc w:val="center"/>
              <w:rPr>
                <w:rFonts w:hint="eastAsia" w:ascii="宋体" w:hAnsi="宋体" w:cs="宋体"/>
                <w:b/>
                <w:bCs/>
                <w:color w:val="000000"/>
                <w:sz w:val="21"/>
                <w:szCs w:val="21"/>
                <w:highlight w:val="none"/>
              </w:rPr>
            </w:pPr>
          </w:p>
        </w:tc>
        <w:tc>
          <w:tcPr>
            <w:tcW w:w="1041" w:type="dxa"/>
            <w:noWrap w:val="0"/>
            <w:vAlign w:val="center"/>
          </w:tcPr>
          <w:p w14:paraId="28048872">
            <w:pPr>
              <w:spacing w:line="360" w:lineRule="atLeast"/>
              <w:rPr>
                <w:rFonts w:hint="eastAsia" w:ascii="宋体" w:hAnsi="宋体" w:eastAsia="宋体" w:cs="宋体"/>
                <w:kern w:val="2"/>
                <w:sz w:val="21"/>
                <w:szCs w:val="21"/>
                <w:highlight w:val="none"/>
                <w:lang w:val="en-US" w:eastAsia="zh-CN" w:bidi="ar-SA"/>
              </w:rPr>
            </w:pPr>
            <w:r>
              <w:rPr>
                <w:rFonts w:hint="eastAsia" w:ascii="宋体" w:hAnsi="宋体" w:cs="宋体"/>
                <w:kern w:val="2"/>
                <w:sz w:val="21"/>
                <w:szCs w:val="21"/>
                <w:highlight w:val="none"/>
                <w:lang w:val="en-US" w:eastAsia="zh-CN" w:bidi="ar-SA"/>
              </w:rPr>
              <w:t>微室体积</w:t>
            </w:r>
          </w:p>
        </w:tc>
        <w:tc>
          <w:tcPr>
            <w:tcW w:w="4507" w:type="dxa"/>
            <w:noWrap w:val="0"/>
            <w:vAlign w:val="center"/>
          </w:tcPr>
          <w:p w14:paraId="7DCBC842">
            <w:pPr>
              <w:widowControl/>
              <w:jc w:val="left"/>
              <w:rPr>
                <w:rFonts w:hint="eastAsia" w:ascii="宋体" w:hAnsi="宋体" w:eastAsia="宋体" w:cs="宋体"/>
                <w:kern w:val="2"/>
                <w:sz w:val="21"/>
                <w:szCs w:val="21"/>
                <w:highlight w:val="none"/>
                <w:lang w:val="en-US" w:eastAsia="zh-CN" w:bidi="ar-SA"/>
              </w:rPr>
            </w:pPr>
            <w:r>
              <w:rPr>
                <w:rFonts w:hint="eastAsia" w:ascii="宋体" w:hAnsi="宋体" w:cs="宋体"/>
                <w:color w:val="000000"/>
                <w:sz w:val="21"/>
                <w:szCs w:val="21"/>
                <w:highlight w:val="none"/>
                <w:u w:val="none"/>
                <w:lang w:val="en-US" w:eastAsia="zh-CN"/>
              </w:rPr>
              <w:t>10.微室体积:≤3uL；体积越小培养基中氧和质子浓度变化越快速与明显，可为检测代谢提供更加出色灵敏度。</w:t>
            </w:r>
          </w:p>
        </w:tc>
        <w:tc>
          <w:tcPr>
            <w:tcW w:w="1237" w:type="dxa"/>
            <w:noWrap/>
            <w:vAlign w:val="center"/>
          </w:tcPr>
          <w:p w14:paraId="6BB24F56">
            <w:pPr>
              <w:spacing w:line="360" w:lineRule="atLeast"/>
              <w:jc w:val="center"/>
              <w:rPr>
                <w:rFonts w:hint="eastAsia" w:ascii="宋体" w:hAnsi="宋体" w:eastAsia="宋体" w:cs="宋体"/>
                <w:color w:val="000000"/>
                <w:sz w:val="21"/>
                <w:szCs w:val="21"/>
                <w:highlight w:val="none"/>
                <w:lang w:val="en-US" w:eastAsia="zh-CN"/>
              </w:rPr>
            </w:pPr>
            <w:r>
              <w:rPr>
                <w:rFonts w:hint="eastAsia" w:ascii="宋体" w:hAnsi="宋体" w:cs="宋体"/>
                <w:kern w:val="2"/>
                <w:sz w:val="21"/>
                <w:szCs w:val="21"/>
                <w:highlight w:val="none"/>
                <w:lang w:val="en-US" w:eastAsia="zh-CN" w:bidi="ar-SA"/>
              </w:rPr>
              <w:t>微室体积越小越好</w:t>
            </w:r>
          </w:p>
        </w:tc>
        <w:tc>
          <w:tcPr>
            <w:tcW w:w="899" w:type="dxa"/>
            <w:noWrap w:val="0"/>
            <w:vAlign w:val="center"/>
          </w:tcPr>
          <w:p w14:paraId="504189C2">
            <w:pPr>
              <w:pStyle w:val="154"/>
              <w:spacing w:line="360" w:lineRule="atLeast"/>
              <w:ind w:firstLine="0" w:firstLineChars="0"/>
              <w:jc w:val="center"/>
              <w:rPr>
                <w:rFonts w:hint="default" w:ascii="宋体" w:hAnsi="宋体" w:eastAsia="宋体" w:cs="宋体"/>
                <w:color w:val="000000"/>
                <w:kern w:val="2"/>
                <w:sz w:val="21"/>
                <w:szCs w:val="21"/>
                <w:highlight w:val="none"/>
                <w:lang w:val="en-US" w:eastAsia="zh-CN" w:bidi="ar-SA"/>
              </w:rPr>
            </w:pPr>
            <w:r>
              <w:rPr>
                <w:rFonts w:hint="eastAsia" w:ascii="宋体" w:hAnsi="宋体" w:cs="宋体"/>
                <w:color w:val="000000"/>
                <w:kern w:val="2"/>
                <w:sz w:val="21"/>
                <w:szCs w:val="21"/>
                <w:highlight w:val="none"/>
                <w:lang w:val="en-US" w:eastAsia="zh-CN" w:bidi="ar-SA"/>
              </w:rPr>
              <w:t>3.45分</w:t>
            </w:r>
          </w:p>
        </w:tc>
      </w:tr>
      <w:tr w14:paraId="760EB2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 w:hRule="atLeast"/>
          <w:jc w:val="center"/>
        </w:trPr>
        <w:tc>
          <w:tcPr>
            <w:tcW w:w="678" w:type="dxa"/>
            <w:vMerge w:val="continue"/>
            <w:noWrap/>
            <w:vAlign w:val="center"/>
          </w:tcPr>
          <w:p w14:paraId="5057B7F9">
            <w:pPr>
              <w:pStyle w:val="154"/>
              <w:spacing w:line="360" w:lineRule="atLeast"/>
              <w:jc w:val="center"/>
              <w:rPr>
                <w:rFonts w:hint="eastAsia" w:ascii="宋体" w:hAnsi="宋体" w:cs="宋体"/>
                <w:b/>
                <w:bCs/>
                <w:color w:val="000000"/>
                <w:sz w:val="21"/>
                <w:szCs w:val="21"/>
                <w:highlight w:val="none"/>
              </w:rPr>
            </w:pPr>
          </w:p>
        </w:tc>
        <w:tc>
          <w:tcPr>
            <w:tcW w:w="1149" w:type="dxa"/>
            <w:vMerge w:val="continue"/>
            <w:noWrap w:val="0"/>
            <w:vAlign w:val="center"/>
          </w:tcPr>
          <w:p w14:paraId="7ED97BDA">
            <w:pPr>
              <w:pStyle w:val="154"/>
              <w:spacing w:line="360" w:lineRule="atLeast"/>
              <w:jc w:val="center"/>
              <w:rPr>
                <w:rFonts w:hint="eastAsia" w:ascii="宋体" w:hAnsi="宋体" w:cs="宋体"/>
                <w:b/>
                <w:bCs/>
                <w:color w:val="000000"/>
                <w:sz w:val="21"/>
                <w:szCs w:val="21"/>
                <w:highlight w:val="none"/>
              </w:rPr>
            </w:pPr>
          </w:p>
        </w:tc>
        <w:tc>
          <w:tcPr>
            <w:tcW w:w="1041" w:type="dxa"/>
            <w:noWrap w:val="0"/>
            <w:vAlign w:val="center"/>
          </w:tcPr>
          <w:p w14:paraId="5D85706C">
            <w:pPr>
              <w:spacing w:line="360" w:lineRule="atLeast"/>
              <w:rPr>
                <w:rFonts w:hint="eastAsia" w:ascii="宋体" w:hAnsi="宋体" w:eastAsia="宋体" w:cs="宋体"/>
                <w:kern w:val="2"/>
                <w:sz w:val="21"/>
                <w:szCs w:val="21"/>
                <w:highlight w:val="none"/>
                <w:lang w:val="en-US" w:eastAsia="zh-CN" w:bidi="ar-SA"/>
              </w:rPr>
            </w:pPr>
            <w:r>
              <w:rPr>
                <w:rFonts w:hint="eastAsia" w:ascii="宋体" w:hAnsi="宋体" w:cs="宋体"/>
                <w:kern w:val="2"/>
                <w:sz w:val="21"/>
                <w:szCs w:val="21"/>
                <w:highlight w:val="none"/>
                <w:lang w:val="en-US" w:eastAsia="zh-CN" w:bidi="ar-SA"/>
              </w:rPr>
              <w:t>样品类型</w:t>
            </w:r>
          </w:p>
        </w:tc>
        <w:tc>
          <w:tcPr>
            <w:tcW w:w="4507" w:type="dxa"/>
            <w:noWrap w:val="0"/>
            <w:vAlign w:val="center"/>
          </w:tcPr>
          <w:p w14:paraId="247B9B3B">
            <w:pPr>
              <w:widowControl/>
              <w:jc w:val="left"/>
              <w:rPr>
                <w:rFonts w:hint="eastAsia" w:ascii="宋体" w:hAnsi="宋体" w:eastAsia="宋体" w:cs="宋体"/>
                <w:kern w:val="2"/>
                <w:sz w:val="21"/>
                <w:szCs w:val="21"/>
                <w:highlight w:val="none"/>
                <w:lang w:val="en-US" w:eastAsia="zh-CN" w:bidi="ar-SA"/>
              </w:rPr>
            </w:pPr>
            <w:r>
              <w:rPr>
                <w:rFonts w:hint="eastAsia" w:ascii="宋体" w:hAnsi="宋体" w:cs="宋体"/>
                <w:color w:val="000000"/>
                <w:sz w:val="21"/>
                <w:szCs w:val="21"/>
                <w:highlight w:val="none"/>
                <w:u w:val="none"/>
                <w:lang w:val="en-US" w:eastAsia="zh-CN"/>
              </w:rPr>
              <w:t>11.样品类型:各类悬浮细胞、贴壁细胞、分离线粒体样品等；</w:t>
            </w:r>
          </w:p>
        </w:tc>
        <w:tc>
          <w:tcPr>
            <w:tcW w:w="1237" w:type="dxa"/>
            <w:noWrap/>
            <w:vAlign w:val="center"/>
          </w:tcPr>
          <w:p w14:paraId="3A5FC331">
            <w:pPr>
              <w:spacing w:line="360" w:lineRule="atLeast"/>
              <w:jc w:val="center"/>
              <w:rPr>
                <w:rFonts w:hint="eastAsia" w:ascii="宋体" w:hAnsi="宋体" w:eastAsia="宋体" w:cs="宋体"/>
                <w:color w:val="000000"/>
                <w:sz w:val="21"/>
                <w:szCs w:val="21"/>
                <w:highlight w:val="none"/>
                <w:lang w:val="en-US" w:eastAsia="zh-CN"/>
              </w:rPr>
            </w:pPr>
          </w:p>
        </w:tc>
        <w:tc>
          <w:tcPr>
            <w:tcW w:w="899" w:type="dxa"/>
            <w:noWrap w:val="0"/>
            <w:vAlign w:val="center"/>
          </w:tcPr>
          <w:p w14:paraId="615872BC">
            <w:pPr>
              <w:pStyle w:val="154"/>
              <w:spacing w:line="360" w:lineRule="atLeast"/>
              <w:ind w:firstLine="0" w:firstLineChars="0"/>
              <w:jc w:val="center"/>
              <w:rPr>
                <w:rFonts w:hint="default" w:ascii="宋体" w:hAnsi="宋体" w:eastAsia="宋体" w:cs="宋体"/>
                <w:color w:val="000000"/>
                <w:kern w:val="2"/>
                <w:sz w:val="21"/>
                <w:szCs w:val="21"/>
                <w:highlight w:val="none"/>
                <w:lang w:val="en-US" w:eastAsia="zh-CN" w:bidi="ar-SA"/>
              </w:rPr>
            </w:pPr>
            <w:r>
              <w:rPr>
                <w:rFonts w:hint="eastAsia" w:ascii="宋体" w:hAnsi="宋体" w:cs="宋体"/>
                <w:color w:val="000000"/>
                <w:kern w:val="2"/>
                <w:sz w:val="21"/>
                <w:szCs w:val="21"/>
                <w:highlight w:val="none"/>
                <w:lang w:val="en-US" w:eastAsia="zh-CN" w:bidi="ar-SA"/>
              </w:rPr>
              <w:t>3.45分</w:t>
            </w:r>
          </w:p>
        </w:tc>
      </w:tr>
      <w:tr w14:paraId="05B0FF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78" w:type="dxa"/>
            <w:vMerge w:val="restart"/>
            <w:noWrap/>
            <w:vAlign w:val="center"/>
          </w:tcPr>
          <w:p w14:paraId="1E7CC8E3">
            <w:pPr>
              <w:pStyle w:val="154"/>
              <w:spacing w:line="360" w:lineRule="atLeast"/>
              <w:jc w:val="center"/>
              <w:rPr>
                <w:rFonts w:hint="eastAsia"/>
                <w:color w:val="000000"/>
                <w:highlight w:val="none"/>
              </w:rPr>
            </w:pPr>
            <w:r>
              <w:rPr>
                <w:rFonts w:hint="eastAsia"/>
                <w:color w:val="000000"/>
                <w:highlight w:val="none"/>
              </w:rPr>
              <w:t>三</w:t>
            </w:r>
          </w:p>
        </w:tc>
        <w:tc>
          <w:tcPr>
            <w:tcW w:w="1149" w:type="dxa"/>
            <w:vMerge w:val="restart"/>
            <w:noWrap w:val="0"/>
            <w:vAlign w:val="center"/>
          </w:tcPr>
          <w:p w14:paraId="61A1C457">
            <w:pPr>
              <w:pStyle w:val="154"/>
              <w:spacing w:line="360" w:lineRule="atLeast"/>
              <w:jc w:val="center"/>
              <w:rPr>
                <w:rFonts w:hint="eastAsia" w:ascii="宋体" w:hAnsi="宋体" w:cs="宋体"/>
                <w:color w:val="000000"/>
                <w:sz w:val="21"/>
                <w:szCs w:val="21"/>
                <w:highlight w:val="none"/>
              </w:rPr>
            </w:pPr>
            <w:r>
              <w:rPr>
                <w:rFonts w:hint="eastAsia" w:ascii="宋体" w:hAnsi="宋体" w:cs="宋体"/>
                <w:color w:val="000000"/>
                <w:sz w:val="21"/>
                <w:szCs w:val="21"/>
                <w:highlight w:val="none"/>
              </w:rPr>
              <w:t>售后服务</w:t>
            </w:r>
          </w:p>
        </w:tc>
        <w:tc>
          <w:tcPr>
            <w:tcW w:w="6785" w:type="dxa"/>
            <w:gridSpan w:val="3"/>
            <w:noWrap w:val="0"/>
            <w:vAlign w:val="center"/>
          </w:tcPr>
          <w:p w14:paraId="4AC36D9A">
            <w:pPr>
              <w:spacing w:line="360" w:lineRule="atLeast"/>
              <w:rPr>
                <w:rFonts w:hint="eastAsia" w:ascii="宋体" w:hAnsi="宋体" w:cs="宋体"/>
                <w:color w:val="000000"/>
                <w:sz w:val="21"/>
                <w:szCs w:val="21"/>
                <w:highlight w:val="none"/>
              </w:rPr>
            </w:pPr>
            <w:r>
              <w:rPr>
                <w:rFonts w:hint="eastAsia" w:ascii="宋体" w:hAnsi="宋体" w:cs="宋体"/>
                <w:color w:val="000000"/>
                <w:sz w:val="21"/>
                <w:szCs w:val="21"/>
                <w:highlight w:val="none"/>
              </w:rPr>
              <w:t>1.免费保修期：在满足</w:t>
            </w:r>
            <w:r>
              <w:rPr>
                <w:rFonts w:hint="eastAsia" w:ascii="宋体" w:hAnsi="宋体" w:cs="宋体"/>
                <w:color w:val="000000"/>
                <w:sz w:val="21"/>
                <w:szCs w:val="21"/>
                <w:highlight w:val="none"/>
                <w:lang w:eastAsia="zh-CN"/>
              </w:rPr>
              <w:t>竞争性谈判文件</w:t>
            </w:r>
            <w:r>
              <w:rPr>
                <w:rFonts w:hint="eastAsia" w:ascii="宋体" w:hAnsi="宋体" w:cs="宋体"/>
                <w:color w:val="000000"/>
                <w:sz w:val="21"/>
                <w:szCs w:val="21"/>
                <w:highlight w:val="none"/>
              </w:rPr>
              <w:t>要求的基础上，每增加6个月得0.5分，最多得3分，不符合</w:t>
            </w:r>
            <w:r>
              <w:rPr>
                <w:rFonts w:hint="eastAsia" w:ascii="宋体" w:hAnsi="宋体" w:cs="宋体"/>
                <w:color w:val="000000"/>
                <w:sz w:val="21"/>
                <w:szCs w:val="21"/>
                <w:highlight w:val="none"/>
                <w:lang w:eastAsia="zh-CN"/>
              </w:rPr>
              <w:t>竞争性谈判文件</w:t>
            </w:r>
            <w:r>
              <w:rPr>
                <w:rFonts w:hint="eastAsia" w:ascii="宋体" w:hAnsi="宋体" w:cs="宋体"/>
                <w:color w:val="000000"/>
                <w:sz w:val="21"/>
                <w:szCs w:val="21"/>
                <w:highlight w:val="none"/>
              </w:rPr>
              <w:t>要求按无效投标处理。（未履行保修承诺的，相关企业将列入黑名单。）</w:t>
            </w:r>
          </w:p>
        </w:tc>
        <w:tc>
          <w:tcPr>
            <w:tcW w:w="899" w:type="dxa"/>
            <w:noWrap/>
            <w:vAlign w:val="center"/>
          </w:tcPr>
          <w:p w14:paraId="0B6E86EB">
            <w:pPr>
              <w:spacing w:line="360" w:lineRule="atLeast"/>
              <w:jc w:val="center"/>
              <w:rPr>
                <w:rFonts w:hint="eastAsia" w:ascii="宋体" w:hAnsi="宋体" w:cs="宋体"/>
                <w:color w:val="000000"/>
                <w:sz w:val="21"/>
                <w:szCs w:val="21"/>
                <w:highlight w:val="none"/>
              </w:rPr>
            </w:pPr>
            <w:r>
              <w:rPr>
                <w:rFonts w:hint="eastAsia" w:ascii="宋体" w:hAnsi="宋体" w:cs="宋体"/>
                <w:color w:val="000000"/>
                <w:sz w:val="21"/>
                <w:szCs w:val="21"/>
                <w:highlight w:val="none"/>
              </w:rPr>
              <w:t>3分</w:t>
            </w:r>
          </w:p>
        </w:tc>
      </w:tr>
      <w:tr w14:paraId="42578C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78" w:type="dxa"/>
            <w:vMerge w:val="continue"/>
            <w:noWrap/>
            <w:vAlign w:val="center"/>
          </w:tcPr>
          <w:p w14:paraId="721AC7CC">
            <w:pPr>
              <w:pStyle w:val="154"/>
              <w:spacing w:line="360" w:lineRule="atLeast"/>
              <w:jc w:val="center"/>
              <w:rPr>
                <w:color w:val="000000"/>
                <w:highlight w:val="none"/>
              </w:rPr>
            </w:pPr>
          </w:p>
        </w:tc>
        <w:tc>
          <w:tcPr>
            <w:tcW w:w="1149" w:type="dxa"/>
            <w:vMerge w:val="continue"/>
            <w:noWrap w:val="0"/>
            <w:vAlign w:val="center"/>
          </w:tcPr>
          <w:p w14:paraId="0ED97F74">
            <w:pPr>
              <w:pStyle w:val="154"/>
              <w:spacing w:line="360" w:lineRule="atLeast"/>
              <w:jc w:val="center"/>
              <w:rPr>
                <w:rFonts w:hint="eastAsia" w:ascii="宋体" w:hAnsi="宋体" w:cs="宋体"/>
                <w:color w:val="000000"/>
                <w:sz w:val="21"/>
                <w:szCs w:val="21"/>
                <w:highlight w:val="none"/>
              </w:rPr>
            </w:pPr>
          </w:p>
        </w:tc>
        <w:tc>
          <w:tcPr>
            <w:tcW w:w="6785" w:type="dxa"/>
            <w:gridSpan w:val="3"/>
            <w:noWrap w:val="0"/>
            <w:vAlign w:val="center"/>
          </w:tcPr>
          <w:p w14:paraId="3CCFFBCF">
            <w:pPr>
              <w:spacing w:line="360" w:lineRule="atLeast"/>
              <w:rPr>
                <w:rFonts w:hint="eastAsia" w:ascii="宋体" w:hAnsi="宋体" w:cs="宋体"/>
                <w:color w:val="000000"/>
                <w:sz w:val="21"/>
                <w:szCs w:val="21"/>
                <w:highlight w:val="none"/>
              </w:rPr>
            </w:pPr>
            <w:r>
              <w:rPr>
                <w:rFonts w:hint="eastAsia" w:ascii="宋体" w:hAnsi="宋体" w:cs="宋体"/>
                <w:color w:val="000000"/>
                <w:sz w:val="21"/>
                <w:szCs w:val="21"/>
                <w:highlight w:val="none"/>
              </w:rPr>
              <w:t>2.零配件支持：提供零配件全国统一报价，采购单位更换配件价格不超过统一报价的70%。在满足此要求的基础上，根据主要零配件价格排名，报价最低的得2分，其余排名依次按25%递减，最低得0分。三分之二及以上技术专家认为报价不合理的得0分。</w:t>
            </w:r>
          </w:p>
        </w:tc>
        <w:tc>
          <w:tcPr>
            <w:tcW w:w="899" w:type="dxa"/>
            <w:noWrap/>
            <w:vAlign w:val="center"/>
          </w:tcPr>
          <w:p w14:paraId="6FDEBB44">
            <w:pPr>
              <w:spacing w:line="360" w:lineRule="atLeast"/>
              <w:jc w:val="center"/>
              <w:rPr>
                <w:rFonts w:hint="eastAsia" w:ascii="宋体" w:hAnsi="宋体" w:cs="宋体"/>
                <w:color w:val="000000"/>
                <w:sz w:val="21"/>
                <w:szCs w:val="21"/>
                <w:highlight w:val="none"/>
              </w:rPr>
            </w:pPr>
            <w:r>
              <w:rPr>
                <w:rFonts w:hint="eastAsia" w:ascii="宋体" w:hAnsi="宋体" w:cs="宋体"/>
                <w:color w:val="000000"/>
                <w:sz w:val="21"/>
                <w:szCs w:val="21"/>
                <w:highlight w:val="none"/>
              </w:rPr>
              <w:t>2分</w:t>
            </w:r>
          </w:p>
        </w:tc>
      </w:tr>
      <w:tr w14:paraId="3D27B7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78" w:type="dxa"/>
            <w:vMerge w:val="continue"/>
            <w:noWrap/>
            <w:vAlign w:val="center"/>
          </w:tcPr>
          <w:p w14:paraId="5A3449BC">
            <w:pPr>
              <w:pStyle w:val="154"/>
              <w:spacing w:line="360" w:lineRule="atLeast"/>
              <w:jc w:val="center"/>
              <w:rPr>
                <w:color w:val="000000"/>
                <w:highlight w:val="none"/>
              </w:rPr>
            </w:pPr>
          </w:p>
        </w:tc>
        <w:tc>
          <w:tcPr>
            <w:tcW w:w="1149" w:type="dxa"/>
            <w:vMerge w:val="continue"/>
            <w:noWrap w:val="0"/>
            <w:vAlign w:val="center"/>
          </w:tcPr>
          <w:p w14:paraId="18D94F12">
            <w:pPr>
              <w:pStyle w:val="154"/>
              <w:spacing w:line="360" w:lineRule="atLeast"/>
              <w:jc w:val="center"/>
              <w:rPr>
                <w:rFonts w:hint="eastAsia" w:ascii="宋体" w:hAnsi="宋体" w:cs="宋体"/>
                <w:color w:val="000000"/>
                <w:sz w:val="21"/>
                <w:szCs w:val="21"/>
                <w:highlight w:val="none"/>
              </w:rPr>
            </w:pPr>
          </w:p>
        </w:tc>
        <w:tc>
          <w:tcPr>
            <w:tcW w:w="6785" w:type="dxa"/>
            <w:gridSpan w:val="3"/>
            <w:noWrap w:val="0"/>
            <w:vAlign w:val="center"/>
          </w:tcPr>
          <w:p w14:paraId="11472D7E">
            <w:pPr>
              <w:spacing w:line="360" w:lineRule="atLeast"/>
              <w:rPr>
                <w:rFonts w:hint="eastAsia" w:ascii="宋体" w:hAnsi="宋体" w:cs="宋体"/>
                <w:color w:val="000000"/>
                <w:sz w:val="21"/>
                <w:szCs w:val="21"/>
                <w:highlight w:val="none"/>
              </w:rPr>
            </w:pPr>
            <w:r>
              <w:rPr>
                <w:rFonts w:hint="eastAsia" w:ascii="宋体" w:hAnsi="宋体" w:cs="宋体"/>
                <w:color w:val="000000"/>
                <w:sz w:val="21"/>
                <w:szCs w:val="21"/>
                <w:highlight w:val="none"/>
              </w:rPr>
              <w:t>3.零配件保证供应时间：按照投标产品制造商承诺的零配件保证供应时间长短排名，时间最长的得1分，依次递减0.2分，最低得0分。</w:t>
            </w:r>
          </w:p>
        </w:tc>
        <w:tc>
          <w:tcPr>
            <w:tcW w:w="899" w:type="dxa"/>
            <w:noWrap/>
            <w:vAlign w:val="center"/>
          </w:tcPr>
          <w:p w14:paraId="32E36709">
            <w:pPr>
              <w:spacing w:line="360" w:lineRule="atLeast"/>
              <w:jc w:val="center"/>
              <w:rPr>
                <w:rFonts w:hint="eastAsia" w:ascii="宋体" w:hAnsi="宋体" w:cs="宋体"/>
                <w:color w:val="000000"/>
                <w:sz w:val="21"/>
                <w:szCs w:val="21"/>
                <w:highlight w:val="none"/>
              </w:rPr>
            </w:pPr>
            <w:r>
              <w:rPr>
                <w:rFonts w:hint="eastAsia" w:ascii="宋体" w:hAnsi="宋体" w:cs="宋体"/>
                <w:color w:val="000000"/>
                <w:sz w:val="21"/>
                <w:szCs w:val="21"/>
                <w:highlight w:val="none"/>
              </w:rPr>
              <w:t>1分</w:t>
            </w:r>
          </w:p>
        </w:tc>
      </w:tr>
      <w:tr w14:paraId="3D3E6A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78" w:type="dxa"/>
            <w:vMerge w:val="continue"/>
            <w:noWrap/>
            <w:vAlign w:val="center"/>
          </w:tcPr>
          <w:p w14:paraId="29901E54">
            <w:pPr>
              <w:pStyle w:val="154"/>
              <w:spacing w:line="360" w:lineRule="atLeast"/>
              <w:jc w:val="center"/>
              <w:rPr>
                <w:color w:val="000000"/>
                <w:highlight w:val="none"/>
              </w:rPr>
            </w:pPr>
          </w:p>
        </w:tc>
        <w:tc>
          <w:tcPr>
            <w:tcW w:w="1149" w:type="dxa"/>
            <w:vMerge w:val="continue"/>
            <w:noWrap w:val="0"/>
            <w:vAlign w:val="center"/>
          </w:tcPr>
          <w:p w14:paraId="66BFCBD4">
            <w:pPr>
              <w:pStyle w:val="154"/>
              <w:spacing w:line="360" w:lineRule="atLeast"/>
              <w:jc w:val="center"/>
              <w:rPr>
                <w:rFonts w:hint="eastAsia" w:ascii="宋体" w:hAnsi="宋体" w:cs="宋体"/>
                <w:color w:val="000000"/>
                <w:sz w:val="21"/>
                <w:szCs w:val="21"/>
                <w:highlight w:val="none"/>
              </w:rPr>
            </w:pPr>
          </w:p>
        </w:tc>
        <w:tc>
          <w:tcPr>
            <w:tcW w:w="6785" w:type="dxa"/>
            <w:gridSpan w:val="3"/>
            <w:noWrap w:val="0"/>
            <w:vAlign w:val="center"/>
          </w:tcPr>
          <w:p w14:paraId="3BC19FEC">
            <w:pPr>
              <w:spacing w:line="360" w:lineRule="atLeast"/>
              <w:rPr>
                <w:rFonts w:hint="eastAsia" w:ascii="宋体" w:hAnsi="宋体" w:cs="宋体"/>
                <w:color w:val="000000"/>
                <w:sz w:val="21"/>
                <w:szCs w:val="21"/>
                <w:highlight w:val="none"/>
              </w:rPr>
            </w:pPr>
            <w:r>
              <w:rPr>
                <w:rFonts w:hint="eastAsia" w:ascii="宋体" w:hAnsi="宋体" w:cs="宋体"/>
                <w:color w:val="000000"/>
                <w:sz w:val="21"/>
                <w:szCs w:val="21"/>
                <w:highlight w:val="none"/>
              </w:rPr>
              <w:t>4.到位维修响应：满足</w:t>
            </w:r>
            <w:r>
              <w:rPr>
                <w:rFonts w:hint="eastAsia" w:ascii="宋体" w:hAnsi="宋体" w:cs="宋体"/>
                <w:color w:val="000000"/>
                <w:sz w:val="21"/>
                <w:szCs w:val="21"/>
                <w:highlight w:val="none"/>
                <w:lang w:eastAsia="zh-CN"/>
              </w:rPr>
              <w:t>竞争性谈判文件</w:t>
            </w:r>
            <w:r>
              <w:rPr>
                <w:rFonts w:hint="eastAsia" w:ascii="宋体" w:hAnsi="宋体" w:cs="宋体"/>
                <w:color w:val="000000"/>
                <w:sz w:val="21"/>
                <w:szCs w:val="21"/>
                <w:highlight w:val="none"/>
              </w:rPr>
              <w:t>“第</w:t>
            </w:r>
            <w:r>
              <w:rPr>
                <w:rFonts w:hint="eastAsia" w:ascii="宋体" w:hAnsi="宋体" w:cs="宋体"/>
                <w:color w:val="000000"/>
                <w:sz w:val="21"/>
                <w:szCs w:val="21"/>
                <w:highlight w:val="none"/>
                <w:lang w:eastAsia="zh-CN"/>
              </w:rPr>
              <w:t>五章</w:t>
            </w:r>
            <w:r>
              <w:rPr>
                <w:rFonts w:hint="eastAsia" w:ascii="宋体" w:hAnsi="宋体" w:cs="宋体"/>
                <w:color w:val="000000"/>
                <w:sz w:val="21"/>
                <w:szCs w:val="21"/>
                <w:highlight w:val="none"/>
              </w:rPr>
              <w:t>”——“</w:t>
            </w:r>
            <w:r>
              <w:rPr>
                <w:rFonts w:hint="eastAsia" w:ascii="宋体" w:hAnsi="宋体" w:cs="宋体"/>
                <w:color w:val="000000"/>
                <w:sz w:val="21"/>
                <w:szCs w:val="21"/>
                <w:highlight w:val="none"/>
                <w:lang w:eastAsia="zh-CN"/>
              </w:rPr>
              <w:t>三</w:t>
            </w:r>
            <w:r>
              <w:rPr>
                <w:rFonts w:hint="eastAsia" w:ascii="宋体" w:hAnsi="宋体" w:cs="宋体"/>
                <w:color w:val="000000"/>
                <w:sz w:val="21"/>
                <w:szCs w:val="21"/>
                <w:highlight w:val="none"/>
              </w:rPr>
              <w:t>、商务要求”——“</w:t>
            </w:r>
            <w:r>
              <w:rPr>
                <w:rFonts w:hint="eastAsia" w:ascii="宋体" w:hAnsi="宋体" w:cs="宋体"/>
                <w:color w:val="000000"/>
                <w:sz w:val="21"/>
                <w:szCs w:val="21"/>
                <w:highlight w:val="none"/>
                <w:lang w:eastAsia="zh-CN"/>
              </w:rPr>
              <w:t>（二）</w:t>
            </w:r>
            <w:r>
              <w:rPr>
                <w:rFonts w:hint="eastAsia" w:ascii="宋体" w:hAnsi="宋体" w:cs="宋体"/>
                <w:color w:val="000000"/>
                <w:sz w:val="21"/>
                <w:szCs w:val="21"/>
                <w:highlight w:val="none"/>
              </w:rPr>
              <w:t>、售后服务”的第2条要求的基础上，根据对维修所投产品的到位维修响应时间排名，三分之二及以上技术专家认为合理且最快的得1分，依次按25%比例递减，最低得0分。三分之二及以上技术专家认为不合理的得0分。</w:t>
            </w:r>
          </w:p>
        </w:tc>
        <w:tc>
          <w:tcPr>
            <w:tcW w:w="899" w:type="dxa"/>
            <w:noWrap/>
            <w:vAlign w:val="center"/>
          </w:tcPr>
          <w:p w14:paraId="128BD5AF">
            <w:pPr>
              <w:spacing w:line="360" w:lineRule="atLeast"/>
              <w:jc w:val="center"/>
              <w:rPr>
                <w:rFonts w:hint="eastAsia" w:ascii="宋体" w:hAnsi="宋体" w:cs="宋体"/>
                <w:color w:val="000000"/>
                <w:sz w:val="21"/>
                <w:szCs w:val="21"/>
                <w:highlight w:val="none"/>
              </w:rPr>
            </w:pPr>
            <w:r>
              <w:rPr>
                <w:rFonts w:hint="eastAsia" w:ascii="宋体" w:hAnsi="宋体" w:cs="宋体"/>
                <w:color w:val="000000"/>
                <w:sz w:val="21"/>
                <w:szCs w:val="21"/>
                <w:highlight w:val="none"/>
              </w:rPr>
              <w:t>1分</w:t>
            </w:r>
          </w:p>
        </w:tc>
      </w:tr>
      <w:tr w14:paraId="6EC2E2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7" w:hRule="atLeast"/>
          <w:jc w:val="center"/>
        </w:trPr>
        <w:tc>
          <w:tcPr>
            <w:tcW w:w="678" w:type="dxa"/>
            <w:vMerge w:val="continue"/>
            <w:noWrap/>
            <w:vAlign w:val="center"/>
          </w:tcPr>
          <w:p w14:paraId="1DDD2051">
            <w:pPr>
              <w:pStyle w:val="154"/>
              <w:spacing w:line="360" w:lineRule="atLeast"/>
              <w:jc w:val="center"/>
              <w:rPr>
                <w:color w:val="000000"/>
                <w:highlight w:val="none"/>
              </w:rPr>
            </w:pPr>
          </w:p>
        </w:tc>
        <w:tc>
          <w:tcPr>
            <w:tcW w:w="1149" w:type="dxa"/>
            <w:vMerge w:val="continue"/>
            <w:noWrap w:val="0"/>
            <w:vAlign w:val="center"/>
          </w:tcPr>
          <w:p w14:paraId="601C8E92">
            <w:pPr>
              <w:pStyle w:val="154"/>
              <w:spacing w:line="360" w:lineRule="atLeast"/>
              <w:jc w:val="center"/>
              <w:rPr>
                <w:rFonts w:hint="eastAsia" w:ascii="宋体" w:hAnsi="宋体" w:cs="宋体"/>
                <w:color w:val="000000"/>
                <w:sz w:val="21"/>
                <w:szCs w:val="21"/>
                <w:highlight w:val="none"/>
              </w:rPr>
            </w:pPr>
          </w:p>
        </w:tc>
        <w:tc>
          <w:tcPr>
            <w:tcW w:w="6785" w:type="dxa"/>
            <w:gridSpan w:val="3"/>
            <w:noWrap/>
            <w:vAlign w:val="center"/>
          </w:tcPr>
          <w:p w14:paraId="36C8D10C">
            <w:pPr>
              <w:spacing w:line="360" w:lineRule="atLeast"/>
              <w:rPr>
                <w:rFonts w:hint="eastAsia" w:ascii="宋体" w:hAnsi="宋体" w:cs="宋体"/>
                <w:color w:val="000000"/>
                <w:sz w:val="21"/>
                <w:szCs w:val="21"/>
                <w:highlight w:val="none"/>
              </w:rPr>
            </w:pPr>
            <w:r>
              <w:rPr>
                <w:rFonts w:hint="eastAsia" w:ascii="宋体" w:hAnsi="宋体" w:cs="宋体"/>
                <w:color w:val="000000"/>
                <w:sz w:val="21"/>
                <w:szCs w:val="21"/>
                <w:highlight w:val="none"/>
              </w:rPr>
              <w:t>5.保修期外维修费用：保修期外的包修费用及维修工时费计算方法及价格，按</w:t>
            </w:r>
            <w:r>
              <w:rPr>
                <w:rFonts w:hint="eastAsia" w:ascii="宋体" w:hAnsi="宋体" w:cs="宋体"/>
                <w:color w:val="000000"/>
                <w:sz w:val="21"/>
                <w:szCs w:val="21"/>
                <w:highlight w:val="none"/>
                <w:lang w:eastAsia="zh-CN"/>
              </w:rPr>
              <w:t>报价人</w:t>
            </w:r>
            <w:r>
              <w:rPr>
                <w:rFonts w:hint="eastAsia" w:ascii="宋体" w:hAnsi="宋体" w:cs="宋体"/>
                <w:color w:val="000000"/>
                <w:sz w:val="21"/>
                <w:szCs w:val="21"/>
                <w:highlight w:val="none"/>
              </w:rPr>
              <w:t>自报折扣进行排名，费用最低的得1分，依次按25%递减，最低得0分。未提供得0分。</w:t>
            </w:r>
          </w:p>
        </w:tc>
        <w:tc>
          <w:tcPr>
            <w:tcW w:w="899" w:type="dxa"/>
            <w:noWrap/>
            <w:vAlign w:val="center"/>
          </w:tcPr>
          <w:p w14:paraId="426B3CA2">
            <w:pPr>
              <w:spacing w:line="360" w:lineRule="atLeast"/>
              <w:jc w:val="center"/>
              <w:rPr>
                <w:rFonts w:hint="eastAsia" w:ascii="宋体" w:hAnsi="宋体" w:cs="宋体"/>
                <w:color w:val="000000"/>
                <w:sz w:val="21"/>
                <w:szCs w:val="21"/>
                <w:highlight w:val="none"/>
              </w:rPr>
            </w:pPr>
            <w:r>
              <w:rPr>
                <w:rFonts w:hint="eastAsia" w:ascii="宋体" w:hAnsi="宋体" w:cs="宋体"/>
                <w:color w:val="000000"/>
                <w:sz w:val="21"/>
                <w:szCs w:val="21"/>
                <w:highlight w:val="none"/>
              </w:rPr>
              <w:t>1分</w:t>
            </w:r>
          </w:p>
        </w:tc>
      </w:tr>
      <w:tr w14:paraId="41C9C1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15" w:hRule="atLeast"/>
          <w:jc w:val="center"/>
        </w:trPr>
        <w:tc>
          <w:tcPr>
            <w:tcW w:w="678" w:type="dxa"/>
            <w:vMerge w:val="continue"/>
            <w:noWrap/>
            <w:vAlign w:val="center"/>
          </w:tcPr>
          <w:p w14:paraId="65C84CA8">
            <w:pPr>
              <w:pStyle w:val="154"/>
              <w:spacing w:line="360" w:lineRule="atLeast"/>
              <w:jc w:val="center"/>
              <w:rPr>
                <w:color w:val="000000"/>
                <w:highlight w:val="none"/>
              </w:rPr>
            </w:pPr>
          </w:p>
        </w:tc>
        <w:tc>
          <w:tcPr>
            <w:tcW w:w="1149" w:type="dxa"/>
            <w:vMerge w:val="continue"/>
            <w:noWrap w:val="0"/>
            <w:vAlign w:val="center"/>
          </w:tcPr>
          <w:p w14:paraId="5DA81E52">
            <w:pPr>
              <w:pStyle w:val="154"/>
              <w:spacing w:line="360" w:lineRule="atLeast"/>
              <w:jc w:val="center"/>
              <w:rPr>
                <w:rFonts w:hint="eastAsia" w:ascii="宋体" w:hAnsi="宋体" w:cs="宋体"/>
                <w:color w:val="000000"/>
                <w:sz w:val="21"/>
                <w:szCs w:val="21"/>
                <w:highlight w:val="none"/>
              </w:rPr>
            </w:pPr>
          </w:p>
        </w:tc>
        <w:tc>
          <w:tcPr>
            <w:tcW w:w="6785" w:type="dxa"/>
            <w:gridSpan w:val="3"/>
            <w:noWrap/>
            <w:vAlign w:val="center"/>
          </w:tcPr>
          <w:p w14:paraId="53DA8379">
            <w:pPr>
              <w:spacing w:line="360" w:lineRule="atLeast"/>
              <w:rPr>
                <w:rFonts w:hint="eastAsia" w:ascii="宋体" w:hAnsi="宋体" w:cs="宋体"/>
                <w:color w:val="000000"/>
                <w:sz w:val="21"/>
                <w:szCs w:val="21"/>
                <w:highlight w:val="none"/>
              </w:rPr>
            </w:pPr>
            <w:r>
              <w:rPr>
                <w:rFonts w:hint="eastAsia" w:ascii="宋体" w:hAnsi="宋体" w:cs="宋体"/>
                <w:color w:val="000000"/>
                <w:sz w:val="21"/>
                <w:szCs w:val="21"/>
                <w:highlight w:val="none"/>
              </w:rPr>
              <w:t>6.技术支持和服务网点：</w:t>
            </w:r>
          </w:p>
          <w:p w14:paraId="381F1B72">
            <w:pPr>
              <w:spacing w:line="360" w:lineRule="atLeast"/>
              <w:rPr>
                <w:rFonts w:hint="eastAsia" w:ascii="宋体" w:hAnsi="宋体" w:cs="宋体"/>
                <w:color w:val="000000"/>
                <w:sz w:val="21"/>
                <w:szCs w:val="21"/>
                <w:highlight w:val="none"/>
              </w:rPr>
            </w:pPr>
            <w:r>
              <w:rPr>
                <w:rFonts w:hint="eastAsia" w:ascii="宋体" w:hAnsi="宋体" w:cs="宋体"/>
                <w:color w:val="000000"/>
                <w:sz w:val="21"/>
                <w:szCs w:val="21"/>
                <w:highlight w:val="none"/>
              </w:rPr>
              <w:t>（1）产品和品牌具有较高知名度及广泛普及度，提供指定地点的现场服务支持，具备全国各主要省份的售后服务网络和对应的24小时服务支持热线且技术力量能满足采购单位维修服务需求的得1分，不满足得0分；</w:t>
            </w:r>
          </w:p>
          <w:p w14:paraId="3EF87F3F">
            <w:pPr>
              <w:spacing w:line="360" w:lineRule="atLeast"/>
              <w:rPr>
                <w:rFonts w:hint="eastAsia" w:ascii="宋体" w:hAnsi="宋体" w:cs="宋体"/>
                <w:color w:val="000000"/>
                <w:sz w:val="21"/>
                <w:szCs w:val="21"/>
                <w:highlight w:val="none"/>
              </w:rPr>
            </w:pPr>
            <w:r>
              <w:rPr>
                <w:rFonts w:hint="eastAsia" w:ascii="宋体" w:hAnsi="宋体" w:cs="宋体"/>
                <w:color w:val="000000"/>
                <w:sz w:val="21"/>
                <w:szCs w:val="21"/>
                <w:highlight w:val="none"/>
              </w:rPr>
              <w:t>（2）根据服务网点数量排名，第一名得1分，依次按标准分值25%递减，最低得0分。</w:t>
            </w:r>
          </w:p>
        </w:tc>
        <w:tc>
          <w:tcPr>
            <w:tcW w:w="899" w:type="dxa"/>
            <w:noWrap/>
            <w:vAlign w:val="center"/>
          </w:tcPr>
          <w:p w14:paraId="0D0E64BA">
            <w:pPr>
              <w:spacing w:line="360" w:lineRule="atLeast"/>
              <w:jc w:val="center"/>
              <w:rPr>
                <w:rFonts w:hint="eastAsia" w:ascii="宋体" w:hAnsi="宋体" w:cs="宋体"/>
                <w:color w:val="000000"/>
                <w:sz w:val="21"/>
                <w:szCs w:val="21"/>
                <w:highlight w:val="none"/>
              </w:rPr>
            </w:pPr>
            <w:r>
              <w:rPr>
                <w:rFonts w:hint="eastAsia" w:ascii="宋体" w:hAnsi="宋体" w:cs="宋体"/>
                <w:color w:val="000000"/>
                <w:sz w:val="21"/>
                <w:szCs w:val="21"/>
                <w:highlight w:val="none"/>
              </w:rPr>
              <w:t>2分</w:t>
            </w:r>
          </w:p>
        </w:tc>
      </w:tr>
      <w:tr w14:paraId="22B221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32" w:hRule="atLeast"/>
          <w:jc w:val="center"/>
        </w:trPr>
        <w:tc>
          <w:tcPr>
            <w:tcW w:w="678" w:type="dxa"/>
            <w:vMerge w:val="continue"/>
            <w:noWrap/>
            <w:vAlign w:val="center"/>
          </w:tcPr>
          <w:p w14:paraId="1C53C88F">
            <w:pPr>
              <w:pStyle w:val="154"/>
              <w:spacing w:line="360" w:lineRule="atLeast"/>
              <w:jc w:val="center"/>
              <w:rPr>
                <w:color w:val="000000"/>
                <w:highlight w:val="none"/>
              </w:rPr>
            </w:pPr>
          </w:p>
        </w:tc>
        <w:tc>
          <w:tcPr>
            <w:tcW w:w="1149" w:type="dxa"/>
            <w:vMerge w:val="continue"/>
            <w:noWrap w:val="0"/>
            <w:vAlign w:val="center"/>
          </w:tcPr>
          <w:p w14:paraId="119AC564">
            <w:pPr>
              <w:pStyle w:val="154"/>
              <w:spacing w:line="360" w:lineRule="atLeast"/>
              <w:jc w:val="center"/>
              <w:rPr>
                <w:rFonts w:hint="eastAsia" w:ascii="宋体" w:hAnsi="宋体" w:cs="宋体"/>
                <w:color w:val="000000"/>
                <w:sz w:val="21"/>
                <w:szCs w:val="21"/>
                <w:highlight w:val="none"/>
              </w:rPr>
            </w:pPr>
          </w:p>
        </w:tc>
        <w:tc>
          <w:tcPr>
            <w:tcW w:w="6785" w:type="dxa"/>
            <w:gridSpan w:val="3"/>
            <w:noWrap/>
            <w:vAlign w:val="center"/>
          </w:tcPr>
          <w:p w14:paraId="73BD55CA">
            <w:pPr>
              <w:numPr>
                <w:ilvl w:val="0"/>
                <w:numId w:val="0"/>
              </w:numPr>
              <w:spacing w:line="360" w:lineRule="atLeast"/>
              <w:rPr>
                <w:rFonts w:hint="eastAsia" w:ascii="宋体" w:hAnsi="宋体" w:cs="宋体"/>
                <w:sz w:val="21"/>
                <w:szCs w:val="21"/>
                <w:highlight w:val="none"/>
              </w:rPr>
            </w:pPr>
            <w:r>
              <w:rPr>
                <w:rFonts w:hint="eastAsia" w:ascii="宋体" w:hAnsi="宋体" w:cs="宋体"/>
                <w:sz w:val="21"/>
                <w:szCs w:val="21"/>
                <w:highlight w:val="none"/>
                <w:lang w:val="en-US" w:eastAsia="zh-CN"/>
              </w:rPr>
              <w:t>7.</w:t>
            </w:r>
            <w:r>
              <w:rPr>
                <w:rFonts w:hint="eastAsia" w:ascii="宋体" w:hAnsi="宋体" w:cs="宋体"/>
                <w:sz w:val="21"/>
                <w:szCs w:val="21"/>
                <w:highlight w:val="none"/>
              </w:rPr>
              <w:t xml:space="preserve">近三年（截止开标时间）企业售后服务未满足用户要求、未按承诺履行义务、被投诉的，每次得-1分。  </w:t>
            </w:r>
          </w:p>
          <w:p w14:paraId="56100407">
            <w:pPr>
              <w:pStyle w:val="2"/>
              <w:spacing w:line="360" w:lineRule="atLeast"/>
              <w:ind w:firstLine="0"/>
              <w:rPr>
                <w:rFonts w:hint="eastAsia" w:ascii="宋体" w:hAnsi="宋体" w:cs="宋体"/>
                <w:sz w:val="21"/>
                <w:szCs w:val="21"/>
                <w:highlight w:val="none"/>
              </w:rPr>
            </w:pPr>
            <w:r>
              <w:rPr>
                <w:rFonts w:hint="eastAsia" w:ascii="宋体" w:hAnsi="宋体" w:cs="宋体"/>
                <w:sz w:val="21"/>
                <w:szCs w:val="21"/>
                <w:highlight w:val="none"/>
              </w:rPr>
              <w:t>（需求部门或采购机构向采购管理部门提供违规供应商名单）</w:t>
            </w:r>
          </w:p>
        </w:tc>
        <w:tc>
          <w:tcPr>
            <w:tcW w:w="899" w:type="dxa"/>
            <w:noWrap/>
            <w:vAlign w:val="center"/>
          </w:tcPr>
          <w:p w14:paraId="1783B291">
            <w:pPr>
              <w:spacing w:line="360" w:lineRule="atLeast"/>
              <w:jc w:val="center"/>
              <w:rPr>
                <w:rFonts w:hint="eastAsia" w:ascii="宋体" w:hAnsi="宋体" w:cs="宋体"/>
                <w:color w:val="000000"/>
                <w:sz w:val="21"/>
                <w:szCs w:val="21"/>
                <w:highlight w:val="none"/>
              </w:rPr>
            </w:pPr>
            <w:r>
              <w:rPr>
                <w:rFonts w:hint="eastAsia" w:ascii="宋体" w:hAnsi="宋体" w:cs="宋体"/>
                <w:color w:val="000000"/>
                <w:sz w:val="21"/>
                <w:szCs w:val="21"/>
                <w:highlight w:val="none"/>
              </w:rPr>
              <w:t>扣分条款</w:t>
            </w:r>
          </w:p>
        </w:tc>
      </w:tr>
      <w:tr w14:paraId="467F20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8612" w:type="dxa"/>
            <w:gridSpan w:val="5"/>
            <w:noWrap/>
            <w:vAlign w:val="center"/>
          </w:tcPr>
          <w:p w14:paraId="3D069DFB">
            <w:pPr>
              <w:pStyle w:val="154"/>
              <w:spacing w:line="360" w:lineRule="atLeast"/>
              <w:jc w:val="center"/>
              <w:rPr>
                <w:color w:val="000000"/>
                <w:highlight w:val="none"/>
              </w:rPr>
            </w:pPr>
            <w:r>
              <w:rPr>
                <w:rFonts w:hint="eastAsia"/>
                <w:b/>
                <w:bCs/>
                <w:color w:val="000000"/>
                <w:highlight w:val="none"/>
              </w:rPr>
              <w:t>合    计</w:t>
            </w:r>
          </w:p>
        </w:tc>
        <w:tc>
          <w:tcPr>
            <w:tcW w:w="899" w:type="dxa"/>
            <w:noWrap/>
            <w:vAlign w:val="center"/>
          </w:tcPr>
          <w:p w14:paraId="6694FAB3">
            <w:pPr>
              <w:pStyle w:val="154"/>
              <w:spacing w:line="360" w:lineRule="atLeast"/>
              <w:jc w:val="center"/>
              <w:rPr>
                <w:color w:val="000000"/>
                <w:highlight w:val="none"/>
              </w:rPr>
            </w:pPr>
            <w:r>
              <w:rPr>
                <w:rFonts w:hint="eastAsia"/>
                <w:color w:val="000000"/>
                <w:highlight w:val="none"/>
              </w:rPr>
              <w:t>60分</w:t>
            </w:r>
          </w:p>
        </w:tc>
      </w:tr>
    </w:tbl>
    <w:p w14:paraId="6ACC1ECA">
      <w:pPr>
        <w:widowControl/>
        <w:jc w:val="left"/>
        <w:rPr>
          <w:rFonts w:ascii="黑体" w:hAnsi="黑体" w:eastAsia="黑体"/>
          <w:bCs/>
          <w:sz w:val="36"/>
          <w:szCs w:val="36"/>
          <w:highlight w:val="none"/>
        </w:rPr>
      </w:pPr>
      <w:r>
        <w:rPr>
          <w:rFonts w:ascii="黑体" w:hAnsi="黑体" w:eastAsia="黑体"/>
          <w:bCs/>
          <w:sz w:val="36"/>
          <w:szCs w:val="36"/>
          <w:highlight w:val="none"/>
        </w:rPr>
        <w:br w:type="page"/>
      </w:r>
    </w:p>
    <w:p w14:paraId="1BB7EAAF">
      <w:pPr>
        <w:pStyle w:val="5"/>
        <w:spacing w:before="120" w:beforeLines="50" w:after="120" w:afterLines="50" w:line="415" w:lineRule="auto"/>
        <w:rPr>
          <w:rFonts w:ascii="黑体" w:hAnsi="黑体"/>
          <w:b w:val="0"/>
          <w:sz w:val="28"/>
          <w:szCs w:val="28"/>
          <w:highlight w:val="none"/>
        </w:rPr>
      </w:pPr>
      <w:bookmarkStart w:id="863" w:name="_Toc14343"/>
      <w:bookmarkStart w:id="864" w:name="_Toc9103"/>
      <w:bookmarkStart w:id="865" w:name="_Toc1818"/>
      <w:bookmarkStart w:id="866" w:name="_Toc128154364"/>
      <w:bookmarkStart w:id="867" w:name="_Toc130888003"/>
      <w:bookmarkStart w:id="868" w:name="_Toc132186971"/>
      <w:bookmarkStart w:id="869" w:name="_Toc132191255"/>
      <w:bookmarkStart w:id="870" w:name="_Toc130661174"/>
      <w:bookmarkStart w:id="871" w:name="_Toc6896"/>
      <w:bookmarkStart w:id="872" w:name="_Toc128470291"/>
      <w:bookmarkStart w:id="873" w:name="_Toc21819"/>
      <w:bookmarkStart w:id="874" w:name="_Toc150421244"/>
      <w:bookmarkStart w:id="875" w:name="_Toc31892"/>
      <w:bookmarkStart w:id="876" w:name="_Toc842"/>
      <w:r>
        <w:rPr>
          <w:rFonts w:hint="eastAsia" w:ascii="黑体" w:hAnsi="黑体"/>
          <w:b w:val="0"/>
          <w:sz w:val="28"/>
          <w:szCs w:val="28"/>
          <w:highlight w:val="none"/>
        </w:rPr>
        <w:t>附表</w:t>
      </w:r>
      <w:r>
        <w:rPr>
          <w:rFonts w:ascii="黑体" w:hAnsi="黑体"/>
          <w:b w:val="0"/>
          <w:sz w:val="28"/>
          <w:szCs w:val="28"/>
          <w:highlight w:val="none"/>
        </w:rPr>
        <w:t xml:space="preserve">5 </w:t>
      </w:r>
      <w:r>
        <w:rPr>
          <w:rFonts w:hint="eastAsia" w:ascii="黑体" w:hAnsi="黑体"/>
          <w:b w:val="0"/>
          <w:sz w:val="28"/>
          <w:szCs w:val="28"/>
          <w:highlight w:val="none"/>
        </w:rPr>
        <w:t>价格评审标准表（综合评分法）</w:t>
      </w:r>
      <w:bookmarkEnd w:id="863"/>
      <w:bookmarkEnd w:id="864"/>
      <w:bookmarkEnd w:id="865"/>
      <w:bookmarkEnd w:id="866"/>
      <w:bookmarkEnd w:id="867"/>
      <w:bookmarkEnd w:id="868"/>
      <w:bookmarkEnd w:id="869"/>
      <w:bookmarkEnd w:id="870"/>
      <w:bookmarkEnd w:id="871"/>
      <w:bookmarkEnd w:id="872"/>
      <w:bookmarkEnd w:id="873"/>
      <w:bookmarkEnd w:id="874"/>
      <w:bookmarkEnd w:id="875"/>
      <w:bookmarkEnd w:id="876"/>
    </w:p>
    <w:p w14:paraId="36BBE2D8">
      <w:pPr>
        <w:widowControl/>
        <w:snapToGrid w:val="0"/>
        <w:spacing w:before="120" w:beforeLines="50" w:line="360" w:lineRule="auto"/>
        <w:jc w:val="center"/>
        <w:rPr>
          <w:rFonts w:ascii="黑体" w:hAnsi="黑体" w:eastAsia="黑体"/>
          <w:bCs/>
          <w:sz w:val="36"/>
          <w:szCs w:val="36"/>
          <w:highlight w:val="none"/>
        </w:rPr>
      </w:pPr>
      <w:r>
        <w:rPr>
          <w:rFonts w:hint="eastAsia" w:ascii="黑体" w:hAnsi="黑体" w:eastAsia="黑体"/>
          <w:bCs/>
          <w:sz w:val="36"/>
          <w:szCs w:val="36"/>
          <w:highlight w:val="none"/>
        </w:rPr>
        <w:t>价格评审标准表（综合评分法）</w:t>
      </w:r>
    </w:p>
    <w:tbl>
      <w:tblPr>
        <w:tblStyle w:val="42"/>
        <w:tblW w:w="9570" w:type="dxa"/>
        <w:jc w:val="center"/>
        <w:tblLayout w:type="fixed"/>
        <w:tblCellMar>
          <w:top w:w="0" w:type="dxa"/>
          <w:left w:w="108" w:type="dxa"/>
          <w:bottom w:w="0" w:type="dxa"/>
          <w:right w:w="108" w:type="dxa"/>
        </w:tblCellMar>
      </w:tblPr>
      <w:tblGrid>
        <w:gridCol w:w="817"/>
        <w:gridCol w:w="1673"/>
        <w:gridCol w:w="4422"/>
        <w:gridCol w:w="1418"/>
        <w:gridCol w:w="1240"/>
      </w:tblGrid>
      <w:tr w14:paraId="46D34B1D">
        <w:tblPrEx>
          <w:tblCellMar>
            <w:top w:w="0" w:type="dxa"/>
            <w:left w:w="108" w:type="dxa"/>
            <w:bottom w:w="0" w:type="dxa"/>
            <w:right w:w="108" w:type="dxa"/>
          </w:tblCellMar>
        </w:tblPrEx>
        <w:trPr>
          <w:trHeight w:val="851" w:hRule="atLeast"/>
          <w:jc w:val="center"/>
        </w:trPr>
        <w:tc>
          <w:tcPr>
            <w:tcW w:w="817" w:type="dxa"/>
            <w:tcBorders>
              <w:top w:val="single" w:color="auto" w:sz="4" w:space="0"/>
              <w:left w:val="single" w:color="auto" w:sz="4" w:space="0"/>
              <w:bottom w:val="single" w:color="auto" w:sz="4" w:space="0"/>
              <w:right w:val="single" w:color="auto" w:sz="4" w:space="0"/>
            </w:tcBorders>
            <w:vAlign w:val="center"/>
          </w:tcPr>
          <w:p w14:paraId="03542879">
            <w:pPr>
              <w:widowControl/>
              <w:snapToGrid w:val="0"/>
              <w:spacing w:line="276" w:lineRule="auto"/>
              <w:jc w:val="center"/>
              <w:rPr>
                <w:rFonts w:cs="黑体" w:asciiTheme="minorEastAsia" w:hAnsiTheme="minorEastAsia" w:eastAsiaTheme="minorEastAsia"/>
                <w:bCs/>
                <w:sz w:val="24"/>
                <w:highlight w:val="none"/>
              </w:rPr>
            </w:pPr>
            <w:r>
              <w:rPr>
                <w:rFonts w:hint="eastAsia" w:cs="黑体" w:asciiTheme="minorEastAsia" w:hAnsiTheme="minorEastAsia" w:eastAsiaTheme="minorEastAsia"/>
                <w:bCs/>
                <w:sz w:val="24"/>
                <w:highlight w:val="none"/>
              </w:rPr>
              <w:t>序号</w:t>
            </w:r>
          </w:p>
        </w:tc>
        <w:tc>
          <w:tcPr>
            <w:tcW w:w="1673" w:type="dxa"/>
            <w:tcBorders>
              <w:top w:val="single" w:color="auto" w:sz="4" w:space="0"/>
              <w:left w:val="nil"/>
              <w:bottom w:val="single" w:color="auto" w:sz="4" w:space="0"/>
              <w:right w:val="single" w:color="auto" w:sz="4" w:space="0"/>
            </w:tcBorders>
            <w:vAlign w:val="center"/>
          </w:tcPr>
          <w:p w14:paraId="2A6ED537">
            <w:pPr>
              <w:widowControl/>
              <w:snapToGrid w:val="0"/>
              <w:spacing w:line="276" w:lineRule="auto"/>
              <w:jc w:val="center"/>
              <w:rPr>
                <w:rFonts w:cs="黑体" w:asciiTheme="minorEastAsia" w:hAnsiTheme="minorEastAsia" w:eastAsiaTheme="minorEastAsia"/>
                <w:bCs/>
                <w:sz w:val="24"/>
                <w:highlight w:val="none"/>
              </w:rPr>
            </w:pPr>
            <w:r>
              <w:rPr>
                <w:rFonts w:hint="eastAsia" w:cs="黑体" w:asciiTheme="minorEastAsia" w:hAnsiTheme="minorEastAsia" w:eastAsiaTheme="minorEastAsia"/>
                <w:bCs/>
                <w:sz w:val="24"/>
                <w:highlight w:val="none"/>
              </w:rPr>
              <w:t>评审项目</w:t>
            </w:r>
          </w:p>
        </w:tc>
        <w:tc>
          <w:tcPr>
            <w:tcW w:w="4422" w:type="dxa"/>
            <w:tcBorders>
              <w:top w:val="single" w:color="auto" w:sz="4" w:space="0"/>
              <w:left w:val="nil"/>
              <w:bottom w:val="single" w:color="auto" w:sz="4" w:space="0"/>
              <w:right w:val="single" w:color="auto" w:sz="4" w:space="0"/>
            </w:tcBorders>
            <w:vAlign w:val="center"/>
          </w:tcPr>
          <w:p w14:paraId="2129BE7A">
            <w:pPr>
              <w:widowControl/>
              <w:snapToGrid w:val="0"/>
              <w:spacing w:line="276" w:lineRule="auto"/>
              <w:jc w:val="center"/>
              <w:rPr>
                <w:rFonts w:cs="黑体" w:asciiTheme="minorEastAsia" w:hAnsiTheme="minorEastAsia" w:eastAsiaTheme="minorEastAsia"/>
                <w:bCs/>
                <w:sz w:val="24"/>
                <w:highlight w:val="none"/>
              </w:rPr>
            </w:pPr>
            <w:r>
              <w:rPr>
                <w:rFonts w:hint="eastAsia" w:cs="黑体" w:asciiTheme="minorEastAsia" w:hAnsiTheme="minorEastAsia" w:eastAsiaTheme="minorEastAsia"/>
                <w:bCs/>
                <w:sz w:val="24"/>
                <w:highlight w:val="none"/>
              </w:rPr>
              <w:t>评审内容及规则</w:t>
            </w:r>
          </w:p>
        </w:tc>
        <w:tc>
          <w:tcPr>
            <w:tcW w:w="1418" w:type="dxa"/>
            <w:tcBorders>
              <w:top w:val="single" w:color="auto" w:sz="4" w:space="0"/>
              <w:left w:val="nil"/>
              <w:bottom w:val="single" w:color="auto" w:sz="4" w:space="0"/>
              <w:right w:val="single" w:color="auto" w:sz="4" w:space="0"/>
            </w:tcBorders>
            <w:vAlign w:val="center"/>
          </w:tcPr>
          <w:p w14:paraId="19BA3D83">
            <w:pPr>
              <w:widowControl/>
              <w:snapToGrid w:val="0"/>
              <w:spacing w:line="276" w:lineRule="auto"/>
              <w:jc w:val="center"/>
              <w:rPr>
                <w:rFonts w:cs="黑体" w:asciiTheme="minorEastAsia" w:hAnsiTheme="minorEastAsia" w:eastAsiaTheme="minorEastAsia"/>
                <w:bCs/>
                <w:sz w:val="24"/>
                <w:highlight w:val="none"/>
              </w:rPr>
            </w:pPr>
            <w:r>
              <w:rPr>
                <w:rFonts w:hint="eastAsia" w:cs="黑体" w:asciiTheme="minorEastAsia" w:hAnsiTheme="minorEastAsia" w:eastAsiaTheme="minorEastAsia"/>
                <w:bCs/>
                <w:sz w:val="24"/>
                <w:highlight w:val="none"/>
              </w:rPr>
              <w:t>标准分值</w:t>
            </w:r>
          </w:p>
        </w:tc>
        <w:tc>
          <w:tcPr>
            <w:tcW w:w="1240" w:type="dxa"/>
            <w:tcBorders>
              <w:top w:val="single" w:color="auto" w:sz="4" w:space="0"/>
              <w:left w:val="nil"/>
              <w:bottom w:val="single" w:color="auto" w:sz="4" w:space="0"/>
              <w:right w:val="single" w:color="auto" w:sz="4" w:space="0"/>
            </w:tcBorders>
            <w:vAlign w:val="center"/>
          </w:tcPr>
          <w:p w14:paraId="781B07B8">
            <w:pPr>
              <w:widowControl/>
              <w:snapToGrid w:val="0"/>
              <w:spacing w:line="276" w:lineRule="auto"/>
              <w:jc w:val="center"/>
              <w:rPr>
                <w:rFonts w:cs="黑体" w:asciiTheme="minorEastAsia" w:hAnsiTheme="minorEastAsia" w:eastAsiaTheme="minorEastAsia"/>
                <w:bCs/>
                <w:sz w:val="24"/>
                <w:highlight w:val="none"/>
              </w:rPr>
            </w:pPr>
            <w:r>
              <w:rPr>
                <w:rFonts w:hint="eastAsia" w:cs="黑体" w:asciiTheme="minorEastAsia" w:hAnsiTheme="minorEastAsia" w:eastAsiaTheme="minorEastAsia"/>
                <w:bCs/>
                <w:sz w:val="24"/>
                <w:highlight w:val="none"/>
              </w:rPr>
              <w:t>说明</w:t>
            </w:r>
          </w:p>
        </w:tc>
      </w:tr>
      <w:tr w14:paraId="0177F3F4">
        <w:tblPrEx>
          <w:tblCellMar>
            <w:top w:w="0" w:type="dxa"/>
            <w:left w:w="108" w:type="dxa"/>
            <w:bottom w:w="0" w:type="dxa"/>
            <w:right w:w="108" w:type="dxa"/>
          </w:tblCellMar>
        </w:tblPrEx>
        <w:trPr>
          <w:trHeight w:val="1814" w:hRule="atLeast"/>
          <w:jc w:val="center"/>
        </w:trPr>
        <w:tc>
          <w:tcPr>
            <w:tcW w:w="817" w:type="dxa"/>
            <w:tcBorders>
              <w:top w:val="single" w:color="auto" w:sz="4" w:space="0"/>
              <w:left w:val="single" w:color="auto" w:sz="4" w:space="0"/>
              <w:bottom w:val="single" w:color="auto" w:sz="4" w:space="0"/>
              <w:right w:val="single" w:color="auto" w:sz="4" w:space="0"/>
            </w:tcBorders>
            <w:vAlign w:val="center"/>
          </w:tcPr>
          <w:p w14:paraId="629DDEE3">
            <w:pPr>
              <w:widowControl/>
              <w:snapToGrid w:val="0"/>
              <w:spacing w:line="276" w:lineRule="auto"/>
              <w:jc w:val="center"/>
              <w:rPr>
                <w:rFonts w:ascii="宋体" w:hAnsi="宋体" w:eastAsia="楷体_GB2312"/>
                <w:bCs/>
                <w:sz w:val="24"/>
                <w:highlight w:val="none"/>
              </w:rPr>
            </w:pPr>
            <w:r>
              <w:rPr>
                <w:rFonts w:ascii="宋体" w:hAnsi="宋体"/>
                <w:bCs/>
                <w:sz w:val="24"/>
                <w:highlight w:val="none"/>
              </w:rPr>
              <w:t>1</w:t>
            </w:r>
          </w:p>
        </w:tc>
        <w:tc>
          <w:tcPr>
            <w:tcW w:w="1673" w:type="dxa"/>
            <w:tcBorders>
              <w:top w:val="single" w:color="auto" w:sz="4" w:space="0"/>
              <w:left w:val="single" w:color="auto" w:sz="4" w:space="0"/>
              <w:bottom w:val="single" w:color="auto" w:sz="4" w:space="0"/>
              <w:right w:val="single" w:color="auto" w:sz="4" w:space="0"/>
            </w:tcBorders>
            <w:vAlign w:val="center"/>
          </w:tcPr>
          <w:p w14:paraId="4973EFCF">
            <w:pPr>
              <w:widowControl/>
              <w:snapToGrid w:val="0"/>
              <w:spacing w:line="276" w:lineRule="auto"/>
              <w:jc w:val="center"/>
              <w:rPr>
                <w:rFonts w:ascii="宋体" w:hAnsi="宋体"/>
                <w:bCs/>
                <w:sz w:val="24"/>
                <w:highlight w:val="none"/>
              </w:rPr>
            </w:pPr>
            <w:r>
              <w:rPr>
                <w:rFonts w:hint="eastAsia" w:ascii="宋体" w:hAnsi="宋体"/>
                <w:bCs/>
                <w:sz w:val="24"/>
                <w:highlight w:val="none"/>
              </w:rPr>
              <w:t>价格评审</w:t>
            </w:r>
          </w:p>
        </w:tc>
        <w:tc>
          <w:tcPr>
            <w:tcW w:w="4422" w:type="dxa"/>
            <w:tcBorders>
              <w:top w:val="single" w:color="auto" w:sz="4" w:space="0"/>
              <w:left w:val="single" w:color="auto" w:sz="4" w:space="0"/>
              <w:bottom w:val="single" w:color="auto" w:sz="4" w:space="0"/>
              <w:right w:val="single" w:color="auto" w:sz="4" w:space="0"/>
            </w:tcBorders>
            <w:vAlign w:val="center"/>
          </w:tcPr>
          <w:p w14:paraId="40FF7BFB">
            <w:pPr>
              <w:widowControl/>
              <w:snapToGrid w:val="0"/>
              <w:spacing w:line="276" w:lineRule="auto"/>
              <w:jc w:val="left"/>
              <w:rPr>
                <w:rFonts w:ascii="宋体" w:hAnsi="宋体" w:eastAsia="楷体_GB2312"/>
                <w:bCs/>
                <w:sz w:val="24"/>
                <w:highlight w:val="none"/>
              </w:rPr>
            </w:pPr>
            <w:r>
              <w:rPr>
                <w:rFonts w:hint="eastAsia" w:ascii="宋体" w:hAnsi="宋体"/>
                <w:bCs/>
                <w:sz w:val="24"/>
                <w:highlight w:val="none"/>
              </w:rPr>
              <w:t>满足谈判文件要求且报价最低的为评审基准价，价格得分</w:t>
            </w:r>
            <w:r>
              <w:rPr>
                <w:rFonts w:ascii="宋体" w:hAnsi="宋体"/>
                <w:bCs/>
                <w:sz w:val="24"/>
                <w:highlight w:val="none"/>
              </w:rPr>
              <w:t>=（评审基准价/报价）×标准分值</w:t>
            </w:r>
          </w:p>
        </w:tc>
        <w:tc>
          <w:tcPr>
            <w:tcW w:w="1418" w:type="dxa"/>
            <w:tcBorders>
              <w:top w:val="single" w:color="auto" w:sz="4" w:space="0"/>
              <w:left w:val="single" w:color="auto" w:sz="4" w:space="0"/>
              <w:bottom w:val="single" w:color="auto" w:sz="4" w:space="0"/>
              <w:right w:val="single" w:color="auto" w:sz="4" w:space="0"/>
            </w:tcBorders>
            <w:vAlign w:val="center"/>
          </w:tcPr>
          <w:p w14:paraId="5ABE1999">
            <w:pPr>
              <w:widowControl/>
              <w:snapToGrid w:val="0"/>
              <w:spacing w:line="276" w:lineRule="auto"/>
              <w:ind w:left="175"/>
              <w:jc w:val="center"/>
              <w:rPr>
                <w:rFonts w:hint="default" w:ascii="宋体" w:hAnsi="宋体" w:eastAsia="宋体"/>
                <w:bCs/>
                <w:sz w:val="24"/>
                <w:highlight w:val="none"/>
                <w:lang w:val="en-US" w:eastAsia="zh-CN"/>
              </w:rPr>
            </w:pPr>
            <w:r>
              <w:rPr>
                <w:rFonts w:hint="eastAsia" w:ascii="宋体" w:hAnsi="宋体"/>
                <w:bCs/>
                <w:sz w:val="24"/>
                <w:highlight w:val="none"/>
                <w:lang w:val="en-US" w:eastAsia="zh-CN"/>
              </w:rPr>
              <w:t>30分</w:t>
            </w:r>
          </w:p>
        </w:tc>
        <w:tc>
          <w:tcPr>
            <w:tcW w:w="1240" w:type="dxa"/>
            <w:tcBorders>
              <w:top w:val="single" w:color="auto" w:sz="4" w:space="0"/>
              <w:left w:val="single" w:color="auto" w:sz="4" w:space="0"/>
              <w:bottom w:val="single" w:color="auto" w:sz="4" w:space="0"/>
              <w:right w:val="single" w:color="auto" w:sz="4" w:space="0"/>
            </w:tcBorders>
          </w:tcPr>
          <w:p w14:paraId="2C254559">
            <w:pPr>
              <w:widowControl/>
              <w:snapToGrid w:val="0"/>
              <w:spacing w:line="276" w:lineRule="auto"/>
              <w:ind w:left="175"/>
              <w:jc w:val="center"/>
              <w:rPr>
                <w:rFonts w:ascii="宋体" w:hAnsi="宋体"/>
                <w:bCs/>
                <w:sz w:val="24"/>
                <w:highlight w:val="none"/>
              </w:rPr>
            </w:pPr>
          </w:p>
        </w:tc>
      </w:tr>
    </w:tbl>
    <w:p w14:paraId="3B0A3D55">
      <w:pPr>
        <w:rPr>
          <w:highlight w:val="none"/>
        </w:rPr>
        <w:sectPr>
          <w:headerReference r:id="rId20" w:type="default"/>
          <w:footerReference r:id="rId21" w:type="default"/>
          <w:pgSz w:w="11906" w:h="16838"/>
          <w:pgMar w:top="1418" w:right="1417" w:bottom="1418" w:left="1418" w:header="851" w:footer="851" w:gutter="0"/>
          <w:pgNumType w:fmt="decimal"/>
          <w:cols w:space="720" w:num="1"/>
          <w:docGrid w:linePitch="388" w:charSpace="-1260"/>
        </w:sectPr>
      </w:pPr>
    </w:p>
    <w:p w14:paraId="131DE4EA">
      <w:pPr>
        <w:pStyle w:val="4"/>
        <w:keepNext w:val="0"/>
        <w:keepLines w:val="0"/>
        <w:adjustRightInd w:val="0"/>
        <w:snapToGrid w:val="0"/>
        <w:spacing w:line="560" w:lineRule="exact"/>
        <w:jc w:val="center"/>
        <w:rPr>
          <w:b w:val="0"/>
          <w:szCs w:val="44"/>
          <w:highlight w:val="none"/>
          <w:lang w:val="zh-CN"/>
        </w:rPr>
      </w:pPr>
      <w:bookmarkStart w:id="877" w:name="_Toc14217"/>
      <w:bookmarkStart w:id="878" w:name="_Toc132186972"/>
      <w:bookmarkStart w:id="879" w:name="_Toc132191256"/>
      <w:bookmarkStart w:id="880" w:name="_Toc13105"/>
      <w:bookmarkStart w:id="881" w:name="_Toc30807"/>
      <w:bookmarkStart w:id="882" w:name="_Toc128470292"/>
      <w:bookmarkStart w:id="883" w:name="_Toc8317"/>
      <w:bookmarkStart w:id="884" w:name="_Toc130888004"/>
      <w:bookmarkStart w:id="885" w:name="_Toc28382"/>
      <w:bookmarkStart w:id="886" w:name="_Toc29602"/>
      <w:bookmarkStart w:id="887" w:name="_Toc128154365"/>
      <w:bookmarkStart w:id="888" w:name="_Toc150421245"/>
      <w:bookmarkStart w:id="889" w:name="_Toc130661175"/>
      <w:bookmarkStart w:id="890" w:name="_Toc22405"/>
      <w:r>
        <w:rPr>
          <w:rFonts w:hint="eastAsia"/>
          <w:b w:val="0"/>
          <w:szCs w:val="44"/>
          <w:highlight w:val="none"/>
          <w:lang w:val="zh-CN"/>
        </w:rPr>
        <w:t>第五章</w:t>
      </w:r>
      <w:r>
        <w:rPr>
          <w:b w:val="0"/>
          <w:szCs w:val="44"/>
          <w:highlight w:val="none"/>
          <w:lang w:val="zh-CN"/>
        </w:rPr>
        <w:t xml:space="preserve"> </w:t>
      </w:r>
      <w:bookmarkStart w:id="891" w:name="_Hlk112676562"/>
      <w:r>
        <w:rPr>
          <w:rFonts w:hint="eastAsia"/>
          <w:b w:val="0"/>
          <w:szCs w:val="44"/>
          <w:highlight w:val="none"/>
          <w:lang w:val="zh-CN"/>
        </w:rPr>
        <w:t>竞争性谈判</w:t>
      </w:r>
      <w:bookmarkEnd w:id="891"/>
      <w:r>
        <w:rPr>
          <w:rFonts w:hint="eastAsia"/>
          <w:b w:val="0"/>
          <w:szCs w:val="44"/>
          <w:highlight w:val="none"/>
          <w:lang w:val="zh-CN"/>
        </w:rPr>
        <w:t>公告</w:t>
      </w:r>
      <w:bookmarkEnd w:id="800"/>
      <w:bookmarkEnd w:id="801"/>
      <w:bookmarkEnd w:id="802"/>
      <w:bookmarkEnd w:id="803"/>
      <w:bookmarkEnd w:id="804"/>
      <w:bookmarkEnd w:id="805"/>
      <w:bookmarkEnd w:id="877"/>
      <w:bookmarkEnd w:id="878"/>
      <w:bookmarkEnd w:id="879"/>
      <w:bookmarkEnd w:id="880"/>
      <w:bookmarkEnd w:id="881"/>
      <w:bookmarkEnd w:id="882"/>
      <w:bookmarkEnd w:id="883"/>
      <w:bookmarkEnd w:id="884"/>
      <w:bookmarkEnd w:id="885"/>
      <w:bookmarkEnd w:id="886"/>
      <w:bookmarkEnd w:id="887"/>
      <w:bookmarkEnd w:id="888"/>
      <w:bookmarkEnd w:id="889"/>
      <w:bookmarkEnd w:id="890"/>
    </w:p>
    <w:p w14:paraId="3ABA42ED">
      <w:pPr>
        <w:keepLines/>
        <w:adjustRightInd w:val="0"/>
        <w:snapToGrid w:val="0"/>
        <w:spacing w:line="560" w:lineRule="exact"/>
        <w:ind w:firstLine="560" w:firstLineChars="200"/>
        <w:rPr>
          <w:bCs/>
          <w:sz w:val="28"/>
          <w:szCs w:val="28"/>
          <w:highlight w:val="none"/>
        </w:rPr>
      </w:pPr>
      <w:r>
        <w:rPr>
          <w:rFonts w:hint="eastAsia"/>
          <w:bCs/>
          <w:sz w:val="28"/>
          <w:szCs w:val="28"/>
          <w:highlight w:val="none"/>
        </w:rPr>
        <w:t>我部就以下项目进行国内竞争性谈判采购，采购资金已全部落实，欢迎符合条件的供应商参加谈判。</w:t>
      </w:r>
    </w:p>
    <w:p w14:paraId="5F84ECA6">
      <w:pPr>
        <w:numPr>
          <w:ilvl w:val="0"/>
          <w:numId w:val="0"/>
        </w:numPr>
        <w:tabs>
          <w:tab w:val="left" w:pos="987"/>
        </w:tabs>
        <w:spacing w:line="560" w:lineRule="exact"/>
        <w:ind w:left="0" w:firstLine="560" w:firstLineChars="200"/>
        <w:outlineLvl w:val="3"/>
        <w:rPr>
          <w:rFonts w:hint="eastAsia" w:eastAsia="黑体"/>
          <w:sz w:val="28"/>
          <w:szCs w:val="28"/>
          <w:highlight w:val="none"/>
          <w:lang w:eastAsia="zh-CN"/>
        </w:rPr>
      </w:pPr>
      <w:r>
        <w:rPr>
          <w:rFonts w:hint="eastAsia" w:eastAsia="黑体"/>
          <w:sz w:val="28"/>
          <w:szCs w:val="28"/>
          <w:highlight w:val="none"/>
        </w:rPr>
        <w:t>一、项目名称：</w:t>
      </w:r>
      <w:r>
        <w:rPr>
          <w:rFonts w:hint="eastAsia" w:eastAsia="黑体"/>
          <w:sz w:val="28"/>
          <w:szCs w:val="28"/>
          <w:highlight w:val="none"/>
          <w:lang w:eastAsia="zh-CN"/>
        </w:rPr>
        <w:t>细胞能量代谢系统（第三次）</w:t>
      </w:r>
    </w:p>
    <w:p w14:paraId="4263F4CA">
      <w:pPr>
        <w:numPr>
          <w:ilvl w:val="0"/>
          <w:numId w:val="0"/>
        </w:numPr>
        <w:tabs>
          <w:tab w:val="left" w:pos="987"/>
        </w:tabs>
        <w:spacing w:line="560" w:lineRule="exact"/>
        <w:ind w:left="0" w:firstLine="560" w:firstLineChars="200"/>
        <w:outlineLvl w:val="3"/>
        <w:rPr>
          <w:rFonts w:hint="eastAsia" w:eastAsia="黑体"/>
          <w:sz w:val="28"/>
          <w:szCs w:val="28"/>
          <w:highlight w:val="none"/>
        </w:rPr>
      </w:pPr>
      <w:r>
        <w:rPr>
          <w:rFonts w:hint="eastAsia" w:eastAsia="黑体"/>
          <w:sz w:val="28"/>
          <w:szCs w:val="28"/>
          <w:highlight w:val="none"/>
        </w:rPr>
        <w:t>二、项目编号：</w:t>
      </w:r>
      <w:r>
        <w:rPr>
          <w:rFonts w:hint="eastAsia" w:eastAsia="黑体"/>
          <w:sz w:val="28"/>
          <w:szCs w:val="28"/>
          <w:highlight w:val="none"/>
          <w:lang w:eastAsia="zh-CN"/>
        </w:rPr>
        <w:t>2024-JL13(04)-W30041</w:t>
      </w:r>
    </w:p>
    <w:p w14:paraId="43B0D691">
      <w:pPr>
        <w:numPr>
          <w:ilvl w:val="0"/>
          <w:numId w:val="0"/>
        </w:numPr>
        <w:tabs>
          <w:tab w:val="left" w:pos="987"/>
        </w:tabs>
        <w:spacing w:line="560" w:lineRule="exact"/>
        <w:ind w:left="0" w:firstLine="560" w:firstLineChars="200"/>
        <w:outlineLvl w:val="3"/>
        <w:rPr>
          <w:rFonts w:hint="eastAsia" w:eastAsia="黑体"/>
          <w:sz w:val="28"/>
          <w:szCs w:val="28"/>
          <w:highlight w:val="none"/>
        </w:rPr>
      </w:pPr>
      <w:r>
        <w:rPr>
          <w:rFonts w:hint="eastAsia" w:eastAsia="黑体"/>
          <w:sz w:val="28"/>
          <w:szCs w:val="28"/>
          <w:highlight w:val="none"/>
        </w:rPr>
        <w:t>三、项目概况：</w:t>
      </w:r>
    </w:p>
    <w:tbl>
      <w:tblPr>
        <w:tblStyle w:val="42"/>
        <w:tblW w:w="1000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2"/>
        <w:gridCol w:w="1458"/>
        <w:gridCol w:w="793"/>
        <w:gridCol w:w="1659"/>
        <w:gridCol w:w="770"/>
        <w:gridCol w:w="771"/>
        <w:gridCol w:w="1764"/>
        <w:gridCol w:w="1193"/>
        <w:gridCol w:w="719"/>
      </w:tblGrid>
      <w:tr w14:paraId="416EDE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21" w:hRule="atLeast"/>
          <w:jc w:val="center"/>
        </w:trPr>
        <w:tc>
          <w:tcPr>
            <w:tcW w:w="882" w:type="dxa"/>
            <w:tcBorders>
              <w:top w:val="single" w:color="auto" w:sz="4" w:space="0"/>
              <w:left w:val="single" w:color="auto" w:sz="4" w:space="0"/>
              <w:bottom w:val="single" w:color="auto" w:sz="4" w:space="0"/>
              <w:right w:val="single" w:color="auto" w:sz="4" w:space="0"/>
            </w:tcBorders>
            <w:vAlign w:val="center"/>
          </w:tcPr>
          <w:p w14:paraId="5E73EFBD">
            <w:pPr>
              <w:jc w:val="center"/>
              <w:rPr>
                <w:bCs/>
                <w:snapToGrid w:val="0"/>
                <w:sz w:val="24"/>
                <w:highlight w:val="none"/>
              </w:rPr>
            </w:pPr>
            <w:r>
              <w:rPr>
                <w:rFonts w:hint="eastAsia"/>
                <w:bCs/>
                <w:snapToGrid w:val="0"/>
                <w:sz w:val="24"/>
                <w:highlight w:val="none"/>
              </w:rPr>
              <w:t>包号/</w:t>
            </w:r>
          </w:p>
          <w:p w14:paraId="1D227E81">
            <w:pPr>
              <w:jc w:val="center"/>
              <w:rPr>
                <w:bCs/>
                <w:snapToGrid w:val="0"/>
                <w:sz w:val="24"/>
                <w:highlight w:val="none"/>
              </w:rPr>
            </w:pPr>
            <w:r>
              <w:rPr>
                <w:rFonts w:hint="eastAsia"/>
                <w:bCs/>
                <w:snapToGrid w:val="0"/>
                <w:sz w:val="24"/>
                <w:highlight w:val="none"/>
              </w:rPr>
              <w:t>序号</w:t>
            </w:r>
          </w:p>
        </w:tc>
        <w:tc>
          <w:tcPr>
            <w:tcW w:w="1458" w:type="dxa"/>
            <w:tcBorders>
              <w:top w:val="single" w:color="auto" w:sz="4" w:space="0"/>
              <w:left w:val="single" w:color="auto" w:sz="4" w:space="0"/>
              <w:right w:val="single" w:color="auto" w:sz="4" w:space="0"/>
            </w:tcBorders>
            <w:vAlign w:val="center"/>
          </w:tcPr>
          <w:p w14:paraId="189E8D62">
            <w:pPr>
              <w:jc w:val="center"/>
              <w:rPr>
                <w:bCs/>
                <w:snapToGrid w:val="0"/>
                <w:sz w:val="24"/>
                <w:highlight w:val="none"/>
              </w:rPr>
            </w:pPr>
            <w:r>
              <w:rPr>
                <w:rFonts w:hint="eastAsia"/>
                <w:bCs/>
                <w:snapToGrid w:val="0"/>
                <w:sz w:val="24"/>
                <w:highlight w:val="none"/>
              </w:rPr>
              <w:t>物资</w:t>
            </w:r>
          </w:p>
          <w:p w14:paraId="38D5FCDE">
            <w:pPr>
              <w:jc w:val="center"/>
              <w:rPr>
                <w:bCs/>
                <w:snapToGrid w:val="0"/>
                <w:sz w:val="24"/>
                <w:highlight w:val="none"/>
              </w:rPr>
            </w:pPr>
            <w:r>
              <w:rPr>
                <w:rFonts w:hint="eastAsia"/>
                <w:bCs/>
                <w:snapToGrid w:val="0"/>
                <w:sz w:val="24"/>
                <w:highlight w:val="none"/>
              </w:rPr>
              <w:t>名称</w:t>
            </w:r>
          </w:p>
        </w:tc>
        <w:tc>
          <w:tcPr>
            <w:tcW w:w="793" w:type="dxa"/>
            <w:tcBorders>
              <w:top w:val="single" w:color="auto" w:sz="4" w:space="0"/>
              <w:left w:val="single" w:color="auto" w:sz="4" w:space="0"/>
              <w:right w:val="single" w:color="auto" w:sz="4" w:space="0"/>
            </w:tcBorders>
            <w:vAlign w:val="center"/>
          </w:tcPr>
          <w:p w14:paraId="7B672C66">
            <w:pPr>
              <w:jc w:val="center"/>
              <w:rPr>
                <w:bCs/>
                <w:snapToGrid w:val="0"/>
                <w:sz w:val="24"/>
                <w:highlight w:val="none"/>
              </w:rPr>
            </w:pPr>
            <w:r>
              <w:rPr>
                <w:rFonts w:hint="eastAsia"/>
                <w:bCs/>
                <w:snapToGrid w:val="0"/>
                <w:sz w:val="24"/>
                <w:highlight w:val="none"/>
              </w:rPr>
              <w:t>规格</w:t>
            </w:r>
          </w:p>
          <w:p w14:paraId="2BDDFBA4">
            <w:pPr>
              <w:jc w:val="center"/>
              <w:rPr>
                <w:bCs/>
                <w:snapToGrid w:val="0"/>
                <w:sz w:val="24"/>
                <w:highlight w:val="none"/>
              </w:rPr>
            </w:pPr>
            <w:r>
              <w:rPr>
                <w:rFonts w:hint="eastAsia"/>
                <w:bCs/>
                <w:snapToGrid w:val="0"/>
                <w:sz w:val="24"/>
                <w:highlight w:val="none"/>
              </w:rPr>
              <w:t>型号</w:t>
            </w:r>
          </w:p>
        </w:tc>
        <w:tc>
          <w:tcPr>
            <w:tcW w:w="1659" w:type="dxa"/>
            <w:tcBorders>
              <w:top w:val="single" w:color="auto" w:sz="4" w:space="0"/>
              <w:left w:val="single" w:color="auto" w:sz="4" w:space="0"/>
              <w:bottom w:val="single" w:color="auto" w:sz="4" w:space="0"/>
              <w:right w:val="single" w:color="auto" w:sz="4" w:space="0"/>
            </w:tcBorders>
            <w:vAlign w:val="center"/>
          </w:tcPr>
          <w:p w14:paraId="66A63806">
            <w:pPr>
              <w:jc w:val="center"/>
              <w:rPr>
                <w:bCs/>
                <w:snapToGrid w:val="0"/>
                <w:sz w:val="24"/>
                <w:highlight w:val="none"/>
              </w:rPr>
            </w:pPr>
            <w:r>
              <w:rPr>
                <w:rFonts w:hint="eastAsia"/>
                <w:bCs/>
                <w:snapToGrid w:val="0"/>
                <w:sz w:val="24"/>
                <w:highlight w:val="none"/>
              </w:rPr>
              <w:t>技术</w:t>
            </w:r>
          </w:p>
          <w:p w14:paraId="39F503D8">
            <w:pPr>
              <w:jc w:val="center"/>
              <w:rPr>
                <w:bCs/>
                <w:snapToGrid w:val="0"/>
                <w:sz w:val="24"/>
                <w:highlight w:val="none"/>
              </w:rPr>
            </w:pPr>
            <w:r>
              <w:rPr>
                <w:rFonts w:hint="eastAsia"/>
                <w:bCs/>
                <w:snapToGrid w:val="0"/>
                <w:sz w:val="24"/>
                <w:highlight w:val="none"/>
              </w:rPr>
              <w:t>要求</w:t>
            </w:r>
          </w:p>
        </w:tc>
        <w:tc>
          <w:tcPr>
            <w:tcW w:w="770" w:type="dxa"/>
            <w:tcBorders>
              <w:top w:val="single" w:color="auto" w:sz="4" w:space="0"/>
              <w:left w:val="single" w:color="auto" w:sz="4" w:space="0"/>
              <w:bottom w:val="single" w:color="auto" w:sz="4" w:space="0"/>
              <w:right w:val="single" w:color="auto" w:sz="4" w:space="0"/>
            </w:tcBorders>
            <w:vAlign w:val="center"/>
          </w:tcPr>
          <w:p w14:paraId="12AF2142">
            <w:pPr>
              <w:jc w:val="center"/>
              <w:rPr>
                <w:bCs/>
                <w:snapToGrid w:val="0"/>
                <w:sz w:val="24"/>
                <w:highlight w:val="none"/>
              </w:rPr>
            </w:pPr>
            <w:r>
              <w:rPr>
                <w:rFonts w:hint="eastAsia"/>
                <w:bCs/>
                <w:snapToGrid w:val="0"/>
                <w:sz w:val="24"/>
                <w:highlight w:val="none"/>
              </w:rPr>
              <w:t>计量</w:t>
            </w:r>
          </w:p>
          <w:p w14:paraId="493FA8F3">
            <w:pPr>
              <w:jc w:val="center"/>
              <w:rPr>
                <w:bCs/>
                <w:snapToGrid w:val="0"/>
                <w:sz w:val="24"/>
                <w:highlight w:val="none"/>
              </w:rPr>
            </w:pPr>
            <w:r>
              <w:rPr>
                <w:rFonts w:hint="eastAsia"/>
                <w:bCs/>
                <w:snapToGrid w:val="0"/>
                <w:sz w:val="24"/>
                <w:highlight w:val="none"/>
              </w:rPr>
              <w:t>单位</w:t>
            </w:r>
          </w:p>
        </w:tc>
        <w:tc>
          <w:tcPr>
            <w:tcW w:w="771" w:type="dxa"/>
            <w:tcBorders>
              <w:top w:val="single" w:color="auto" w:sz="4" w:space="0"/>
              <w:left w:val="single" w:color="auto" w:sz="4" w:space="0"/>
              <w:bottom w:val="single" w:color="auto" w:sz="4" w:space="0"/>
              <w:right w:val="single" w:color="auto" w:sz="4" w:space="0"/>
            </w:tcBorders>
            <w:vAlign w:val="center"/>
          </w:tcPr>
          <w:p w14:paraId="680F6686">
            <w:pPr>
              <w:jc w:val="center"/>
              <w:rPr>
                <w:bCs/>
                <w:snapToGrid w:val="0"/>
                <w:sz w:val="24"/>
                <w:highlight w:val="none"/>
              </w:rPr>
            </w:pPr>
            <w:r>
              <w:rPr>
                <w:rFonts w:hint="eastAsia"/>
                <w:bCs/>
                <w:snapToGrid w:val="0"/>
                <w:sz w:val="24"/>
                <w:highlight w:val="none"/>
              </w:rPr>
              <w:t>数量</w:t>
            </w:r>
          </w:p>
        </w:tc>
        <w:tc>
          <w:tcPr>
            <w:tcW w:w="1764" w:type="dxa"/>
            <w:tcBorders>
              <w:top w:val="single" w:color="auto" w:sz="4" w:space="0"/>
              <w:left w:val="single" w:color="auto" w:sz="4" w:space="0"/>
              <w:bottom w:val="single" w:color="auto" w:sz="4" w:space="0"/>
              <w:right w:val="single" w:color="auto" w:sz="4" w:space="0"/>
            </w:tcBorders>
            <w:vAlign w:val="center"/>
          </w:tcPr>
          <w:p w14:paraId="6E7A14EE">
            <w:pPr>
              <w:jc w:val="center"/>
              <w:rPr>
                <w:bCs/>
                <w:snapToGrid w:val="0"/>
                <w:sz w:val="24"/>
                <w:highlight w:val="none"/>
              </w:rPr>
            </w:pPr>
            <w:r>
              <w:rPr>
                <w:rFonts w:hint="eastAsia"/>
                <w:bCs/>
                <w:snapToGrid w:val="0"/>
                <w:sz w:val="24"/>
                <w:highlight w:val="none"/>
              </w:rPr>
              <w:t>交货</w:t>
            </w:r>
          </w:p>
          <w:p w14:paraId="74DACCC3">
            <w:pPr>
              <w:jc w:val="center"/>
              <w:rPr>
                <w:bCs/>
                <w:snapToGrid w:val="0"/>
                <w:sz w:val="24"/>
                <w:highlight w:val="none"/>
              </w:rPr>
            </w:pPr>
            <w:r>
              <w:rPr>
                <w:rFonts w:hint="eastAsia"/>
                <w:bCs/>
                <w:snapToGrid w:val="0"/>
                <w:sz w:val="24"/>
                <w:highlight w:val="none"/>
              </w:rPr>
              <w:t>时间</w:t>
            </w:r>
          </w:p>
        </w:tc>
        <w:tc>
          <w:tcPr>
            <w:tcW w:w="1193" w:type="dxa"/>
            <w:tcBorders>
              <w:top w:val="single" w:color="auto" w:sz="4" w:space="0"/>
              <w:left w:val="single" w:color="auto" w:sz="4" w:space="0"/>
              <w:right w:val="single" w:color="auto" w:sz="4" w:space="0"/>
            </w:tcBorders>
            <w:vAlign w:val="center"/>
          </w:tcPr>
          <w:p w14:paraId="43920532">
            <w:pPr>
              <w:jc w:val="center"/>
              <w:rPr>
                <w:bCs/>
                <w:snapToGrid w:val="0"/>
                <w:sz w:val="24"/>
                <w:highlight w:val="none"/>
              </w:rPr>
            </w:pPr>
            <w:r>
              <w:rPr>
                <w:rFonts w:hint="eastAsia"/>
                <w:bCs/>
                <w:snapToGrid w:val="0"/>
                <w:sz w:val="24"/>
                <w:highlight w:val="none"/>
              </w:rPr>
              <w:t>交货</w:t>
            </w:r>
          </w:p>
          <w:p w14:paraId="346CC932">
            <w:pPr>
              <w:jc w:val="center"/>
              <w:rPr>
                <w:bCs/>
                <w:snapToGrid w:val="0"/>
                <w:sz w:val="24"/>
                <w:highlight w:val="none"/>
              </w:rPr>
            </w:pPr>
            <w:r>
              <w:rPr>
                <w:rFonts w:hint="eastAsia"/>
                <w:bCs/>
                <w:snapToGrid w:val="0"/>
                <w:sz w:val="24"/>
                <w:highlight w:val="none"/>
              </w:rPr>
              <w:t>地点</w:t>
            </w:r>
          </w:p>
        </w:tc>
        <w:tc>
          <w:tcPr>
            <w:tcW w:w="719" w:type="dxa"/>
            <w:tcBorders>
              <w:top w:val="single" w:color="auto" w:sz="4" w:space="0"/>
              <w:left w:val="single" w:color="auto" w:sz="4" w:space="0"/>
              <w:right w:val="single" w:color="auto" w:sz="4" w:space="0"/>
            </w:tcBorders>
            <w:vAlign w:val="center"/>
          </w:tcPr>
          <w:p w14:paraId="5362A3DB">
            <w:pPr>
              <w:jc w:val="center"/>
              <w:rPr>
                <w:bCs/>
                <w:snapToGrid w:val="0"/>
                <w:sz w:val="24"/>
                <w:highlight w:val="none"/>
              </w:rPr>
            </w:pPr>
            <w:r>
              <w:rPr>
                <w:rFonts w:hint="eastAsia"/>
                <w:bCs/>
                <w:snapToGrid w:val="0"/>
                <w:sz w:val="24"/>
                <w:highlight w:val="none"/>
              </w:rPr>
              <w:t>备注</w:t>
            </w:r>
          </w:p>
        </w:tc>
      </w:tr>
      <w:tr w14:paraId="1256AF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14" w:hRule="atLeast"/>
          <w:jc w:val="center"/>
        </w:trPr>
        <w:tc>
          <w:tcPr>
            <w:tcW w:w="882" w:type="dxa"/>
            <w:tcBorders>
              <w:top w:val="single" w:color="auto" w:sz="4" w:space="0"/>
              <w:left w:val="single" w:color="auto" w:sz="4" w:space="0"/>
              <w:bottom w:val="single" w:color="auto" w:sz="4" w:space="0"/>
              <w:right w:val="single" w:color="auto" w:sz="4" w:space="0"/>
            </w:tcBorders>
            <w:vAlign w:val="center"/>
          </w:tcPr>
          <w:p w14:paraId="6EFBF06C">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Times New Roman" w:hAnsi="Times New Roman" w:eastAsia="宋体" w:cs="Times New Roman"/>
                <w:bCs/>
                <w:sz w:val="24"/>
                <w:highlight w:val="none"/>
                <w:lang w:val="en-US" w:eastAsia="zh-CN"/>
              </w:rPr>
            </w:pPr>
            <w:r>
              <w:rPr>
                <w:rFonts w:hint="eastAsia" w:ascii="Times New Roman" w:hAnsi="Times New Roman" w:eastAsia="宋体" w:cs="Times New Roman"/>
                <w:bCs/>
                <w:sz w:val="24"/>
                <w:highlight w:val="none"/>
                <w:lang w:val="en-US" w:eastAsia="zh-CN"/>
              </w:rPr>
              <w:t>1</w:t>
            </w:r>
          </w:p>
        </w:tc>
        <w:tc>
          <w:tcPr>
            <w:tcW w:w="1458" w:type="dxa"/>
            <w:tcBorders>
              <w:left w:val="single" w:color="auto" w:sz="4" w:space="0"/>
              <w:right w:val="single" w:color="auto" w:sz="4" w:space="0"/>
            </w:tcBorders>
            <w:vAlign w:val="center"/>
          </w:tcPr>
          <w:p w14:paraId="475B0E0A">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Times New Roman" w:hAnsi="Times New Roman" w:eastAsia="宋体" w:cs="Times New Roman"/>
                <w:bCs/>
                <w:sz w:val="24"/>
                <w:highlight w:val="none"/>
                <w:lang w:eastAsia="zh-CN"/>
              </w:rPr>
            </w:pPr>
            <w:r>
              <w:rPr>
                <w:rFonts w:hint="eastAsia" w:cs="Times New Roman"/>
                <w:bCs/>
                <w:sz w:val="24"/>
                <w:highlight w:val="none"/>
                <w:lang w:eastAsia="zh-CN"/>
              </w:rPr>
              <w:t>细胞能量代谢系统</w:t>
            </w:r>
          </w:p>
        </w:tc>
        <w:tc>
          <w:tcPr>
            <w:tcW w:w="793" w:type="dxa"/>
            <w:tcBorders>
              <w:left w:val="single" w:color="auto" w:sz="4" w:space="0"/>
              <w:right w:val="single" w:color="auto" w:sz="4" w:space="0"/>
            </w:tcBorders>
            <w:vAlign w:val="center"/>
          </w:tcPr>
          <w:p w14:paraId="06629E1D">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Times New Roman" w:hAnsi="Times New Roman" w:eastAsia="宋体" w:cs="Times New Roman"/>
                <w:bCs/>
                <w:sz w:val="24"/>
                <w:highlight w:val="none"/>
                <w:lang w:val="en-US" w:eastAsia="zh-CN"/>
              </w:rPr>
            </w:pPr>
            <w:r>
              <w:rPr>
                <w:rFonts w:hint="eastAsia" w:ascii="Times New Roman" w:hAnsi="Times New Roman" w:eastAsia="宋体" w:cs="Times New Roman"/>
                <w:bCs/>
                <w:sz w:val="24"/>
                <w:highlight w:val="none"/>
                <w:lang w:val="en-US" w:eastAsia="zh-CN"/>
              </w:rPr>
              <w:t>/</w:t>
            </w:r>
          </w:p>
        </w:tc>
        <w:tc>
          <w:tcPr>
            <w:tcW w:w="1659" w:type="dxa"/>
            <w:tcBorders>
              <w:top w:val="single" w:color="auto" w:sz="4" w:space="0"/>
              <w:left w:val="single" w:color="auto" w:sz="4" w:space="0"/>
              <w:bottom w:val="single" w:color="auto" w:sz="4" w:space="0"/>
              <w:right w:val="single" w:color="auto" w:sz="4" w:space="0"/>
            </w:tcBorders>
            <w:vAlign w:val="center"/>
          </w:tcPr>
          <w:p w14:paraId="725BBF84">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Times New Roman" w:hAnsi="Times New Roman" w:eastAsia="宋体" w:cs="Times New Roman"/>
                <w:bCs/>
                <w:sz w:val="24"/>
                <w:highlight w:val="none"/>
              </w:rPr>
            </w:pPr>
            <w:r>
              <w:rPr>
                <w:rFonts w:hint="eastAsia" w:ascii="Times New Roman" w:hAnsi="Times New Roman" w:eastAsia="宋体" w:cs="Times New Roman"/>
                <w:bCs/>
                <w:sz w:val="24"/>
                <w:highlight w:val="none"/>
                <w:lang w:val="en-US" w:eastAsia="zh-CN"/>
              </w:rPr>
              <w:t>详见第六章-技术要求</w:t>
            </w:r>
          </w:p>
        </w:tc>
        <w:tc>
          <w:tcPr>
            <w:tcW w:w="770" w:type="dxa"/>
            <w:tcBorders>
              <w:top w:val="single" w:color="auto" w:sz="4" w:space="0"/>
              <w:left w:val="single" w:color="auto" w:sz="4" w:space="0"/>
              <w:bottom w:val="single" w:color="auto" w:sz="4" w:space="0"/>
              <w:right w:val="single" w:color="auto" w:sz="4" w:space="0"/>
            </w:tcBorders>
            <w:vAlign w:val="center"/>
          </w:tcPr>
          <w:p w14:paraId="3BD3D671">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Times New Roman" w:hAnsi="Times New Roman" w:eastAsia="宋体" w:cs="Times New Roman"/>
                <w:bCs/>
                <w:sz w:val="24"/>
                <w:highlight w:val="none"/>
                <w:lang w:eastAsia="zh-CN"/>
              </w:rPr>
            </w:pPr>
            <w:r>
              <w:rPr>
                <w:rFonts w:hint="eastAsia" w:ascii="Times New Roman" w:hAnsi="Times New Roman" w:eastAsia="宋体" w:cs="Times New Roman"/>
                <w:bCs/>
                <w:sz w:val="24"/>
                <w:highlight w:val="none"/>
                <w:lang w:eastAsia="zh-CN"/>
              </w:rPr>
              <w:t>台</w:t>
            </w:r>
          </w:p>
        </w:tc>
        <w:tc>
          <w:tcPr>
            <w:tcW w:w="771" w:type="dxa"/>
            <w:tcBorders>
              <w:top w:val="single" w:color="auto" w:sz="4" w:space="0"/>
              <w:left w:val="single" w:color="auto" w:sz="4" w:space="0"/>
              <w:bottom w:val="single" w:color="auto" w:sz="4" w:space="0"/>
              <w:right w:val="single" w:color="auto" w:sz="4" w:space="0"/>
            </w:tcBorders>
            <w:vAlign w:val="center"/>
          </w:tcPr>
          <w:p w14:paraId="590C781F">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Times New Roman" w:hAnsi="Times New Roman" w:eastAsia="宋体" w:cs="Times New Roman"/>
                <w:bCs/>
                <w:sz w:val="24"/>
                <w:highlight w:val="none"/>
                <w:lang w:val="en-US" w:eastAsia="zh-CN"/>
              </w:rPr>
            </w:pPr>
            <w:r>
              <w:rPr>
                <w:rFonts w:hint="eastAsia" w:cs="Times New Roman"/>
                <w:bCs/>
                <w:sz w:val="24"/>
                <w:highlight w:val="none"/>
                <w:lang w:val="en-US" w:eastAsia="zh-CN"/>
              </w:rPr>
              <w:t>1</w:t>
            </w:r>
          </w:p>
        </w:tc>
        <w:tc>
          <w:tcPr>
            <w:tcW w:w="1764" w:type="dxa"/>
            <w:tcBorders>
              <w:top w:val="single" w:color="auto" w:sz="4" w:space="0"/>
              <w:left w:val="single" w:color="auto" w:sz="4" w:space="0"/>
              <w:bottom w:val="single" w:color="auto" w:sz="4" w:space="0"/>
              <w:right w:val="single" w:color="auto" w:sz="4" w:space="0"/>
            </w:tcBorders>
            <w:vAlign w:val="center"/>
          </w:tcPr>
          <w:p w14:paraId="632D92B1">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Times New Roman" w:hAnsi="Times New Roman" w:eastAsia="宋体" w:cs="Times New Roman"/>
                <w:bCs/>
                <w:sz w:val="24"/>
                <w:highlight w:val="none"/>
                <w:lang w:val="en-US" w:eastAsia="zh-CN"/>
              </w:rPr>
            </w:pPr>
            <w:r>
              <w:rPr>
                <w:rFonts w:hint="eastAsia" w:ascii="Times New Roman" w:hAnsi="Times New Roman" w:eastAsia="宋体" w:cs="Times New Roman"/>
                <w:bCs/>
                <w:sz w:val="24"/>
                <w:highlight w:val="none"/>
                <w:lang w:val="en-US" w:eastAsia="zh-CN"/>
              </w:rPr>
              <w:t>合同签订</w:t>
            </w:r>
            <w:r>
              <w:rPr>
                <w:rFonts w:hint="eastAsia" w:cs="Times New Roman"/>
                <w:bCs/>
                <w:sz w:val="24"/>
                <w:highlight w:val="none"/>
                <w:lang w:val="en-US" w:eastAsia="zh-CN"/>
              </w:rPr>
              <w:t>后90</w:t>
            </w:r>
            <w:r>
              <w:rPr>
                <w:rFonts w:hint="eastAsia" w:ascii="Times New Roman" w:hAnsi="Times New Roman" w:eastAsia="宋体" w:cs="Times New Roman"/>
                <w:bCs/>
                <w:sz w:val="24"/>
                <w:highlight w:val="none"/>
                <w:lang w:val="en-US" w:eastAsia="zh-CN"/>
              </w:rPr>
              <w:t>天内全部交货并安装调试完毕</w:t>
            </w:r>
          </w:p>
        </w:tc>
        <w:tc>
          <w:tcPr>
            <w:tcW w:w="1193" w:type="dxa"/>
            <w:tcBorders>
              <w:left w:val="single" w:color="auto" w:sz="4" w:space="0"/>
              <w:right w:val="single" w:color="auto" w:sz="4" w:space="0"/>
            </w:tcBorders>
            <w:vAlign w:val="center"/>
          </w:tcPr>
          <w:p w14:paraId="51ACC3B7">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Times New Roman" w:hAnsi="Times New Roman" w:eastAsia="宋体" w:cs="Times New Roman"/>
                <w:bCs/>
                <w:sz w:val="24"/>
                <w:highlight w:val="none"/>
                <w:lang w:val="en-US" w:eastAsia="zh-CN"/>
              </w:rPr>
            </w:pPr>
            <w:r>
              <w:rPr>
                <w:rFonts w:hint="eastAsia" w:ascii="Times New Roman" w:hAnsi="Times New Roman" w:eastAsia="宋体" w:cs="Times New Roman"/>
                <w:bCs/>
                <w:sz w:val="24"/>
                <w:highlight w:val="none"/>
                <w:lang w:val="en-US" w:eastAsia="zh-CN"/>
              </w:rPr>
              <w:t>重庆市（采购人指定地点）</w:t>
            </w:r>
          </w:p>
        </w:tc>
        <w:tc>
          <w:tcPr>
            <w:tcW w:w="719" w:type="dxa"/>
            <w:tcBorders>
              <w:left w:val="single" w:color="auto" w:sz="4" w:space="0"/>
              <w:right w:val="single" w:color="auto" w:sz="4" w:space="0"/>
            </w:tcBorders>
            <w:vAlign w:val="center"/>
          </w:tcPr>
          <w:p w14:paraId="033D07DB">
            <w:pPr>
              <w:spacing w:line="560" w:lineRule="exact"/>
              <w:jc w:val="center"/>
              <w:rPr>
                <w:rFonts w:hint="eastAsia" w:eastAsia="宋体"/>
                <w:bCs/>
                <w:sz w:val="24"/>
                <w:highlight w:val="none"/>
                <w:lang w:val="en-US" w:eastAsia="zh-CN"/>
              </w:rPr>
            </w:pPr>
            <w:r>
              <w:rPr>
                <w:rFonts w:hint="eastAsia"/>
                <w:bCs/>
                <w:sz w:val="24"/>
                <w:highlight w:val="none"/>
                <w:lang w:val="en-US" w:eastAsia="zh-CN"/>
              </w:rPr>
              <w:t>/</w:t>
            </w:r>
          </w:p>
        </w:tc>
      </w:tr>
      <w:tr w14:paraId="2B49DE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133" w:hRule="atLeast"/>
          <w:jc w:val="center"/>
        </w:trPr>
        <w:tc>
          <w:tcPr>
            <w:tcW w:w="10009" w:type="dxa"/>
            <w:gridSpan w:val="9"/>
            <w:tcBorders>
              <w:top w:val="single" w:color="auto" w:sz="4" w:space="0"/>
              <w:left w:val="single" w:color="auto" w:sz="4" w:space="0"/>
              <w:bottom w:val="single" w:color="auto" w:sz="4" w:space="0"/>
              <w:right w:val="single" w:color="auto" w:sz="4" w:space="0"/>
            </w:tcBorders>
            <w:vAlign w:val="center"/>
          </w:tcPr>
          <w:p w14:paraId="1239D0FF">
            <w:pPr>
              <w:spacing w:line="276" w:lineRule="auto"/>
              <w:ind w:firstLine="480" w:firstLineChars="200"/>
              <w:rPr>
                <w:rFonts w:ascii="宋体" w:hAnsi="宋体"/>
                <w:bCs/>
                <w:sz w:val="24"/>
                <w:highlight w:val="none"/>
              </w:rPr>
            </w:pPr>
            <w:r>
              <w:rPr>
                <w:rFonts w:hint="eastAsia" w:ascii="宋体" w:hAnsi="宋体"/>
                <w:bCs/>
                <w:sz w:val="24"/>
                <w:highlight w:val="none"/>
              </w:rPr>
              <w:t>说明：</w:t>
            </w:r>
          </w:p>
          <w:p w14:paraId="39BE1CD5">
            <w:pPr>
              <w:spacing w:line="276" w:lineRule="auto"/>
              <w:ind w:firstLine="480" w:firstLineChars="200"/>
              <w:rPr>
                <w:rFonts w:ascii="宋体" w:hAnsi="宋体"/>
                <w:bCs/>
                <w:sz w:val="24"/>
                <w:highlight w:val="none"/>
              </w:rPr>
            </w:pPr>
            <w:r>
              <w:rPr>
                <w:rFonts w:ascii="宋体" w:hAnsi="宋体"/>
                <w:bCs/>
                <w:sz w:val="24"/>
                <w:highlight w:val="none"/>
              </w:rPr>
              <w:t>1.</w:t>
            </w:r>
            <w:r>
              <w:rPr>
                <w:rFonts w:hint="eastAsia" w:ascii="宋体" w:hAnsi="宋体"/>
                <w:bCs/>
                <w:sz w:val="24"/>
                <w:highlight w:val="none"/>
              </w:rPr>
              <w:t>报价供应商应当</w:t>
            </w:r>
            <w:r>
              <w:rPr>
                <w:rFonts w:ascii="宋体" w:hAnsi="宋体"/>
                <w:bCs/>
                <w:sz w:val="24"/>
                <w:highlight w:val="none"/>
              </w:rPr>
              <w:t>对所投包内所有产品和数量进行</w:t>
            </w:r>
            <w:r>
              <w:rPr>
                <w:rFonts w:hint="eastAsia" w:ascii="宋体" w:hAnsi="宋体"/>
                <w:bCs/>
                <w:sz w:val="24"/>
                <w:highlight w:val="none"/>
              </w:rPr>
              <w:t>唯一</w:t>
            </w:r>
            <w:r>
              <w:rPr>
                <w:rFonts w:ascii="宋体" w:hAnsi="宋体"/>
                <w:bCs/>
                <w:sz w:val="24"/>
                <w:highlight w:val="none"/>
              </w:rPr>
              <w:t>报价，否则视为无效</w:t>
            </w:r>
            <w:r>
              <w:rPr>
                <w:rFonts w:hint="eastAsia" w:ascii="宋体" w:hAnsi="宋体"/>
                <w:bCs/>
                <w:sz w:val="24"/>
                <w:highlight w:val="none"/>
              </w:rPr>
              <w:t>报价</w:t>
            </w:r>
            <w:r>
              <w:rPr>
                <w:rFonts w:ascii="宋体" w:hAnsi="宋体"/>
                <w:bCs/>
                <w:sz w:val="24"/>
                <w:highlight w:val="none"/>
              </w:rPr>
              <w:t>。</w:t>
            </w:r>
          </w:p>
          <w:p w14:paraId="0BCAC47A">
            <w:pPr>
              <w:spacing w:line="276" w:lineRule="auto"/>
              <w:ind w:firstLine="480" w:firstLineChars="200"/>
              <w:rPr>
                <w:rFonts w:ascii="宋体" w:hAnsi="宋体"/>
                <w:bCs/>
                <w:sz w:val="24"/>
                <w:highlight w:val="none"/>
              </w:rPr>
            </w:pPr>
            <w:r>
              <w:rPr>
                <w:rFonts w:ascii="宋体" w:hAnsi="宋体"/>
                <w:bCs/>
                <w:sz w:val="24"/>
                <w:highlight w:val="none"/>
              </w:rPr>
              <w:t>2.</w:t>
            </w:r>
            <w:r>
              <w:rPr>
                <w:rFonts w:hint="eastAsia" w:ascii="宋体" w:hAnsi="宋体"/>
                <w:bCs/>
                <w:sz w:val="24"/>
                <w:highlight w:val="none"/>
              </w:rPr>
              <w:t>报价应当包括所有物资供应、运输、安装调试、技术培训、售后服务、备品备件和伴随服务等价格。</w:t>
            </w:r>
          </w:p>
          <w:p w14:paraId="013C2D14">
            <w:pPr>
              <w:spacing w:line="276" w:lineRule="auto"/>
              <w:ind w:firstLine="480" w:firstLineChars="200"/>
              <w:rPr>
                <w:rFonts w:ascii="宋体" w:hAnsi="宋体"/>
                <w:bCs/>
                <w:sz w:val="24"/>
                <w:highlight w:val="none"/>
              </w:rPr>
            </w:pPr>
            <w:r>
              <w:rPr>
                <w:rFonts w:hint="eastAsia" w:ascii="宋体" w:hAnsi="宋体"/>
                <w:bCs/>
                <w:sz w:val="24"/>
                <w:highlight w:val="none"/>
                <w:lang w:val="en-US" w:eastAsia="zh-CN"/>
              </w:rPr>
              <w:t>3.</w:t>
            </w:r>
            <w:r>
              <w:rPr>
                <w:rFonts w:hint="eastAsia" w:ascii="宋体" w:hAnsi="宋体"/>
                <w:bCs/>
                <w:sz w:val="24"/>
                <w:highlight w:val="none"/>
                <w:lang w:eastAsia="zh-CN"/>
              </w:rPr>
              <w:t>报价</w:t>
            </w:r>
            <w:r>
              <w:rPr>
                <w:rFonts w:ascii="宋体" w:hAnsi="宋体"/>
                <w:bCs/>
                <w:sz w:val="24"/>
                <w:highlight w:val="none"/>
              </w:rPr>
              <w:t>供应商</w:t>
            </w:r>
            <w:r>
              <w:rPr>
                <w:rFonts w:hint="eastAsia" w:ascii="宋体" w:hAnsi="宋体"/>
                <w:bCs/>
                <w:sz w:val="24"/>
                <w:highlight w:val="none"/>
              </w:rPr>
              <w:t>应当</w:t>
            </w:r>
            <w:r>
              <w:rPr>
                <w:rFonts w:ascii="宋体" w:hAnsi="宋体"/>
                <w:bCs/>
                <w:sz w:val="24"/>
                <w:highlight w:val="none"/>
              </w:rPr>
              <w:t>保证所投产品为全新</w:t>
            </w:r>
            <w:r>
              <w:rPr>
                <w:rFonts w:hint="eastAsia" w:ascii="宋体" w:hAnsi="宋体"/>
                <w:bCs/>
                <w:sz w:val="24"/>
                <w:highlight w:val="none"/>
              </w:rPr>
              <w:t>且</w:t>
            </w:r>
            <w:r>
              <w:rPr>
                <w:rFonts w:ascii="宋体" w:hAnsi="宋体"/>
                <w:bCs/>
                <w:sz w:val="24"/>
                <w:highlight w:val="none"/>
              </w:rPr>
              <w:t>未使用过的产品。</w:t>
            </w:r>
          </w:p>
          <w:p w14:paraId="46CBB99F">
            <w:pPr>
              <w:spacing w:line="276" w:lineRule="auto"/>
              <w:ind w:firstLine="480" w:firstLineChars="200"/>
              <w:rPr>
                <w:rFonts w:hint="default" w:ascii="宋体" w:hAnsi="宋体"/>
                <w:bCs/>
                <w:sz w:val="24"/>
                <w:highlight w:val="none"/>
                <w:lang w:val="en-US" w:eastAsia="zh-CN"/>
              </w:rPr>
            </w:pPr>
            <w:r>
              <w:rPr>
                <w:rFonts w:hint="eastAsia" w:ascii="宋体" w:hAnsi="宋体"/>
                <w:bCs/>
                <w:sz w:val="24"/>
                <w:highlight w:val="none"/>
                <w:lang w:val="en-US" w:eastAsia="zh-CN"/>
              </w:rPr>
              <w:t>4.本项目成交价格需经价格复核，最终成交价格以复核结果为准。</w:t>
            </w:r>
          </w:p>
        </w:tc>
      </w:tr>
    </w:tbl>
    <w:p w14:paraId="5BCC129D">
      <w:pPr>
        <w:spacing w:line="560" w:lineRule="exact"/>
        <w:ind w:firstLine="560" w:firstLineChars="200"/>
        <w:rPr>
          <w:rFonts w:ascii="宋体" w:hAnsi="宋体"/>
          <w:bCs/>
          <w:sz w:val="28"/>
          <w:szCs w:val="28"/>
          <w:highlight w:val="none"/>
        </w:rPr>
      </w:pPr>
      <w:r>
        <w:rPr>
          <w:rFonts w:ascii="宋体" w:hAnsi="宋体"/>
          <w:bCs/>
          <w:sz w:val="28"/>
          <w:szCs w:val="28"/>
          <w:highlight w:val="none"/>
        </w:rPr>
        <w:t>1.本项目是否接受联合体</w:t>
      </w:r>
      <w:r>
        <w:rPr>
          <w:rFonts w:hint="eastAsia" w:ascii="宋体" w:hAnsi="宋体"/>
          <w:bCs/>
          <w:sz w:val="28"/>
          <w:szCs w:val="28"/>
          <w:highlight w:val="none"/>
        </w:rPr>
        <w:t>谈判：</w:t>
      </w:r>
      <w:r>
        <w:rPr>
          <w:rFonts w:ascii="宋体" w:hAnsi="宋体"/>
          <w:bCs/>
          <w:sz w:val="28"/>
          <w:szCs w:val="28"/>
          <w:highlight w:val="none"/>
          <w:u w:val="single"/>
        </w:rPr>
        <w:t xml:space="preserve"> </w:t>
      </w:r>
      <w:r>
        <w:rPr>
          <w:rFonts w:hint="eastAsia" w:ascii="宋体" w:hAnsi="宋体"/>
          <w:bCs/>
          <w:sz w:val="28"/>
          <w:szCs w:val="28"/>
          <w:highlight w:val="none"/>
          <w:u w:val="single"/>
          <w:lang w:eastAsia="zh-CN"/>
        </w:rPr>
        <w:t>否</w:t>
      </w:r>
      <w:r>
        <w:rPr>
          <w:rFonts w:ascii="宋体" w:hAnsi="宋体"/>
          <w:bCs/>
          <w:sz w:val="28"/>
          <w:szCs w:val="28"/>
          <w:highlight w:val="none"/>
          <w:u w:val="single"/>
        </w:rPr>
        <w:t xml:space="preserve"> </w:t>
      </w:r>
      <w:r>
        <w:rPr>
          <w:rFonts w:hint="eastAsia" w:ascii="宋体" w:hAnsi="宋体"/>
          <w:bCs/>
          <w:sz w:val="28"/>
          <w:szCs w:val="28"/>
          <w:highlight w:val="none"/>
        </w:rPr>
        <w:t>；</w:t>
      </w:r>
    </w:p>
    <w:p w14:paraId="0350F9EF">
      <w:pPr>
        <w:spacing w:line="560" w:lineRule="exact"/>
        <w:ind w:firstLine="560" w:firstLineChars="200"/>
        <w:rPr>
          <w:rFonts w:ascii="宋体" w:hAnsi="宋体"/>
          <w:bCs/>
          <w:sz w:val="28"/>
          <w:szCs w:val="28"/>
          <w:highlight w:val="none"/>
          <w:u w:val="single"/>
        </w:rPr>
      </w:pPr>
      <w:r>
        <w:rPr>
          <w:rFonts w:ascii="宋体" w:hAnsi="宋体"/>
          <w:bCs/>
          <w:sz w:val="28"/>
          <w:szCs w:val="28"/>
          <w:highlight w:val="none"/>
        </w:rPr>
        <w:t>2.</w:t>
      </w:r>
      <w:r>
        <w:rPr>
          <w:rFonts w:hint="eastAsia" w:ascii="宋体" w:hAnsi="宋体"/>
          <w:bCs/>
          <w:sz w:val="28"/>
          <w:szCs w:val="28"/>
          <w:highlight w:val="none"/>
          <w:lang w:val="en-US" w:eastAsia="zh-CN"/>
        </w:rPr>
        <w:t>项目单价</w:t>
      </w:r>
      <w:r>
        <w:rPr>
          <w:rFonts w:ascii="宋体" w:hAnsi="宋体"/>
          <w:bCs/>
          <w:sz w:val="28"/>
          <w:szCs w:val="28"/>
          <w:highlight w:val="none"/>
        </w:rPr>
        <w:t>预算：</w:t>
      </w:r>
      <w:r>
        <w:rPr>
          <w:rFonts w:hint="eastAsia" w:ascii="宋体" w:hAnsi="宋体"/>
          <w:bCs/>
          <w:sz w:val="28"/>
          <w:szCs w:val="28"/>
          <w:highlight w:val="none"/>
          <w:u w:val="single"/>
        </w:rPr>
        <w:t>￥</w:t>
      </w:r>
      <w:r>
        <w:rPr>
          <w:rFonts w:hint="eastAsia" w:ascii="宋体" w:hAnsi="宋体"/>
          <w:bCs/>
          <w:sz w:val="28"/>
          <w:szCs w:val="28"/>
          <w:highlight w:val="none"/>
          <w:u w:val="single"/>
          <w:lang w:val="en-US" w:eastAsia="zh-CN"/>
        </w:rPr>
        <w:t>97</w:t>
      </w:r>
      <w:r>
        <w:rPr>
          <w:rFonts w:hint="eastAsia" w:ascii="宋体" w:hAnsi="宋体"/>
          <w:bCs/>
          <w:sz w:val="28"/>
          <w:szCs w:val="28"/>
          <w:highlight w:val="none"/>
          <w:u w:val="single"/>
        </w:rPr>
        <w:t>0,000.00</w:t>
      </w:r>
      <w:r>
        <w:rPr>
          <w:rFonts w:hint="eastAsia" w:ascii="宋体" w:hAnsi="宋体"/>
          <w:bCs/>
          <w:sz w:val="28"/>
          <w:szCs w:val="28"/>
          <w:highlight w:val="none"/>
        </w:rPr>
        <w:t>；</w:t>
      </w:r>
    </w:p>
    <w:p w14:paraId="3D3EC7AA">
      <w:pPr>
        <w:spacing w:line="560" w:lineRule="exact"/>
        <w:ind w:firstLine="560" w:firstLineChars="200"/>
        <w:rPr>
          <w:rFonts w:ascii="宋体" w:hAnsi="宋体"/>
          <w:bCs/>
          <w:sz w:val="28"/>
          <w:szCs w:val="28"/>
          <w:highlight w:val="none"/>
        </w:rPr>
      </w:pPr>
      <w:r>
        <w:rPr>
          <w:rFonts w:ascii="宋体" w:hAnsi="宋体"/>
          <w:bCs/>
          <w:sz w:val="28"/>
          <w:szCs w:val="28"/>
          <w:highlight w:val="none"/>
        </w:rPr>
        <w:t>3.</w:t>
      </w:r>
      <w:r>
        <w:rPr>
          <w:rFonts w:hint="eastAsia" w:ascii="宋体" w:hAnsi="宋体"/>
          <w:bCs/>
          <w:sz w:val="28"/>
          <w:szCs w:val="28"/>
          <w:highlight w:val="none"/>
          <w:lang w:val="en-US" w:eastAsia="zh-CN"/>
        </w:rPr>
        <w:t>项目总预算</w:t>
      </w:r>
      <w:r>
        <w:rPr>
          <w:rFonts w:ascii="宋体" w:hAnsi="宋体"/>
          <w:bCs/>
          <w:sz w:val="28"/>
          <w:szCs w:val="28"/>
          <w:highlight w:val="none"/>
        </w:rPr>
        <w:t>：</w:t>
      </w:r>
      <w:r>
        <w:rPr>
          <w:rFonts w:hint="eastAsia" w:ascii="宋体" w:hAnsi="宋体"/>
          <w:bCs/>
          <w:sz w:val="28"/>
          <w:szCs w:val="28"/>
          <w:highlight w:val="none"/>
          <w:u w:val="single"/>
        </w:rPr>
        <w:t>￥</w:t>
      </w:r>
      <w:r>
        <w:rPr>
          <w:rFonts w:hint="eastAsia" w:ascii="宋体" w:hAnsi="宋体"/>
          <w:bCs/>
          <w:sz w:val="28"/>
          <w:szCs w:val="28"/>
          <w:highlight w:val="none"/>
          <w:u w:val="single"/>
          <w:lang w:val="en-US" w:eastAsia="zh-CN"/>
        </w:rPr>
        <w:t>97</w:t>
      </w:r>
      <w:r>
        <w:rPr>
          <w:rFonts w:hint="eastAsia" w:ascii="宋体" w:hAnsi="宋体"/>
          <w:bCs/>
          <w:sz w:val="28"/>
          <w:szCs w:val="28"/>
          <w:highlight w:val="none"/>
          <w:u w:val="single"/>
        </w:rPr>
        <w:t>0,000.00</w:t>
      </w:r>
      <w:r>
        <w:rPr>
          <w:rFonts w:hint="eastAsia" w:ascii="宋体" w:hAnsi="宋体"/>
          <w:bCs/>
          <w:sz w:val="28"/>
          <w:szCs w:val="28"/>
          <w:highlight w:val="none"/>
        </w:rPr>
        <w:t>；</w:t>
      </w:r>
    </w:p>
    <w:p w14:paraId="6DE8CF92">
      <w:pPr>
        <w:spacing w:line="560" w:lineRule="exact"/>
        <w:ind w:firstLine="560" w:firstLineChars="200"/>
        <w:rPr>
          <w:rFonts w:hint="eastAsia" w:ascii="宋体" w:hAnsi="宋体" w:eastAsia="宋体"/>
          <w:bCs/>
          <w:sz w:val="28"/>
          <w:szCs w:val="28"/>
          <w:highlight w:val="none"/>
          <w:lang w:eastAsia="zh-CN"/>
        </w:rPr>
      </w:pPr>
      <w:r>
        <w:rPr>
          <w:rFonts w:ascii="宋体" w:hAnsi="宋体"/>
          <w:bCs/>
          <w:sz w:val="28"/>
          <w:szCs w:val="28"/>
          <w:highlight w:val="none"/>
        </w:rPr>
        <w:t>4.</w:t>
      </w:r>
      <w:r>
        <w:rPr>
          <w:rFonts w:hint="eastAsia" w:ascii="宋体" w:hAnsi="宋体"/>
          <w:bCs/>
          <w:sz w:val="28"/>
          <w:szCs w:val="28"/>
          <w:highlight w:val="none"/>
        </w:rPr>
        <w:t>本项目第</w:t>
      </w:r>
      <w:r>
        <w:rPr>
          <w:rFonts w:hint="eastAsia" w:ascii="宋体" w:hAnsi="宋体"/>
          <w:bCs/>
          <w:sz w:val="28"/>
          <w:szCs w:val="28"/>
          <w:highlight w:val="none"/>
          <w:u w:val="single"/>
          <w:lang w:val="en-US" w:eastAsia="zh-CN"/>
        </w:rPr>
        <w:t>1</w:t>
      </w:r>
      <w:r>
        <w:rPr>
          <w:rFonts w:hint="eastAsia" w:ascii="宋体" w:hAnsi="宋体"/>
          <w:bCs/>
          <w:sz w:val="28"/>
          <w:szCs w:val="28"/>
          <w:highlight w:val="none"/>
        </w:rPr>
        <w:t>包确定</w:t>
      </w:r>
      <w:r>
        <w:rPr>
          <w:rFonts w:hint="eastAsia" w:ascii="宋体" w:hAnsi="宋体"/>
          <w:bCs/>
          <w:sz w:val="28"/>
          <w:szCs w:val="28"/>
          <w:highlight w:val="none"/>
          <w:u w:val="single"/>
          <w:lang w:val="en-US" w:eastAsia="zh-CN"/>
        </w:rPr>
        <w:t>1</w:t>
      </w:r>
      <w:r>
        <w:rPr>
          <w:rFonts w:hint="eastAsia" w:ascii="宋体" w:hAnsi="宋体"/>
          <w:bCs/>
          <w:sz w:val="28"/>
          <w:szCs w:val="28"/>
          <w:highlight w:val="none"/>
        </w:rPr>
        <w:t>家供应商中标</w:t>
      </w:r>
      <w:r>
        <w:rPr>
          <w:rFonts w:hint="eastAsia"/>
          <w:highlight w:val="none"/>
          <w:lang w:eastAsia="zh-CN"/>
        </w:rPr>
        <w:t>。</w:t>
      </w:r>
    </w:p>
    <w:p w14:paraId="73897C96">
      <w:pPr>
        <w:numPr>
          <w:ilvl w:val="0"/>
          <w:numId w:val="0"/>
        </w:numPr>
        <w:tabs>
          <w:tab w:val="left" w:pos="987"/>
        </w:tabs>
        <w:spacing w:line="560" w:lineRule="exact"/>
        <w:ind w:left="0" w:firstLine="560" w:firstLineChars="200"/>
        <w:outlineLvl w:val="3"/>
        <w:rPr>
          <w:rFonts w:hint="eastAsia" w:eastAsia="黑体"/>
          <w:sz w:val="28"/>
          <w:szCs w:val="28"/>
          <w:highlight w:val="none"/>
        </w:rPr>
      </w:pPr>
      <w:r>
        <w:rPr>
          <w:rFonts w:hint="eastAsia" w:eastAsia="黑体"/>
          <w:sz w:val="28"/>
          <w:szCs w:val="28"/>
          <w:highlight w:val="none"/>
        </w:rPr>
        <w:t>四、报价供应商资格条件</w:t>
      </w:r>
    </w:p>
    <w:p w14:paraId="47727C66">
      <w:pPr>
        <w:spacing w:line="560" w:lineRule="exact"/>
        <w:ind w:firstLine="560" w:firstLineChars="200"/>
        <w:rPr>
          <w:rFonts w:ascii="宋体" w:hAnsi="宋体"/>
          <w:bCs/>
          <w:sz w:val="28"/>
          <w:szCs w:val="28"/>
          <w:highlight w:val="none"/>
        </w:rPr>
      </w:pPr>
      <w:r>
        <w:rPr>
          <w:rFonts w:hint="eastAsia" w:ascii="宋体" w:hAnsi="宋体"/>
          <w:bCs/>
          <w:sz w:val="28"/>
          <w:szCs w:val="28"/>
          <w:highlight w:val="none"/>
        </w:rPr>
        <w:t>（一）具有企（事）业法人资格（有行业特殊情况的银行、保险、电力、电信等法人分支机构，会计师、律师等非法人组织，行业协会等社会团体法人除外）；</w:t>
      </w:r>
    </w:p>
    <w:p w14:paraId="68AD4394">
      <w:pPr>
        <w:spacing w:line="560" w:lineRule="exact"/>
        <w:ind w:firstLine="560" w:firstLineChars="200"/>
        <w:rPr>
          <w:rFonts w:ascii="宋体" w:hAnsi="宋体"/>
          <w:bCs/>
          <w:sz w:val="28"/>
          <w:szCs w:val="28"/>
          <w:highlight w:val="none"/>
        </w:rPr>
      </w:pPr>
      <w:r>
        <w:rPr>
          <w:rFonts w:hint="eastAsia" w:ascii="宋体" w:hAnsi="宋体"/>
          <w:bCs/>
          <w:sz w:val="28"/>
          <w:szCs w:val="28"/>
          <w:highlight w:val="none"/>
        </w:rPr>
        <w:t>（二）国有企业；事业单位；军队单位；成立</w:t>
      </w:r>
      <w:r>
        <w:rPr>
          <w:rFonts w:hint="eastAsia" w:ascii="宋体" w:hAnsi="宋体"/>
          <w:bCs/>
          <w:sz w:val="28"/>
          <w:szCs w:val="28"/>
          <w:highlight w:val="none"/>
          <w:lang w:val="en-US" w:eastAsia="zh-CN"/>
        </w:rPr>
        <w:t>一</w:t>
      </w:r>
      <w:r>
        <w:rPr>
          <w:rFonts w:hint="eastAsia" w:ascii="宋体" w:hAnsi="宋体"/>
          <w:bCs/>
          <w:sz w:val="28"/>
          <w:szCs w:val="28"/>
          <w:highlight w:val="none"/>
        </w:rPr>
        <w:t>年以上的非外资（含港澳台）独资或控股企业；</w:t>
      </w:r>
    </w:p>
    <w:p w14:paraId="6A1BCF74">
      <w:pPr>
        <w:spacing w:line="560" w:lineRule="exact"/>
        <w:ind w:firstLine="560" w:firstLineChars="200"/>
        <w:rPr>
          <w:rFonts w:ascii="宋体" w:hAnsi="宋体"/>
          <w:bCs/>
          <w:sz w:val="28"/>
          <w:szCs w:val="28"/>
          <w:highlight w:val="none"/>
        </w:rPr>
      </w:pPr>
      <w:r>
        <w:rPr>
          <w:rFonts w:hint="eastAsia" w:ascii="宋体" w:hAnsi="宋体"/>
          <w:bCs/>
          <w:sz w:val="28"/>
          <w:szCs w:val="28"/>
          <w:highlight w:val="none"/>
        </w:rPr>
        <w:t>（三）具有良好的商业信誉和健全的财务会计制度；</w:t>
      </w:r>
    </w:p>
    <w:p w14:paraId="556B72BB">
      <w:pPr>
        <w:spacing w:line="560" w:lineRule="exact"/>
        <w:ind w:firstLine="560" w:firstLineChars="200"/>
        <w:rPr>
          <w:rFonts w:hint="eastAsia" w:ascii="宋体" w:hAnsi="宋体"/>
          <w:bCs/>
          <w:sz w:val="28"/>
          <w:szCs w:val="28"/>
          <w:highlight w:val="none"/>
        </w:rPr>
        <w:sectPr>
          <w:headerReference r:id="rId22" w:type="default"/>
          <w:pgSz w:w="11906" w:h="16838"/>
          <w:pgMar w:top="1418" w:right="1134" w:bottom="1418" w:left="1418" w:header="851" w:footer="992" w:gutter="0"/>
          <w:pgNumType w:fmt="decimal"/>
          <w:cols w:space="720" w:num="1"/>
          <w:docGrid w:linePitch="312" w:charSpace="0"/>
        </w:sectPr>
      </w:pPr>
    </w:p>
    <w:p w14:paraId="6A5CA2B9">
      <w:pPr>
        <w:spacing w:line="560" w:lineRule="exact"/>
        <w:ind w:firstLine="560" w:firstLineChars="200"/>
        <w:rPr>
          <w:rFonts w:ascii="宋体" w:hAnsi="宋体"/>
          <w:bCs/>
          <w:sz w:val="28"/>
          <w:szCs w:val="28"/>
          <w:highlight w:val="none"/>
        </w:rPr>
      </w:pPr>
      <w:r>
        <w:rPr>
          <w:rFonts w:hint="eastAsia" w:ascii="宋体" w:hAnsi="宋体"/>
          <w:bCs/>
          <w:sz w:val="28"/>
          <w:szCs w:val="28"/>
          <w:highlight w:val="none"/>
        </w:rPr>
        <w:t>（四）具有履行合同所必需的设施设备、专业技术能力、质量保证体系和固定的生产经营、服务场地；</w:t>
      </w:r>
    </w:p>
    <w:p w14:paraId="0A6814F9">
      <w:pPr>
        <w:spacing w:line="560" w:lineRule="exact"/>
        <w:ind w:firstLine="560" w:firstLineChars="200"/>
        <w:rPr>
          <w:rFonts w:ascii="宋体" w:hAnsi="宋体"/>
          <w:bCs/>
          <w:sz w:val="28"/>
          <w:szCs w:val="28"/>
          <w:highlight w:val="none"/>
        </w:rPr>
      </w:pPr>
      <w:r>
        <w:rPr>
          <w:rFonts w:hint="eastAsia" w:ascii="宋体" w:hAnsi="宋体"/>
          <w:bCs/>
          <w:sz w:val="28"/>
          <w:szCs w:val="28"/>
          <w:highlight w:val="none"/>
        </w:rPr>
        <w:t>（五）有依法缴纳税收和社会保障资金的良好记录；</w:t>
      </w:r>
    </w:p>
    <w:p w14:paraId="1236C28A">
      <w:pPr>
        <w:spacing w:line="560" w:lineRule="exact"/>
        <w:ind w:firstLine="560" w:firstLineChars="200"/>
        <w:rPr>
          <w:rFonts w:ascii="宋体" w:hAnsi="宋体"/>
          <w:bCs/>
          <w:sz w:val="28"/>
          <w:szCs w:val="28"/>
          <w:highlight w:val="none"/>
        </w:rPr>
      </w:pPr>
      <w:r>
        <w:rPr>
          <w:rFonts w:hint="eastAsia" w:ascii="宋体" w:hAnsi="宋体"/>
          <w:bCs/>
          <w:sz w:val="28"/>
          <w:szCs w:val="28"/>
          <w:highlight w:val="none"/>
        </w:rPr>
        <w:t>（六）参加军队采购活动前3年内，在经营活动中没有受到刑事处罚或者责令停产停业、吊销许可证或者执照、较大数额罚款（200万元以上）等重大违法记录；</w:t>
      </w:r>
    </w:p>
    <w:p w14:paraId="26707866">
      <w:pPr>
        <w:spacing w:line="560" w:lineRule="exact"/>
        <w:ind w:firstLine="560" w:firstLineChars="200"/>
        <w:rPr>
          <w:rFonts w:ascii="宋体" w:hAnsi="宋体"/>
          <w:bCs/>
          <w:sz w:val="28"/>
          <w:szCs w:val="28"/>
          <w:highlight w:val="none"/>
        </w:rPr>
      </w:pPr>
      <w:r>
        <w:rPr>
          <w:rFonts w:hint="eastAsia" w:ascii="宋体" w:hAnsi="宋体"/>
          <w:bCs/>
          <w:sz w:val="28"/>
          <w:szCs w:val="28"/>
          <w:highlight w:val="none"/>
        </w:rPr>
        <w:t>（七）未被中国政府采购网（www.ccgp.gov.cn）列入政府采购严重违法失信行为记录名单，未在军队采购网（www.plap.mil.cn）军队采购暂停名单处罚范围内或军队采购失信名单禁入处罚期和处罚范围内，以及未被“信用中国”（www.creditchina.gov.cn）列入严重失信主体名单或国家企业信用信息公示系统（www.gsxt.gov.cn）列入严重违法失信名单（处罚期内）。</w:t>
      </w:r>
    </w:p>
    <w:p w14:paraId="291545FC">
      <w:pPr>
        <w:numPr>
          <w:ilvl w:val="0"/>
          <w:numId w:val="0"/>
        </w:numPr>
        <w:tabs>
          <w:tab w:val="left" w:pos="987"/>
        </w:tabs>
        <w:spacing w:line="560" w:lineRule="exact"/>
        <w:ind w:left="0" w:firstLine="560" w:firstLineChars="200"/>
        <w:outlineLvl w:val="3"/>
        <w:rPr>
          <w:rFonts w:hint="eastAsia" w:eastAsia="黑体"/>
          <w:sz w:val="28"/>
          <w:szCs w:val="28"/>
          <w:highlight w:val="none"/>
        </w:rPr>
      </w:pPr>
      <w:r>
        <w:rPr>
          <w:rFonts w:hint="eastAsia" w:eastAsia="黑体"/>
          <w:sz w:val="28"/>
          <w:szCs w:val="28"/>
          <w:highlight w:val="none"/>
        </w:rPr>
        <w:t>五、谈判文件申领时间、地点、方式</w:t>
      </w:r>
    </w:p>
    <w:p w14:paraId="785A925D">
      <w:pPr>
        <w:spacing w:line="560" w:lineRule="exact"/>
        <w:ind w:firstLine="560" w:firstLineChars="200"/>
        <w:rPr>
          <w:rFonts w:ascii="宋体" w:hAnsi="宋体"/>
          <w:bCs/>
          <w:sz w:val="28"/>
          <w:szCs w:val="28"/>
          <w:highlight w:val="none"/>
        </w:rPr>
      </w:pPr>
      <w:r>
        <w:rPr>
          <w:rFonts w:ascii="宋体" w:hAnsi="宋体"/>
          <w:bCs/>
          <w:sz w:val="28"/>
          <w:szCs w:val="28"/>
          <w:highlight w:val="none"/>
        </w:rPr>
        <w:t>（一）</w:t>
      </w:r>
      <w:r>
        <w:rPr>
          <w:rFonts w:hint="eastAsia" w:ascii="宋体" w:hAnsi="宋体"/>
          <w:bCs/>
          <w:sz w:val="28"/>
          <w:szCs w:val="28"/>
          <w:highlight w:val="none"/>
        </w:rPr>
        <w:t>申领</w:t>
      </w:r>
      <w:r>
        <w:rPr>
          <w:rFonts w:ascii="宋体" w:hAnsi="宋体"/>
          <w:bCs/>
          <w:sz w:val="28"/>
          <w:szCs w:val="28"/>
          <w:highlight w:val="none"/>
        </w:rPr>
        <w:t>时间</w:t>
      </w:r>
      <w:r>
        <w:rPr>
          <w:rFonts w:hint="eastAsia" w:ascii="宋体" w:hAnsi="宋体"/>
          <w:bCs/>
          <w:sz w:val="28"/>
          <w:szCs w:val="28"/>
          <w:highlight w:val="none"/>
        </w:rPr>
        <w:t>：</w:t>
      </w:r>
      <w:r>
        <w:rPr>
          <w:rFonts w:hint="eastAsia" w:ascii="宋体" w:hAnsi="宋体"/>
          <w:bCs/>
          <w:sz w:val="28"/>
          <w:szCs w:val="28"/>
          <w:highlight w:val="none"/>
          <w:u w:val="single"/>
          <w:lang w:val="en-US" w:eastAsia="zh-CN"/>
        </w:rPr>
        <w:t>2024</w:t>
      </w:r>
      <w:r>
        <w:rPr>
          <w:rFonts w:ascii="宋体" w:hAnsi="宋体"/>
          <w:bCs/>
          <w:sz w:val="28"/>
          <w:szCs w:val="28"/>
          <w:highlight w:val="none"/>
        </w:rPr>
        <w:t>年</w:t>
      </w:r>
      <w:r>
        <w:rPr>
          <w:rFonts w:hint="eastAsia" w:ascii="宋体" w:hAnsi="宋体"/>
          <w:bCs/>
          <w:sz w:val="28"/>
          <w:szCs w:val="28"/>
          <w:highlight w:val="none"/>
          <w:u w:val="single"/>
          <w:lang w:val="en-US" w:eastAsia="zh-CN"/>
        </w:rPr>
        <w:t xml:space="preserve"> 10</w:t>
      </w:r>
      <w:r>
        <w:rPr>
          <w:rFonts w:ascii="宋体" w:hAnsi="宋体"/>
          <w:bCs/>
          <w:sz w:val="28"/>
          <w:szCs w:val="28"/>
          <w:highlight w:val="none"/>
        </w:rPr>
        <w:t>月</w:t>
      </w:r>
      <w:r>
        <w:rPr>
          <w:rFonts w:hint="eastAsia" w:ascii="宋体" w:hAnsi="宋体"/>
          <w:bCs/>
          <w:sz w:val="28"/>
          <w:szCs w:val="28"/>
          <w:highlight w:val="none"/>
          <w:lang w:val="en-US" w:eastAsia="zh-CN"/>
        </w:rPr>
        <w:t xml:space="preserve"> </w:t>
      </w:r>
      <w:r>
        <w:rPr>
          <w:rFonts w:hint="eastAsia" w:ascii="宋体" w:hAnsi="宋体"/>
          <w:bCs/>
          <w:sz w:val="28"/>
          <w:szCs w:val="28"/>
          <w:highlight w:val="none"/>
          <w:u w:val="single"/>
          <w:lang w:val="en-US" w:eastAsia="zh-CN"/>
        </w:rPr>
        <w:t xml:space="preserve">28 </w:t>
      </w:r>
      <w:r>
        <w:rPr>
          <w:rFonts w:ascii="宋体" w:hAnsi="宋体"/>
          <w:bCs/>
          <w:sz w:val="28"/>
          <w:szCs w:val="28"/>
          <w:highlight w:val="none"/>
        </w:rPr>
        <w:t>日至</w:t>
      </w:r>
      <w:r>
        <w:rPr>
          <w:rFonts w:hint="eastAsia" w:ascii="宋体" w:hAnsi="宋体"/>
          <w:bCs/>
          <w:sz w:val="28"/>
          <w:szCs w:val="28"/>
          <w:highlight w:val="none"/>
          <w:u w:val="single"/>
          <w:lang w:val="en-US" w:eastAsia="zh-CN"/>
        </w:rPr>
        <w:t xml:space="preserve"> 11 </w:t>
      </w:r>
      <w:r>
        <w:rPr>
          <w:rFonts w:ascii="宋体" w:hAnsi="宋体"/>
          <w:bCs/>
          <w:sz w:val="28"/>
          <w:szCs w:val="28"/>
          <w:highlight w:val="none"/>
        </w:rPr>
        <w:t>月</w:t>
      </w:r>
      <w:r>
        <w:rPr>
          <w:rFonts w:hint="eastAsia" w:ascii="宋体" w:hAnsi="宋体"/>
          <w:bCs/>
          <w:sz w:val="28"/>
          <w:szCs w:val="28"/>
          <w:highlight w:val="none"/>
          <w:u w:val="single"/>
          <w:lang w:val="en-US" w:eastAsia="zh-CN"/>
        </w:rPr>
        <w:t xml:space="preserve">1 </w:t>
      </w:r>
      <w:r>
        <w:rPr>
          <w:rFonts w:ascii="宋体" w:hAnsi="宋体"/>
          <w:bCs/>
          <w:sz w:val="28"/>
          <w:szCs w:val="28"/>
          <w:highlight w:val="none"/>
        </w:rPr>
        <w:t>日</w:t>
      </w:r>
      <w:r>
        <w:rPr>
          <w:rFonts w:hint="eastAsia" w:ascii="宋体" w:hAnsi="宋体"/>
          <w:bCs/>
          <w:sz w:val="28"/>
          <w:szCs w:val="28"/>
          <w:highlight w:val="none"/>
        </w:rPr>
        <w:t>，每日</w:t>
      </w:r>
      <w:r>
        <w:rPr>
          <w:rFonts w:ascii="宋体" w:hAnsi="宋体"/>
          <w:bCs/>
          <w:sz w:val="28"/>
          <w:szCs w:val="28"/>
          <w:highlight w:val="none"/>
        </w:rPr>
        <w:t>上午</w:t>
      </w:r>
      <w:r>
        <w:rPr>
          <w:rFonts w:hint="eastAsia" w:ascii="宋体" w:hAnsi="宋体"/>
          <w:bCs/>
          <w:sz w:val="28"/>
          <w:szCs w:val="28"/>
          <w:highlight w:val="none"/>
          <w:u w:val="single"/>
          <w:lang w:val="en-US" w:eastAsia="zh-CN"/>
        </w:rPr>
        <w:t>8</w:t>
      </w:r>
      <w:r>
        <w:rPr>
          <w:rFonts w:ascii="宋体" w:hAnsi="宋体"/>
          <w:bCs/>
          <w:sz w:val="28"/>
          <w:szCs w:val="28"/>
          <w:highlight w:val="none"/>
        </w:rPr>
        <w:t>:</w:t>
      </w:r>
      <w:r>
        <w:rPr>
          <w:rFonts w:ascii="宋体" w:hAnsi="宋体"/>
          <w:bCs/>
          <w:sz w:val="28"/>
          <w:szCs w:val="28"/>
          <w:highlight w:val="none"/>
          <w:u w:val="single"/>
        </w:rPr>
        <w:t xml:space="preserve"> </w:t>
      </w:r>
      <w:r>
        <w:rPr>
          <w:rFonts w:hint="eastAsia" w:ascii="宋体" w:hAnsi="宋体"/>
          <w:bCs/>
          <w:sz w:val="28"/>
          <w:szCs w:val="28"/>
          <w:highlight w:val="none"/>
          <w:u w:val="single"/>
          <w:lang w:val="en-US" w:eastAsia="zh-CN"/>
        </w:rPr>
        <w:t>00</w:t>
      </w:r>
      <w:r>
        <w:rPr>
          <w:rFonts w:hint="eastAsia" w:ascii="宋体" w:hAnsi="宋体"/>
          <w:bCs/>
          <w:sz w:val="28"/>
          <w:szCs w:val="28"/>
          <w:highlight w:val="none"/>
        </w:rPr>
        <w:t>至</w:t>
      </w:r>
      <w:r>
        <w:rPr>
          <w:rFonts w:hint="eastAsia" w:ascii="宋体" w:hAnsi="宋体"/>
          <w:bCs/>
          <w:sz w:val="28"/>
          <w:szCs w:val="28"/>
          <w:highlight w:val="none"/>
          <w:u w:val="single"/>
          <w:lang w:val="en-US" w:eastAsia="zh-CN"/>
        </w:rPr>
        <w:t>12</w:t>
      </w:r>
      <w:r>
        <w:rPr>
          <w:rFonts w:ascii="宋体" w:hAnsi="宋体"/>
          <w:bCs/>
          <w:sz w:val="28"/>
          <w:szCs w:val="28"/>
          <w:highlight w:val="none"/>
        </w:rPr>
        <w:t>:</w:t>
      </w:r>
      <w:r>
        <w:rPr>
          <w:rFonts w:hint="eastAsia" w:ascii="宋体" w:hAnsi="宋体"/>
          <w:bCs/>
          <w:sz w:val="28"/>
          <w:szCs w:val="28"/>
          <w:highlight w:val="none"/>
          <w:u w:val="single"/>
          <w:lang w:val="en-US" w:eastAsia="zh-CN"/>
        </w:rPr>
        <w:t>00</w:t>
      </w:r>
      <w:r>
        <w:rPr>
          <w:rFonts w:ascii="宋体" w:hAnsi="宋体"/>
          <w:bCs/>
          <w:sz w:val="28"/>
          <w:szCs w:val="28"/>
          <w:highlight w:val="none"/>
        </w:rPr>
        <w:t>，下午</w:t>
      </w:r>
      <w:r>
        <w:rPr>
          <w:rFonts w:hint="eastAsia" w:ascii="宋体" w:hAnsi="宋体"/>
          <w:bCs/>
          <w:sz w:val="28"/>
          <w:szCs w:val="28"/>
          <w:highlight w:val="none"/>
          <w:u w:val="single"/>
          <w:lang w:val="en-US" w:eastAsia="zh-CN"/>
        </w:rPr>
        <w:t>14</w:t>
      </w:r>
      <w:r>
        <w:rPr>
          <w:rFonts w:ascii="宋体" w:hAnsi="宋体"/>
          <w:bCs/>
          <w:sz w:val="28"/>
          <w:szCs w:val="28"/>
          <w:highlight w:val="none"/>
        </w:rPr>
        <w:t>:</w:t>
      </w:r>
      <w:r>
        <w:rPr>
          <w:rFonts w:hint="eastAsia" w:ascii="宋体" w:hAnsi="宋体"/>
          <w:bCs/>
          <w:sz w:val="28"/>
          <w:szCs w:val="28"/>
          <w:highlight w:val="none"/>
          <w:u w:val="single"/>
          <w:lang w:val="en-US" w:eastAsia="zh-CN"/>
        </w:rPr>
        <w:t>30</w:t>
      </w:r>
      <w:r>
        <w:rPr>
          <w:rFonts w:hint="eastAsia" w:ascii="宋体" w:hAnsi="宋体"/>
          <w:bCs/>
          <w:sz w:val="28"/>
          <w:szCs w:val="28"/>
          <w:highlight w:val="none"/>
        </w:rPr>
        <w:t>至</w:t>
      </w:r>
      <w:r>
        <w:rPr>
          <w:rFonts w:hint="eastAsia" w:ascii="宋体" w:hAnsi="宋体"/>
          <w:bCs/>
          <w:sz w:val="28"/>
          <w:szCs w:val="28"/>
          <w:highlight w:val="none"/>
          <w:u w:val="single"/>
          <w:lang w:val="en-US" w:eastAsia="zh-CN"/>
        </w:rPr>
        <w:t>18</w:t>
      </w:r>
      <w:r>
        <w:rPr>
          <w:rFonts w:ascii="宋体" w:hAnsi="宋体"/>
          <w:bCs/>
          <w:sz w:val="28"/>
          <w:szCs w:val="28"/>
          <w:highlight w:val="none"/>
        </w:rPr>
        <w:t>:</w:t>
      </w:r>
      <w:r>
        <w:rPr>
          <w:rFonts w:hint="eastAsia" w:ascii="宋体" w:hAnsi="宋体"/>
          <w:bCs/>
          <w:sz w:val="28"/>
          <w:szCs w:val="28"/>
          <w:highlight w:val="none"/>
          <w:u w:val="single"/>
          <w:lang w:val="en-US" w:eastAsia="zh-CN"/>
        </w:rPr>
        <w:t>00</w:t>
      </w:r>
      <w:r>
        <w:rPr>
          <w:rFonts w:ascii="楷体" w:hAnsi="楷体" w:eastAsia="楷体"/>
          <w:bCs/>
          <w:sz w:val="28"/>
          <w:szCs w:val="28"/>
          <w:highlight w:val="none"/>
        </w:rPr>
        <w:t>（</w:t>
      </w:r>
      <w:r>
        <w:rPr>
          <w:rFonts w:hint="eastAsia" w:ascii="楷体" w:hAnsi="楷体" w:eastAsia="楷体"/>
          <w:bCs/>
          <w:sz w:val="28"/>
          <w:szCs w:val="28"/>
          <w:highlight w:val="none"/>
          <w:lang w:eastAsia="zh-CN"/>
        </w:rPr>
        <w:t>工作时间</w:t>
      </w:r>
      <w:r>
        <w:rPr>
          <w:rFonts w:ascii="楷体" w:hAnsi="楷体" w:eastAsia="楷体"/>
          <w:bCs/>
          <w:sz w:val="28"/>
          <w:szCs w:val="28"/>
          <w:highlight w:val="none"/>
        </w:rPr>
        <w:t>）</w:t>
      </w:r>
      <w:r>
        <w:rPr>
          <w:rFonts w:hint="eastAsia" w:ascii="宋体" w:hAnsi="宋体"/>
          <w:bCs/>
          <w:sz w:val="28"/>
          <w:szCs w:val="28"/>
          <w:highlight w:val="none"/>
        </w:rPr>
        <w:t>。</w:t>
      </w:r>
    </w:p>
    <w:p w14:paraId="0AAEF7DB">
      <w:pPr>
        <w:tabs>
          <w:tab w:val="left" w:pos="0"/>
        </w:tabs>
        <w:spacing w:line="560" w:lineRule="exact"/>
        <w:ind w:firstLine="560" w:firstLineChars="200"/>
        <w:rPr>
          <w:rFonts w:ascii="宋体" w:hAnsi="宋体"/>
          <w:bCs/>
          <w:sz w:val="28"/>
          <w:szCs w:val="28"/>
          <w:highlight w:val="none"/>
        </w:rPr>
      </w:pPr>
      <w:r>
        <w:rPr>
          <w:rFonts w:ascii="宋体" w:hAnsi="宋体"/>
          <w:bCs/>
          <w:sz w:val="28"/>
          <w:szCs w:val="28"/>
          <w:highlight w:val="none"/>
        </w:rPr>
        <w:t>（二）</w:t>
      </w:r>
      <w:r>
        <w:rPr>
          <w:rFonts w:hint="eastAsia" w:ascii="宋体" w:hAnsi="宋体"/>
          <w:bCs/>
          <w:sz w:val="28"/>
          <w:szCs w:val="28"/>
          <w:highlight w:val="none"/>
        </w:rPr>
        <w:t>申领地点</w:t>
      </w:r>
      <w:r>
        <w:rPr>
          <w:rFonts w:ascii="宋体" w:hAnsi="宋体"/>
          <w:bCs/>
          <w:sz w:val="28"/>
          <w:szCs w:val="28"/>
          <w:highlight w:val="none"/>
        </w:rPr>
        <w:t>：</w:t>
      </w:r>
      <w:r>
        <w:rPr>
          <w:rFonts w:ascii="宋体" w:hAnsi="宋体"/>
          <w:bCs/>
          <w:sz w:val="28"/>
          <w:szCs w:val="28"/>
          <w:highlight w:val="none"/>
          <w:u w:val="single"/>
        </w:rPr>
        <w:t xml:space="preserve"> </w:t>
      </w:r>
      <w:r>
        <w:rPr>
          <w:rFonts w:hint="eastAsia" w:ascii="宋体" w:hAnsi="宋体"/>
          <w:sz w:val="28"/>
          <w:szCs w:val="28"/>
          <w:highlight w:val="none"/>
          <w:u w:val="single"/>
        </w:rPr>
        <w:t>线上申请</w:t>
      </w:r>
      <w:r>
        <w:rPr>
          <w:rFonts w:ascii="宋体" w:hAnsi="宋体"/>
          <w:bCs/>
          <w:sz w:val="28"/>
          <w:szCs w:val="28"/>
          <w:highlight w:val="none"/>
          <w:u w:val="single"/>
        </w:rPr>
        <w:t xml:space="preserve"> </w:t>
      </w:r>
      <w:r>
        <w:rPr>
          <w:rFonts w:ascii="宋体" w:hAnsi="宋体"/>
          <w:bCs/>
          <w:sz w:val="28"/>
          <w:szCs w:val="28"/>
          <w:highlight w:val="none"/>
        </w:rPr>
        <w:t>。</w:t>
      </w:r>
    </w:p>
    <w:p w14:paraId="4E440874">
      <w:pPr>
        <w:tabs>
          <w:tab w:val="left" w:pos="0"/>
        </w:tabs>
        <w:spacing w:line="560" w:lineRule="exact"/>
        <w:ind w:firstLine="560" w:firstLineChars="200"/>
        <w:rPr>
          <w:rFonts w:ascii="宋体" w:hAnsi="宋体"/>
          <w:bCs/>
          <w:sz w:val="28"/>
          <w:szCs w:val="28"/>
          <w:highlight w:val="none"/>
        </w:rPr>
      </w:pPr>
      <w:r>
        <w:rPr>
          <w:rFonts w:ascii="宋体" w:hAnsi="宋体"/>
          <w:bCs/>
          <w:sz w:val="28"/>
          <w:szCs w:val="28"/>
          <w:highlight w:val="none"/>
        </w:rPr>
        <w:t>（</w:t>
      </w:r>
      <w:r>
        <w:rPr>
          <w:rFonts w:hint="eastAsia" w:ascii="宋体" w:hAnsi="宋体"/>
          <w:bCs/>
          <w:sz w:val="28"/>
          <w:szCs w:val="28"/>
          <w:highlight w:val="none"/>
        </w:rPr>
        <w:t>三</w:t>
      </w:r>
      <w:r>
        <w:rPr>
          <w:rFonts w:ascii="宋体" w:hAnsi="宋体"/>
          <w:bCs/>
          <w:sz w:val="28"/>
          <w:szCs w:val="28"/>
          <w:highlight w:val="none"/>
        </w:rPr>
        <w:t>）</w:t>
      </w:r>
      <w:r>
        <w:rPr>
          <w:rFonts w:hint="eastAsia" w:ascii="宋体" w:hAnsi="宋体"/>
          <w:bCs/>
          <w:sz w:val="28"/>
          <w:szCs w:val="28"/>
          <w:highlight w:val="none"/>
        </w:rPr>
        <w:t>申领谈判文件</w:t>
      </w:r>
      <w:r>
        <w:rPr>
          <w:rFonts w:ascii="宋体" w:hAnsi="宋体"/>
          <w:bCs/>
          <w:sz w:val="28"/>
          <w:szCs w:val="28"/>
          <w:highlight w:val="none"/>
        </w:rPr>
        <w:t>时需提供以下</w:t>
      </w:r>
      <w:r>
        <w:rPr>
          <w:rFonts w:hint="eastAsia" w:ascii="宋体" w:hAnsi="宋体"/>
          <w:bCs/>
          <w:sz w:val="28"/>
          <w:szCs w:val="28"/>
          <w:highlight w:val="none"/>
        </w:rPr>
        <w:t>材料：</w:t>
      </w:r>
    </w:p>
    <w:p w14:paraId="2D834A2A">
      <w:pPr>
        <w:tabs>
          <w:tab w:val="left" w:pos="0"/>
        </w:tabs>
        <w:spacing w:line="560" w:lineRule="exact"/>
        <w:ind w:firstLine="560" w:firstLineChars="200"/>
        <w:rPr>
          <w:rFonts w:ascii="宋体" w:hAnsi="宋体"/>
          <w:bCs/>
          <w:sz w:val="28"/>
          <w:szCs w:val="28"/>
          <w:highlight w:val="none"/>
        </w:rPr>
      </w:pPr>
      <w:r>
        <w:rPr>
          <w:rFonts w:ascii="宋体" w:hAnsi="宋体"/>
          <w:bCs/>
          <w:sz w:val="28"/>
          <w:szCs w:val="28"/>
          <w:highlight w:val="none"/>
        </w:rPr>
        <w:t>1.</w:t>
      </w:r>
      <w:r>
        <w:rPr>
          <w:rFonts w:hint="eastAsia" w:ascii="宋体" w:hAnsi="宋体"/>
          <w:bCs/>
          <w:sz w:val="28"/>
          <w:szCs w:val="28"/>
          <w:highlight w:val="none"/>
        </w:rPr>
        <w:t>营业执照或事业单位法人证书复印件加盖公章</w:t>
      </w:r>
      <w:r>
        <w:rPr>
          <w:rFonts w:ascii="宋体" w:hAnsi="宋体"/>
          <w:bCs/>
          <w:sz w:val="28"/>
          <w:szCs w:val="28"/>
          <w:highlight w:val="none"/>
        </w:rPr>
        <w:t>(军队单位不需要提供)</w:t>
      </w:r>
      <w:r>
        <w:rPr>
          <w:rFonts w:hint="eastAsia" w:ascii="宋体" w:hAnsi="宋体"/>
          <w:bCs/>
          <w:sz w:val="28"/>
          <w:szCs w:val="28"/>
          <w:highlight w:val="none"/>
          <w:lang w:eastAsia="zh-CN"/>
        </w:rPr>
        <w:t>（</w:t>
      </w:r>
      <w:r>
        <w:rPr>
          <w:rFonts w:hint="eastAsia" w:ascii="宋体" w:hAnsi="宋体"/>
          <w:bCs/>
          <w:sz w:val="28"/>
          <w:szCs w:val="28"/>
          <w:highlight w:val="none"/>
          <w:lang w:val="en-US" w:eastAsia="zh-CN"/>
        </w:rPr>
        <w:t>附录1</w:t>
      </w:r>
      <w:r>
        <w:rPr>
          <w:rFonts w:hint="eastAsia" w:ascii="宋体" w:hAnsi="宋体"/>
          <w:bCs/>
          <w:sz w:val="28"/>
          <w:szCs w:val="28"/>
          <w:highlight w:val="none"/>
          <w:lang w:eastAsia="zh-CN"/>
        </w:rPr>
        <w:t>）</w:t>
      </w:r>
      <w:r>
        <w:rPr>
          <w:rFonts w:ascii="宋体" w:hAnsi="宋体"/>
          <w:bCs/>
          <w:sz w:val="28"/>
          <w:szCs w:val="28"/>
          <w:highlight w:val="none"/>
        </w:rPr>
        <w:t>；</w:t>
      </w:r>
    </w:p>
    <w:p w14:paraId="11C3D761">
      <w:pPr>
        <w:tabs>
          <w:tab w:val="left" w:pos="0"/>
        </w:tabs>
        <w:spacing w:line="560" w:lineRule="exact"/>
        <w:ind w:firstLine="560" w:firstLineChars="200"/>
        <w:rPr>
          <w:rFonts w:hint="eastAsia" w:ascii="宋体" w:hAnsi="宋体" w:eastAsia="宋体" w:cs="Times New Roman"/>
          <w:bCs/>
          <w:sz w:val="28"/>
          <w:szCs w:val="28"/>
          <w:highlight w:val="none"/>
        </w:rPr>
      </w:pPr>
      <w:r>
        <w:rPr>
          <w:rFonts w:hint="eastAsia" w:ascii="宋体" w:hAnsi="宋体" w:eastAsia="宋体" w:cs="Times New Roman"/>
          <w:bCs/>
          <w:sz w:val="28"/>
          <w:szCs w:val="28"/>
          <w:highlight w:val="none"/>
        </w:rPr>
        <w:t>2.法定代表人资格证明书扫描件</w:t>
      </w:r>
      <w:r>
        <w:rPr>
          <w:rFonts w:hint="eastAsia" w:ascii="宋体" w:hAnsi="宋体" w:eastAsia="宋体" w:cs="Times New Roman"/>
          <w:bCs/>
          <w:sz w:val="28"/>
          <w:szCs w:val="28"/>
          <w:highlight w:val="none"/>
          <w:lang w:val="en-US" w:eastAsia="zh-CN"/>
        </w:rPr>
        <w:t>（附录2</w:t>
      </w:r>
      <w:r>
        <w:rPr>
          <w:rFonts w:hint="eastAsia" w:ascii="宋体" w:hAnsi="宋体" w:eastAsia="宋体" w:cs="Times New Roman"/>
          <w:bCs/>
          <w:sz w:val="28"/>
          <w:szCs w:val="28"/>
          <w:highlight w:val="none"/>
          <w:lang w:eastAsia="zh-CN"/>
        </w:rPr>
        <w:t>）</w:t>
      </w:r>
      <w:r>
        <w:rPr>
          <w:rFonts w:hint="eastAsia" w:ascii="宋体" w:hAnsi="宋体" w:eastAsia="宋体" w:cs="Times New Roman"/>
          <w:bCs/>
          <w:sz w:val="28"/>
          <w:szCs w:val="28"/>
          <w:highlight w:val="none"/>
        </w:rPr>
        <w:t>；</w:t>
      </w:r>
    </w:p>
    <w:p w14:paraId="71EE9EB3">
      <w:pPr>
        <w:tabs>
          <w:tab w:val="left" w:pos="0"/>
        </w:tabs>
        <w:spacing w:line="560" w:lineRule="exact"/>
        <w:ind w:firstLine="560" w:firstLineChars="200"/>
        <w:rPr>
          <w:rFonts w:hint="eastAsia" w:ascii="宋体" w:hAnsi="宋体" w:eastAsia="宋体" w:cs="Times New Roman"/>
          <w:bCs/>
          <w:sz w:val="28"/>
          <w:szCs w:val="28"/>
          <w:highlight w:val="none"/>
        </w:rPr>
      </w:pPr>
      <w:r>
        <w:rPr>
          <w:rFonts w:hint="eastAsia" w:ascii="宋体" w:hAnsi="宋体" w:eastAsia="宋体" w:cs="Times New Roman"/>
          <w:bCs/>
          <w:sz w:val="28"/>
          <w:szCs w:val="28"/>
          <w:highlight w:val="none"/>
        </w:rPr>
        <w:t>3.法定代表人授权书扫描件，授权代表身份证和授权代表在报价前4个月内（不含报价当月）连续3个月由报价供应商缴纳社保证明材料的复印件</w:t>
      </w:r>
      <w:r>
        <w:rPr>
          <w:rFonts w:hint="eastAsia" w:ascii="宋体" w:hAnsi="宋体" w:eastAsia="宋体" w:cs="Times New Roman"/>
          <w:bCs/>
          <w:sz w:val="28"/>
          <w:szCs w:val="28"/>
          <w:highlight w:val="none"/>
          <w:lang w:eastAsia="zh-CN"/>
        </w:rPr>
        <w:t>，</w:t>
      </w:r>
      <w:r>
        <w:rPr>
          <w:rFonts w:hint="eastAsia" w:ascii="宋体" w:hAnsi="宋体" w:eastAsia="宋体" w:cs="Times New Roman"/>
          <w:bCs/>
          <w:sz w:val="28"/>
          <w:szCs w:val="28"/>
          <w:highlight w:val="none"/>
          <w:lang w:val="en-US" w:eastAsia="zh-CN"/>
        </w:rPr>
        <w:t>代缴社保证明材料不予认可</w:t>
      </w:r>
      <w:r>
        <w:rPr>
          <w:rFonts w:hint="eastAsia" w:ascii="宋体" w:hAnsi="宋体" w:eastAsia="宋体" w:cs="Times New Roman"/>
          <w:bCs/>
          <w:sz w:val="28"/>
          <w:szCs w:val="28"/>
          <w:highlight w:val="none"/>
          <w:lang w:eastAsia="zh-CN"/>
        </w:rPr>
        <w:t>（</w:t>
      </w:r>
      <w:r>
        <w:rPr>
          <w:rFonts w:hint="eastAsia" w:ascii="宋体" w:hAnsi="宋体" w:eastAsia="宋体" w:cs="Times New Roman"/>
          <w:bCs/>
          <w:sz w:val="28"/>
          <w:szCs w:val="28"/>
          <w:highlight w:val="none"/>
          <w:lang w:val="en-US" w:eastAsia="zh-CN"/>
        </w:rPr>
        <w:t>附录3</w:t>
      </w:r>
      <w:r>
        <w:rPr>
          <w:rFonts w:hint="eastAsia" w:ascii="宋体" w:hAnsi="宋体" w:eastAsia="宋体" w:cs="Times New Roman"/>
          <w:bCs/>
          <w:sz w:val="28"/>
          <w:szCs w:val="28"/>
          <w:highlight w:val="none"/>
          <w:lang w:eastAsia="zh-CN"/>
        </w:rPr>
        <w:t>）</w:t>
      </w:r>
      <w:r>
        <w:rPr>
          <w:rFonts w:hint="eastAsia" w:ascii="宋体" w:hAnsi="宋体" w:eastAsia="宋体" w:cs="Times New Roman"/>
          <w:bCs/>
          <w:sz w:val="28"/>
          <w:szCs w:val="28"/>
          <w:highlight w:val="none"/>
        </w:rPr>
        <w:t>；</w:t>
      </w:r>
    </w:p>
    <w:p w14:paraId="4E6260EF">
      <w:pPr>
        <w:spacing w:line="560" w:lineRule="exact"/>
        <w:ind w:firstLine="560" w:firstLineChars="200"/>
        <w:rPr>
          <w:rFonts w:ascii="宋体" w:hAnsi="宋体"/>
          <w:bCs/>
          <w:sz w:val="28"/>
          <w:szCs w:val="28"/>
          <w:highlight w:val="none"/>
        </w:rPr>
      </w:pPr>
      <w:r>
        <w:rPr>
          <w:rFonts w:ascii="宋体" w:hAnsi="宋体"/>
          <w:bCs/>
          <w:sz w:val="28"/>
          <w:szCs w:val="28"/>
          <w:highlight w:val="none"/>
        </w:rPr>
        <w:t>4.非外资</w:t>
      </w:r>
      <w:r>
        <w:rPr>
          <w:rFonts w:hint="eastAsia" w:ascii="宋体" w:hAnsi="宋体"/>
          <w:bCs/>
          <w:sz w:val="28"/>
          <w:szCs w:val="28"/>
          <w:highlight w:val="none"/>
        </w:rPr>
        <w:t>独资</w:t>
      </w:r>
      <w:r>
        <w:rPr>
          <w:rFonts w:ascii="宋体" w:hAnsi="宋体"/>
          <w:bCs/>
          <w:sz w:val="28"/>
          <w:szCs w:val="28"/>
          <w:highlight w:val="none"/>
        </w:rPr>
        <w:t>企业或控股企业的书面声明</w:t>
      </w:r>
      <w:r>
        <w:rPr>
          <w:rFonts w:hint="eastAsia" w:ascii="宋体" w:hAnsi="宋体"/>
          <w:bCs/>
          <w:sz w:val="28"/>
          <w:szCs w:val="28"/>
          <w:highlight w:val="none"/>
        </w:rPr>
        <w:t>（事业单位、军队单位不需要提供）</w:t>
      </w:r>
      <w:r>
        <w:rPr>
          <w:rFonts w:hint="eastAsia" w:ascii="宋体" w:hAnsi="宋体"/>
          <w:bCs/>
          <w:sz w:val="28"/>
          <w:szCs w:val="28"/>
          <w:highlight w:val="none"/>
          <w:lang w:eastAsia="zh-CN"/>
        </w:rPr>
        <w:t>（</w:t>
      </w:r>
      <w:r>
        <w:rPr>
          <w:rFonts w:hint="eastAsia" w:ascii="宋体" w:hAnsi="宋体"/>
          <w:bCs/>
          <w:sz w:val="28"/>
          <w:szCs w:val="28"/>
          <w:highlight w:val="none"/>
          <w:lang w:val="en-US" w:eastAsia="zh-CN"/>
        </w:rPr>
        <w:t>附录4</w:t>
      </w:r>
      <w:r>
        <w:rPr>
          <w:rFonts w:hint="eastAsia" w:ascii="宋体" w:hAnsi="宋体"/>
          <w:bCs/>
          <w:sz w:val="28"/>
          <w:szCs w:val="28"/>
          <w:highlight w:val="none"/>
          <w:lang w:eastAsia="zh-CN"/>
        </w:rPr>
        <w:t>）</w:t>
      </w:r>
      <w:r>
        <w:rPr>
          <w:rFonts w:ascii="宋体" w:hAnsi="宋体"/>
          <w:bCs/>
          <w:sz w:val="28"/>
          <w:szCs w:val="28"/>
          <w:highlight w:val="none"/>
        </w:rPr>
        <w:t>；</w:t>
      </w:r>
    </w:p>
    <w:p w14:paraId="039C8707">
      <w:pPr>
        <w:spacing w:line="560" w:lineRule="exact"/>
        <w:ind w:firstLine="560" w:firstLineChars="200"/>
        <w:rPr>
          <w:rFonts w:ascii="宋体" w:hAnsi="宋体"/>
          <w:bCs/>
          <w:sz w:val="28"/>
          <w:szCs w:val="28"/>
          <w:highlight w:val="none"/>
        </w:rPr>
      </w:pPr>
      <w:r>
        <w:rPr>
          <w:rFonts w:ascii="宋体" w:hAnsi="宋体"/>
          <w:bCs/>
          <w:sz w:val="28"/>
          <w:szCs w:val="28"/>
          <w:highlight w:val="none"/>
        </w:rPr>
        <w:t>5.</w:t>
      </w:r>
      <w:r>
        <w:rPr>
          <w:rFonts w:hint="eastAsia" w:ascii="宋体" w:hAnsi="宋体"/>
          <w:bCs/>
          <w:sz w:val="28"/>
          <w:szCs w:val="28"/>
          <w:highlight w:val="none"/>
        </w:rPr>
        <w:t>报价供应商</w:t>
      </w:r>
      <w:r>
        <w:rPr>
          <w:rFonts w:ascii="宋体" w:hAnsi="宋体"/>
          <w:bCs/>
          <w:sz w:val="28"/>
          <w:szCs w:val="28"/>
          <w:highlight w:val="none"/>
        </w:rPr>
        <w:t>主要股东或出资人信息</w:t>
      </w:r>
      <w:r>
        <w:rPr>
          <w:rFonts w:hint="eastAsia" w:ascii="宋体" w:hAnsi="宋体"/>
          <w:bCs/>
          <w:sz w:val="28"/>
          <w:szCs w:val="28"/>
          <w:highlight w:val="none"/>
          <w:lang w:eastAsia="zh-CN"/>
        </w:rPr>
        <w:t>（</w:t>
      </w:r>
      <w:r>
        <w:rPr>
          <w:rFonts w:hint="eastAsia" w:ascii="宋体" w:hAnsi="宋体"/>
          <w:bCs/>
          <w:sz w:val="28"/>
          <w:szCs w:val="28"/>
          <w:highlight w:val="none"/>
          <w:lang w:val="en-US" w:eastAsia="zh-CN"/>
        </w:rPr>
        <w:t>附录5</w:t>
      </w:r>
      <w:r>
        <w:rPr>
          <w:rFonts w:hint="eastAsia" w:ascii="宋体" w:hAnsi="宋体"/>
          <w:bCs/>
          <w:sz w:val="28"/>
          <w:szCs w:val="28"/>
          <w:highlight w:val="none"/>
          <w:lang w:eastAsia="zh-CN"/>
        </w:rPr>
        <w:t>）</w:t>
      </w:r>
      <w:r>
        <w:rPr>
          <w:rFonts w:hint="eastAsia" w:ascii="宋体" w:hAnsi="宋体"/>
          <w:bCs/>
          <w:sz w:val="28"/>
          <w:szCs w:val="28"/>
          <w:highlight w:val="none"/>
        </w:rPr>
        <w:t>；</w:t>
      </w:r>
    </w:p>
    <w:p w14:paraId="111642B5">
      <w:pPr>
        <w:snapToGrid w:val="0"/>
        <w:spacing w:line="560" w:lineRule="exact"/>
        <w:ind w:firstLine="560" w:firstLineChars="200"/>
        <w:rPr>
          <w:rFonts w:ascii="宋体" w:hAnsi="宋体"/>
          <w:bCs/>
          <w:sz w:val="28"/>
          <w:szCs w:val="28"/>
          <w:highlight w:val="none"/>
        </w:rPr>
      </w:pPr>
      <w:r>
        <w:rPr>
          <w:rFonts w:ascii="宋体" w:hAnsi="宋体"/>
          <w:bCs/>
          <w:sz w:val="28"/>
          <w:szCs w:val="28"/>
          <w:highlight w:val="none"/>
        </w:rPr>
        <w:t>6.</w:t>
      </w:r>
      <w:bookmarkStart w:id="892" w:name="_Hlk130321482"/>
      <w:r>
        <w:rPr>
          <w:rFonts w:hint="eastAsia" w:ascii="宋体" w:hAnsi="宋体"/>
          <w:bCs/>
          <w:sz w:val="28"/>
          <w:szCs w:val="28"/>
          <w:highlight w:val="none"/>
        </w:rPr>
        <w:t>未被列入本公告第四条第（</w:t>
      </w:r>
      <w:r>
        <w:rPr>
          <w:rFonts w:hint="eastAsia" w:ascii="宋体" w:hAnsi="宋体"/>
          <w:bCs/>
          <w:sz w:val="28"/>
          <w:szCs w:val="28"/>
          <w:highlight w:val="none"/>
          <w:lang w:eastAsia="zh-CN"/>
        </w:rPr>
        <w:t>七</w:t>
      </w:r>
      <w:r>
        <w:rPr>
          <w:rFonts w:hint="eastAsia" w:ascii="宋体" w:hAnsi="宋体"/>
          <w:bCs/>
          <w:sz w:val="28"/>
          <w:szCs w:val="28"/>
          <w:highlight w:val="none"/>
        </w:rPr>
        <w:t>）项明确的违法失信名单</w:t>
      </w:r>
      <w:bookmarkEnd w:id="892"/>
      <w:r>
        <w:rPr>
          <w:rFonts w:hint="eastAsia" w:ascii="宋体" w:hAnsi="宋体"/>
          <w:bCs/>
          <w:sz w:val="28"/>
          <w:szCs w:val="28"/>
          <w:highlight w:val="none"/>
        </w:rPr>
        <w:t>的承诺书</w:t>
      </w:r>
      <w:r>
        <w:rPr>
          <w:rFonts w:hint="eastAsia" w:ascii="宋体" w:hAnsi="宋体"/>
          <w:bCs/>
          <w:sz w:val="28"/>
          <w:szCs w:val="28"/>
          <w:highlight w:val="none"/>
          <w:lang w:eastAsia="zh-CN"/>
        </w:rPr>
        <w:t>（</w:t>
      </w:r>
      <w:r>
        <w:rPr>
          <w:rFonts w:hint="eastAsia" w:ascii="宋体" w:hAnsi="宋体"/>
          <w:bCs/>
          <w:sz w:val="28"/>
          <w:szCs w:val="28"/>
          <w:highlight w:val="none"/>
          <w:lang w:val="en-US" w:eastAsia="zh-CN"/>
        </w:rPr>
        <w:t>附录6</w:t>
      </w:r>
      <w:r>
        <w:rPr>
          <w:rFonts w:hint="eastAsia" w:ascii="宋体" w:hAnsi="宋体"/>
          <w:bCs/>
          <w:sz w:val="28"/>
          <w:szCs w:val="28"/>
          <w:highlight w:val="none"/>
          <w:lang w:eastAsia="zh-CN"/>
        </w:rPr>
        <w:t>）</w:t>
      </w:r>
      <w:r>
        <w:rPr>
          <w:rFonts w:ascii="宋体" w:hAnsi="宋体"/>
          <w:bCs/>
          <w:sz w:val="28"/>
          <w:szCs w:val="28"/>
          <w:highlight w:val="none"/>
        </w:rPr>
        <w:t>；</w:t>
      </w:r>
    </w:p>
    <w:p w14:paraId="039366DA">
      <w:pPr>
        <w:spacing w:line="560" w:lineRule="exact"/>
        <w:ind w:firstLine="560" w:firstLineChars="200"/>
        <w:rPr>
          <w:rFonts w:hint="eastAsia" w:ascii="宋体" w:hAnsi="宋体"/>
          <w:bCs/>
          <w:sz w:val="28"/>
          <w:szCs w:val="28"/>
          <w:highlight w:val="none"/>
        </w:rPr>
      </w:pPr>
      <w:r>
        <w:rPr>
          <w:rFonts w:hint="eastAsia" w:ascii="宋体" w:hAnsi="宋体"/>
          <w:bCs/>
          <w:sz w:val="28"/>
          <w:szCs w:val="28"/>
          <w:highlight w:val="none"/>
        </w:rPr>
        <w:t>备注：以上条件仅限于供应商申领</w:t>
      </w:r>
      <w:r>
        <w:rPr>
          <w:rFonts w:hint="eastAsia" w:ascii="宋体" w:hAnsi="宋体"/>
          <w:bCs/>
          <w:sz w:val="28"/>
          <w:szCs w:val="28"/>
          <w:highlight w:val="none"/>
          <w:lang w:eastAsia="zh-CN"/>
        </w:rPr>
        <w:t>竞争性谈判文件</w:t>
      </w:r>
      <w:r>
        <w:rPr>
          <w:rFonts w:hint="eastAsia" w:ascii="宋体" w:hAnsi="宋体"/>
          <w:bCs/>
          <w:sz w:val="28"/>
          <w:szCs w:val="28"/>
          <w:highlight w:val="none"/>
        </w:rPr>
        <w:t>的资质条件，供应商最终是否通过资格性符合性审查以投标评审现场依据投标文件判定。</w:t>
      </w:r>
    </w:p>
    <w:p w14:paraId="5ED17C7B">
      <w:pPr>
        <w:numPr>
          <w:ilvl w:val="0"/>
          <w:numId w:val="2"/>
        </w:numPr>
        <w:tabs>
          <w:tab w:val="left" w:pos="0"/>
        </w:tabs>
        <w:spacing w:line="560" w:lineRule="exact"/>
        <w:ind w:firstLine="560" w:firstLineChars="200"/>
        <w:rPr>
          <w:rFonts w:ascii="宋体" w:hAnsi="宋体"/>
          <w:bCs/>
          <w:sz w:val="28"/>
          <w:szCs w:val="28"/>
          <w:highlight w:val="none"/>
        </w:rPr>
      </w:pPr>
      <w:r>
        <w:rPr>
          <w:rFonts w:hint="eastAsia" w:ascii="宋体" w:hAnsi="宋体"/>
          <w:bCs/>
          <w:sz w:val="28"/>
          <w:szCs w:val="28"/>
          <w:highlight w:val="none"/>
        </w:rPr>
        <w:t>申领</w:t>
      </w:r>
      <w:r>
        <w:rPr>
          <w:rFonts w:ascii="宋体" w:hAnsi="宋体"/>
          <w:bCs/>
          <w:sz w:val="28"/>
          <w:szCs w:val="28"/>
          <w:highlight w:val="none"/>
        </w:rPr>
        <w:t>方式</w:t>
      </w:r>
    </w:p>
    <w:p w14:paraId="48C30B31">
      <w:pPr>
        <w:pStyle w:val="38"/>
        <w:spacing w:before="0" w:beforeAutospacing="0" w:after="0" w:afterAutospacing="0" w:line="560" w:lineRule="atLeast"/>
        <w:ind w:firstLine="560" w:firstLineChars="200"/>
        <w:rPr>
          <w:rFonts w:hint="eastAsia" w:eastAsia="宋体" w:cs="Times New Roman"/>
          <w:bCs/>
          <w:sz w:val="28"/>
          <w:szCs w:val="28"/>
          <w:highlight w:val="none"/>
          <w:lang w:eastAsia="zh-CN"/>
        </w:rPr>
      </w:pPr>
      <w:bookmarkStart w:id="893" w:name="_Hlk118909162"/>
      <w:r>
        <w:rPr>
          <w:rFonts w:hint="eastAsia" w:ascii="宋体" w:hAnsi="宋体" w:eastAsia="宋体" w:cs="宋体"/>
          <w:bCs/>
          <w:sz w:val="28"/>
          <w:szCs w:val="28"/>
          <w:highlight w:val="none"/>
        </w:rPr>
        <w:t>网上发送。</w:t>
      </w:r>
      <w:r>
        <w:rPr>
          <w:rFonts w:hint="eastAsia" w:ascii="宋体" w:hAnsi="宋体" w:eastAsia="宋体" w:cs="宋体"/>
          <w:bCs/>
          <w:sz w:val="28"/>
          <w:szCs w:val="28"/>
          <w:highlight w:val="none"/>
          <w:lang w:eastAsia="zh-CN"/>
        </w:rPr>
        <w:t>报价</w:t>
      </w:r>
      <w:r>
        <w:rPr>
          <w:rFonts w:hint="eastAsia" w:ascii="宋体" w:hAnsi="宋体" w:eastAsia="宋体" w:cs="宋体"/>
          <w:bCs/>
          <w:sz w:val="28"/>
          <w:szCs w:val="28"/>
          <w:highlight w:val="none"/>
        </w:rPr>
        <w:t>人自行在</w:t>
      </w:r>
      <w:r>
        <w:rPr>
          <w:rFonts w:hint="eastAsia" w:ascii="宋体" w:hAnsi="宋体" w:eastAsia="宋体" w:cs="宋体"/>
          <w:bCs/>
          <w:sz w:val="28"/>
          <w:szCs w:val="28"/>
          <w:highlight w:val="none"/>
          <w:lang w:val="zh-CN"/>
        </w:rPr>
        <w:t>医院官网</w:t>
      </w:r>
      <w:r>
        <w:rPr>
          <w:rFonts w:hint="eastAsia" w:ascii="宋体" w:hAnsi="宋体" w:eastAsia="宋体" w:cs="宋体"/>
          <w:bCs/>
          <w:sz w:val="28"/>
          <w:szCs w:val="28"/>
          <w:highlight w:val="none"/>
        </w:rPr>
        <w:t>（https://www.xqhospital.com.cn/）下载，无论下载与否均视为</w:t>
      </w:r>
      <w:r>
        <w:rPr>
          <w:rFonts w:hint="eastAsia" w:ascii="宋体" w:hAnsi="宋体" w:eastAsia="宋体" w:cs="宋体"/>
          <w:bCs/>
          <w:sz w:val="28"/>
          <w:szCs w:val="28"/>
          <w:highlight w:val="none"/>
          <w:lang w:eastAsia="zh-CN"/>
        </w:rPr>
        <w:t>报价</w:t>
      </w:r>
      <w:r>
        <w:rPr>
          <w:rFonts w:hint="eastAsia" w:ascii="宋体" w:hAnsi="宋体" w:eastAsia="宋体" w:cs="宋体"/>
          <w:bCs/>
          <w:sz w:val="28"/>
          <w:szCs w:val="28"/>
          <w:highlight w:val="none"/>
        </w:rPr>
        <w:t>人知晓全部招标信息。</w:t>
      </w:r>
      <w:r>
        <w:rPr>
          <w:rFonts w:hint="eastAsia" w:ascii="宋体" w:hAnsi="宋体" w:eastAsia="宋体" w:cs="宋体"/>
          <w:bCs/>
          <w:sz w:val="28"/>
          <w:szCs w:val="28"/>
          <w:highlight w:val="none"/>
          <w:lang w:eastAsia="zh-CN"/>
        </w:rPr>
        <w:t>报价</w:t>
      </w:r>
      <w:r>
        <w:rPr>
          <w:rFonts w:hint="eastAsia" w:ascii="宋体" w:hAnsi="宋体" w:eastAsia="宋体" w:cs="宋体"/>
          <w:bCs/>
          <w:sz w:val="28"/>
          <w:szCs w:val="28"/>
          <w:highlight w:val="none"/>
        </w:rPr>
        <w:t>供应商采取发送电子邮</w:t>
      </w:r>
      <w:r>
        <w:rPr>
          <w:rFonts w:hint="eastAsia"/>
          <w:bCs/>
          <w:sz w:val="28"/>
          <w:szCs w:val="28"/>
          <w:highlight w:val="none"/>
        </w:rPr>
        <w:t>件方式提交报名材料，邮件主题：项目名称</w:t>
      </w:r>
      <w:r>
        <w:rPr>
          <w:bCs/>
          <w:sz w:val="28"/>
          <w:szCs w:val="28"/>
          <w:highlight w:val="none"/>
        </w:rPr>
        <w:t>+</w:t>
      </w:r>
      <w:r>
        <w:rPr>
          <w:rFonts w:hint="eastAsia"/>
          <w:bCs/>
          <w:sz w:val="28"/>
          <w:szCs w:val="28"/>
          <w:highlight w:val="none"/>
        </w:rPr>
        <w:t>项目编号</w:t>
      </w:r>
      <w:r>
        <w:rPr>
          <w:bCs/>
          <w:sz w:val="28"/>
          <w:szCs w:val="28"/>
          <w:highlight w:val="none"/>
        </w:rPr>
        <w:t>+</w:t>
      </w:r>
      <w:r>
        <w:rPr>
          <w:rFonts w:hint="eastAsia"/>
          <w:bCs/>
          <w:sz w:val="28"/>
          <w:szCs w:val="28"/>
          <w:highlight w:val="none"/>
        </w:rPr>
        <w:t>公司名称；邮件内容：列明公司名称、法定代表人或授权代表人姓名及联系方式；邮件附件：需采用</w:t>
      </w:r>
      <w:r>
        <w:rPr>
          <w:bCs/>
          <w:sz w:val="28"/>
          <w:szCs w:val="28"/>
          <w:highlight w:val="none"/>
        </w:rPr>
        <w:t>A4</w:t>
      </w:r>
      <w:r>
        <w:rPr>
          <w:rFonts w:hint="eastAsia"/>
          <w:bCs/>
          <w:sz w:val="28"/>
          <w:szCs w:val="28"/>
          <w:highlight w:val="none"/>
        </w:rPr>
        <w:t>纸幅面，将报名材料加盖企业鲜章，按顺序制作成1个PDF格式文件，文件名称与主题一致，复印件扫描无效。报名材料审核通过后，采购机构联系人向供应商邮箱发送</w:t>
      </w:r>
      <w:r>
        <w:rPr>
          <w:rFonts w:hint="eastAsia"/>
          <w:bCs/>
          <w:sz w:val="28"/>
          <w:szCs w:val="28"/>
          <w:highlight w:val="none"/>
          <w:lang w:eastAsia="zh-CN"/>
        </w:rPr>
        <w:t>谈判</w:t>
      </w:r>
      <w:r>
        <w:rPr>
          <w:rFonts w:hint="eastAsia"/>
          <w:bCs/>
          <w:sz w:val="28"/>
          <w:szCs w:val="28"/>
          <w:highlight w:val="none"/>
        </w:rPr>
        <w:t>文件电子版；审核未通过的，采购机构联系人以邮件形式回复审核情况，供应商可在</w:t>
      </w:r>
      <w:r>
        <w:rPr>
          <w:rFonts w:hint="eastAsia"/>
          <w:bCs/>
          <w:sz w:val="28"/>
          <w:szCs w:val="28"/>
          <w:highlight w:val="none"/>
          <w:lang w:eastAsia="zh-CN"/>
        </w:rPr>
        <w:t>谈判</w:t>
      </w:r>
      <w:r>
        <w:rPr>
          <w:rFonts w:hint="eastAsia"/>
          <w:bCs/>
          <w:sz w:val="28"/>
          <w:szCs w:val="28"/>
          <w:highlight w:val="none"/>
        </w:rPr>
        <w:t>文件申领时间内重新提交材料。采购机构邮箱</w:t>
      </w:r>
      <w:r>
        <w:rPr>
          <w:rFonts w:hint="eastAsia" w:cs="Times New Roman"/>
          <w:bCs/>
          <w:sz w:val="28"/>
          <w:szCs w:val="28"/>
          <w:highlight w:val="none"/>
        </w:rPr>
        <w:t>：</w:t>
      </w:r>
      <w:r>
        <w:rPr>
          <w:rFonts w:hint="eastAsia" w:cs="Times New Roman"/>
          <w:sz w:val="28"/>
          <w:szCs w:val="28"/>
          <w:highlight w:val="none"/>
          <w:u w:val="single"/>
        </w:rPr>
        <w:t>xqyycgzx774929@163.com</w:t>
      </w:r>
      <w:r>
        <w:rPr>
          <w:rFonts w:hint="eastAsia" w:cs="Times New Roman"/>
          <w:bCs/>
          <w:sz w:val="28"/>
          <w:szCs w:val="28"/>
          <w:highlight w:val="none"/>
        </w:rPr>
        <w:t>。</w:t>
      </w:r>
      <w:r>
        <w:rPr>
          <w:rFonts w:hint="eastAsia" w:cs="Times New Roman"/>
          <w:sz w:val="28"/>
          <w:szCs w:val="28"/>
          <w:highlight w:val="none"/>
        </w:rPr>
        <w:t>未按要求报名的供应商不得参与</w:t>
      </w:r>
      <w:r>
        <w:rPr>
          <w:rFonts w:hint="eastAsia" w:cs="Times New Roman"/>
          <w:sz w:val="28"/>
          <w:szCs w:val="28"/>
          <w:highlight w:val="none"/>
          <w:lang w:eastAsia="zh-CN"/>
        </w:rPr>
        <w:t>报价。</w:t>
      </w:r>
    </w:p>
    <w:bookmarkEnd w:id="893"/>
    <w:p w14:paraId="5CECE477">
      <w:pPr>
        <w:spacing w:line="560" w:lineRule="atLeast"/>
        <w:ind w:firstLine="560" w:firstLineChars="200"/>
        <w:rPr>
          <w:rFonts w:ascii="宋体" w:hAnsi="宋体"/>
          <w:bCs/>
          <w:sz w:val="28"/>
          <w:szCs w:val="28"/>
          <w:highlight w:val="none"/>
        </w:rPr>
      </w:pPr>
      <w:r>
        <w:rPr>
          <w:rFonts w:ascii="宋体" w:hAnsi="宋体"/>
          <w:sz w:val="28"/>
          <w:szCs w:val="28"/>
          <w:highlight w:val="none"/>
        </w:rPr>
        <w:t>（</w:t>
      </w:r>
      <w:r>
        <w:rPr>
          <w:rFonts w:hint="eastAsia" w:ascii="宋体" w:hAnsi="宋体"/>
          <w:sz w:val="28"/>
          <w:szCs w:val="28"/>
          <w:highlight w:val="none"/>
        </w:rPr>
        <w:t>五</w:t>
      </w:r>
      <w:r>
        <w:rPr>
          <w:rFonts w:ascii="宋体" w:hAnsi="宋体"/>
          <w:sz w:val="28"/>
          <w:szCs w:val="28"/>
          <w:highlight w:val="none"/>
        </w:rPr>
        <w:t>）</w:t>
      </w:r>
      <w:r>
        <w:rPr>
          <w:rFonts w:hint="eastAsia" w:ascii="宋体" w:hAnsi="宋体"/>
          <w:sz w:val="28"/>
          <w:szCs w:val="28"/>
          <w:highlight w:val="none"/>
          <w:lang w:eastAsia="zh-CN"/>
        </w:rPr>
        <w:t>谈判</w:t>
      </w:r>
      <w:r>
        <w:rPr>
          <w:rFonts w:ascii="宋体" w:hAnsi="宋体"/>
          <w:sz w:val="28"/>
          <w:szCs w:val="28"/>
          <w:highlight w:val="none"/>
        </w:rPr>
        <w:t>文件售价：</w:t>
      </w:r>
      <w:r>
        <w:rPr>
          <w:rFonts w:hint="eastAsia" w:ascii="宋体" w:hAnsi="宋体"/>
          <w:sz w:val="28"/>
          <w:szCs w:val="28"/>
          <w:highlight w:val="none"/>
          <w:u w:val="single"/>
        </w:rPr>
        <w:t>本次不收取费用</w:t>
      </w:r>
      <w:r>
        <w:rPr>
          <w:rFonts w:ascii="宋体" w:hAnsi="宋体"/>
          <w:sz w:val="28"/>
          <w:szCs w:val="28"/>
          <w:highlight w:val="none"/>
        </w:rPr>
        <w:t>。</w:t>
      </w:r>
    </w:p>
    <w:p w14:paraId="6F71D3BF">
      <w:pPr>
        <w:numPr>
          <w:ilvl w:val="0"/>
          <w:numId w:val="0"/>
        </w:numPr>
        <w:tabs>
          <w:tab w:val="left" w:pos="987"/>
        </w:tabs>
        <w:spacing w:line="560" w:lineRule="exact"/>
        <w:ind w:left="0" w:firstLine="560" w:firstLineChars="200"/>
        <w:outlineLvl w:val="3"/>
        <w:rPr>
          <w:rFonts w:hint="eastAsia" w:eastAsia="黑体"/>
          <w:sz w:val="28"/>
          <w:szCs w:val="28"/>
          <w:highlight w:val="none"/>
        </w:rPr>
      </w:pPr>
      <w:r>
        <w:rPr>
          <w:rFonts w:hint="eastAsia" w:eastAsia="黑体"/>
          <w:sz w:val="28"/>
          <w:szCs w:val="28"/>
          <w:highlight w:val="none"/>
        </w:rPr>
        <w:t>六、报价开始和截止时间及地点、方式</w:t>
      </w:r>
    </w:p>
    <w:p w14:paraId="3F908B48">
      <w:pPr>
        <w:spacing w:line="560" w:lineRule="exact"/>
        <w:ind w:firstLine="560" w:firstLineChars="200"/>
        <w:rPr>
          <w:bCs/>
          <w:sz w:val="28"/>
          <w:szCs w:val="28"/>
          <w:highlight w:val="none"/>
        </w:rPr>
      </w:pPr>
      <w:r>
        <w:rPr>
          <w:rFonts w:hint="eastAsia"/>
          <w:bCs/>
          <w:sz w:val="28"/>
          <w:szCs w:val="28"/>
          <w:highlight w:val="none"/>
        </w:rPr>
        <w:t>（一）报价</w:t>
      </w:r>
      <w:r>
        <w:rPr>
          <w:bCs/>
          <w:sz w:val="28"/>
          <w:szCs w:val="28"/>
          <w:highlight w:val="none"/>
        </w:rPr>
        <w:t>开始时间：</w:t>
      </w:r>
      <w:r>
        <w:rPr>
          <w:rFonts w:hint="eastAsia"/>
          <w:bCs/>
          <w:sz w:val="28"/>
          <w:szCs w:val="28"/>
          <w:highlight w:val="none"/>
          <w:u w:val="single"/>
          <w:lang w:val="en-US" w:eastAsia="zh-CN"/>
        </w:rPr>
        <w:t>2024</w:t>
      </w:r>
      <w:r>
        <w:rPr>
          <w:bCs/>
          <w:sz w:val="28"/>
          <w:szCs w:val="28"/>
          <w:highlight w:val="none"/>
        </w:rPr>
        <w:t>年</w:t>
      </w:r>
      <w:r>
        <w:rPr>
          <w:rFonts w:hint="eastAsia"/>
          <w:bCs/>
          <w:sz w:val="28"/>
          <w:szCs w:val="28"/>
          <w:highlight w:val="none"/>
          <w:u w:val="single"/>
          <w:lang w:val="en-US" w:eastAsia="zh-CN"/>
        </w:rPr>
        <w:t xml:space="preserve"> 11</w:t>
      </w:r>
      <w:r>
        <w:rPr>
          <w:bCs/>
          <w:sz w:val="28"/>
          <w:szCs w:val="28"/>
          <w:highlight w:val="none"/>
        </w:rPr>
        <w:t>月</w:t>
      </w:r>
      <w:r>
        <w:rPr>
          <w:rFonts w:hint="eastAsia"/>
          <w:bCs/>
          <w:sz w:val="28"/>
          <w:szCs w:val="28"/>
          <w:highlight w:val="none"/>
          <w:u w:val="single"/>
          <w:lang w:val="en-US" w:eastAsia="zh-CN"/>
        </w:rPr>
        <w:t xml:space="preserve"> 8 </w:t>
      </w:r>
      <w:r>
        <w:rPr>
          <w:bCs/>
          <w:sz w:val="28"/>
          <w:szCs w:val="28"/>
          <w:highlight w:val="none"/>
        </w:rPr>
        <w:t>日</w:t>
      </w:r>
      <w:r>
        <w:rPr>
          <w:rFonts w:hint="eastAsia"/>
          <w:bCs/>
          <w:sz w:val="28"/>
          <w:szCs w:val="28"/>
          <w:highlight w:val="none"/>
          <w:u w:val="single"/>
          <w:lang w:val="en-US" w:eastAsia="zh-CN"/>
        </w:rPr>
        <w:t>9</w:t>
      </w:r>
      <w:r>
        <w:rPr>
          <w:bCs/>
          <w:sz w:val="28"/>
          <w:szCs w:val="28"/>
          <w:highlight w:val="none"/>
        </w:rPr>
        <w:t>时</w:t>
      </w:r>
      <w:r>
        <w:rPr>
          <w:rFonts w:hint="eastAsia"/>
          <w:bCs/>
          <w:sz w:val="28"/>
          <w:szCs w:val="28"/>
          <w:highlight w:val="none"/>
          <w:u w:val="single"/>
          <w:lang w:val="en-US" w:eastAsia="zh-CN"/>
        </w:rPr>
        <w:t>00</w:t>
      </w:r>
      <w:r>
        <w:rPr>
          <w:bCs/>
          <w:sz w:val="28"/>
          <w:szCs w:val="28"/>
          <w:highlight w:val="none"/>
        </w:rPr>
        <w:t>分。</w:t>
      </w:r>
    </w:p>
    <w:p w14:paraId="188F9EF6">
      <w:pPr>
        <w:numPr>
          <w:ilvl w:val="255"/>
          <w:numId w:val="0"/>
        </w:numPr>
        <w:spacing w:line="560" w:lineRule="exact"/>
        <w:ind w:firstLine="560" w:firstLineChars="200"/>
        <w:rPr>
          <w:bCs/>
          <w:sz w:val="28"/>
          <w:szCs w:val="28"/>
          <w:highlight w:val="none"/>
        </w:rPr>
      </w:pPr>
      <w:r>
        <w:rPr>
          <w:rFonts w:hint="eastAsia"/>
          <w:bCs/>
          <w:sz w:val="28"/>
          <w:szCs w:val="28"/>
          <w:highlight w:val="none"/>
        </w:rPr>
        <w:t>（二）报价</w:t>
      </w:r>
      <w:r>
        <w:rPr>
          <w:bCs/>
          <w:sz w:val="28"/>
          <w:szCs w:val="28"/>
          <w:highlight w:val="none"/>
        </w:rPr>
        <w:t>截止时间：</w:t>
      </w:r>
      <w:r>
        <w:rPr>
          <w:rFonts w:hint="eastAsia"/>
          <w:bCs/>
          <w:sz w:val="28"/>
          <w:szCs w:val="28"/>
          <w:highlight w:val="none"/>
          <w:u w:val="single"/>
          <w:lang w:val="en-US" w:eastAsia="zh-CN"/>
        </w:rPr>
        <w:t>2024</w:t>
      </w:r>
      <w:r>
        <w:rPr>
          <w:bCs/>
          <w:sz w:val="28"/>
          <w:szCs w:val="28"/>
          <w:highlight w:val="none"/>
        </w:rPr>
        <w:t>年</w:t>
      </w:r>
      <w:r>
        <w:rPr>
          <w:rFonts w:hint="eastAsia"/>
          <w:bCs/>
          <w:sz w:val="28"/>
          <w:szCs w:val="28"/>
          <w:highlight w:val="none"/>
          <w:u w:val="single"/>
          <w:lang w:val="en-US" w:eastAsia="zh-CN"/>
        </w:rPr>
        <w:t xml:space="preserve"> 11 </w:t>
      </w:r>
      <w:r>
        <w:rPr>
          <w:bCs/>
          <w:sz w:val="28"/>
          <w:szCs w:val="28"/>
          <w:highlight w:val="none"/>
        </w:rPr>
        <w:t>月</w:t>
      </w:r>
      <w:r>
        <w:rPr>
          <w:rFonts w:hint="eastAsia"/>
          <w:bCs/>
          <w:sz w:val="28"/>
          <w:szCs w:val="28"/>
          <w:highlight w:val="none"/>
          <w:u w:val="single"/>
          <w:lang w:val="en-US" w:eastAsia="zh-CN"/>
        </w:rPr>
        <w:t xml:space="preserve"> 8</w:t>
      </w:r>
      <w:r>
        <w:rPr>
          <w:bCs/>
          <w:sz w:val="28"/>
          <w:szCs w:val="28"/>
          <w:highlight w:val="none"/>
        </w:rPr>
        <w:t>日</w:t>
      </w:r>
      <w:r>
        <w:rPr>
          <w:rFonts w:hint="eastAsia"/>
          <w:bCs/>
          <w:sz w:val="28"/>
          <w:szCs w:val="28"/>
          <w:highlight w:val="none"/>
          <w:u w:val="single"/>
          <w:lang w:val="en-US" w:eastAsia="zh-CN"/>
        </w:rPr>
        <w:t>9</w:t>
      </w:r>
      <w:r>
        <w:rPr>
          <w:bCs/>
          <w:sz w:val="28"/>
          <w:szCs w:val="28"/>
          <w:highlight w:val="none"/>
        </w:rPr>
        <w:t>时</w:t>
      </w:r>
      <w:r>
        <w:rPr>
          <w:rFonts w:hint="eastAsia"/>
          <w:bCs/>
          <w:sz w:val="28"/>
          <w:szCs w:val="28"/>
          <w:highlight w:val="none"/>
          <w:u w:val="single"/>
          <w:lang w:val="en-US" w:eastAsia="zh-CN"/>
        </w:rPr>
        <w:t>30</w:t>
      </w:r>
      <w:r>
        <w:rPr>
          <w:bCs/>
          <w:sz w:val="28"/>
          <w:szCs w:val="28"/>
          <w:highlight w:val="none"/>
        </w:rPr>
        <w:t>分。</w:t>
      </w:r>
    </w:p>
    <w:p w14:paraId="16A8729D">
      <w:pPr>
        <w:numPr>
          <w:ilvl w:val="255"/>
          <w:numId w:val="0"/>
        </w:numPr>
        <w:spacing w:line="560" w:lineRule="exact"/>
        <w:ind w:firstLine="560" w:firstLineChars="200"/>
        <w:rPr>
          <w:bCs/>
          <w:sz w:val="28"/>
          <w:szCs w:val="28"/>
          <w:highlight w:val="none"/>
        </w:rPr>
      </w:pPr>
      <w:r>
        <w:rPr>
          <w:rFonts w:hint="eastAsia"/>
          <w:bCs/>
          <w:sz w:val="28"/>
          <w:szCs w:val="28"/>
          <w:highlight w:val="none"/>
        </w:rPr>
        <w:t>（三）报价</w:t>
      </w:r>
      <w:r>
        <w:rPr>
          <w:bCs/>
          <w:sz w:val="28"/>
          <w:szCs w:val="28"/>
          <w:highlight w:val="none"/>
        </w:rPr>
        <w:t>地点：</w:t>
      </w:r>
      <w:r>
        <w:rPr>
          <w:rFonts w:hint="eastAsia"/>
          <w:sz w:val="28"/>
          <w:szCs w:val="28"/>
          <w:highlight w:val="none"/>
          <w:u w:val="single"/>
        </w:rPr>
        <w:t>重庆市沙坪坝区新桥正街183号物资采购中心</w:t>
      </w:r>
      <w:r>
        <w:rPr>
          <w:rFonts w:hint="eastAsia"/>
          <w:bCs/>
          <w:sz w:val="28"/>
          <w:szCs w:val="28"/>
          <w:highlight w:val="none"/>
        </w:rPr>
        <w:t>。</w:t>
      </w:r>
    </w:p>
    <w:p w14:paraId="4EFB915E">
      <w:pPr>
        <w:pStyle w:val="114"/>
        <w:spacing w:line="560" w:lineRule="exact"/>
        <w:ind w:firstLine="560"/>
        <w:rPr>
          <w:bCs/>
          <w:sz w:val="28"/>
          <w:szCs w:val="28"/>
          <w:highlight w:val="none"/>
        </w:rPr>
      </w:pPr>
      <w:r>
        <w:rPr>
          <w:rFonts w:hint="eastAsia"/>
          <w:bCs/>
          <w:sz w:val="28"/>
          <w:szCs w:val="28"/>
          <w:highlight w:val="none"/>
        </w:rPr>
        <w:t>（四）报价</w:t>
      </w:r>
      <w:r>
        <w:rPr>
          <w:bCs/>
          <w:sz w:val="28"/>
          <w:szCs w:val="28"/>
          <w:highlight w:val="none"/>
        </w:rPr>
        <w:t>方式：</w:t>
      </w:r>
      <w:r>
        <w:rPr>
          <w:rFonts w:hint="eastAsia"/>
          <w:bCs/>
          <w:sz w:val="28"/>
          <w:szCs w:val="28"/>
          <w:highlight w:val="none"/>
        </w:rPr>
        <w:t>由报价供应商法定代表人或授权代表现场提</w:t>
      </w:r>
      <w:r>
        <w:rPr>
          <w:bCs/>
          <w:sz w:val="28"/>
          <w:szCs w:val="28"/>
          <w:highlight w:val="none"/>
        </w:rPr>
        <w:t>交</w:t>
      </w:r>
      <w:r>
        <w:rPr>
          <w:rFonts w:hint="eastAsia"/>
          <w:bCs/>
          <w:sz w:val="28"/>
          <w:szCs w:val="28"/>
          <w:highlight w:val="none"/>
        </w:rPr>
        <w:t>报价文件</w:t>
      </w:r>
      <w:r>
        <w:rPr>
          <w:bCs/>
          <w:sz w:val="28"/>
          <w:szCs w:val="28"/>
          <w:highlight w:val="none"/>
        </w:rPr>
        <w:t>，不接受邮寄等其他方式。</w:t>
      </w:r>
    </w:p>
    <w:p w14:paraId="56A64841">
      <w:pPr>
        <w:numPr>
          <w:ilvl w:val="0"/>
          <w:numId w:val="0"/>
        </w:numPr>
        <w:tabs>
          <w:tab w:val="left" w:pos="987"/>
        </w:tabs>
        <w:spacing w:line="560" w:lineRule="exact"/>
        <w:ind w:left="0" w:firstLine="560" w:firstLineChars="200"/>
        <w:outlineLvl w:val="3"/>
        <w:rPr>
          <w:rFonts w:hint="eastAsia" w:eastAsia="黑体"/>
          <w:sz w:val="28"/>
          <w:szCs w:val="28"/>
          <w:highlight w:val="none"/>
        </w:rPr>
      </w:pPr>
      <w:r>
        <w:rPr>
          <w:rFonts w:hint="eastAsia" w:eastAsia="黑体"/>
          <w:sz w:val="28"/>
          <w:szCs w:val="28"/>
          <w:highlight w:val="none"/>
        </w:rPr>
        <w:t>七、谈判时间、地点</w:t>
      </w:r>
    </w:p>
    <w:p w14:paraId="49FF7014">
      <w:pPr>
        <w:tabs>
          <w:tab w:val="left" w:pos="888"/>
        </w:tabs>
        <w:spacing w:line="560" w:lineRule="exact"/>
        <w:ind w:firstLine="560" w:firstLineChars="200"/>
        <w:rPr>
          <w:bCs/>
          <w:sz w:val="28"/>
          <w:szCs w:val="28"/>
          <w:highlight w:val="none"/>
        </w:rPr>
      </w:pPr>
      <w:r>
        <w:rPr>
          <w:rFonts w:hint="eastAsia"/>
          <w:bCs/>
          <w:sz w:val="28"/>
          <w:szCs w:val="28"/>
          <w:highlight w:val="none"/>
        </w:rPr>
        <w:t>（一）谈判时间：</w:t>
      </w:r>
      <w:r>
        <w:rPr>
          <w:rFonts w:hint="eastAsia"/>
          <w:bCs/>
          <w:sz w:val="28"/>
          <w:szCs w:val="28"/>
          <w:highlight w:val="none"/>
          <w:u w:val="single"/>
          <w:lang w:val="en-US" w:eastAsia="zh-CN"/>
        </w:rPr>
        <w:t>2024</w:t>
      </w:r>
      <w:r>
        <w:rPr>
          <w:bCs/>
          <w:sz w:val="28"/>
          <w:szCs w:val="28"/>
          <w:highlight w:val="none"/>
        </w:rPr>
        <w:t>年</w:t>
      </w:r>
      <w:r>
        <w:rPr>
          <w:rFonts w:hint="eastAsia"/>
          <w:bCs/>
          <w:sz w:val="28"/>
          <w:szCs w:val="28"/>
          <w:highlight w:val="none"/>
          <w:u w:val="single"/>
          <w:lang w:val="en-US" w:eastAsia="zh-CN"/>
        </w:rPr>
        <w:t xml:space="preserve"> 11 </w:t>
      </w:r>
      <w:r>
        <w:rPr>
          <w:bCs/>
          <w:sz w:val="28"/>
          <w:szCs w:val="28"/>
          <w:highlight w:val="none"/>
        </w:rPr>
        <w:t>月</w:t>
      </w:r>
      <w:r>
        <w:rPr>
          <w:rFonts w:hint="eastAsia"/>
          <w:bCs/>
          <w:sz w:val="28"/>
          <w:szCs w:val="28"/>
          <w:highlight w:val="none"/>
          <w:u w:val="single"/>
          <w:lang w:val="en-US" w:eastAsia="zh-CN"/>
        </w:rPr>
        <w:t xml:space="preserve"> 8</w:t>
      </w:r>
      <w:bookmarkStart w:id="1164" w:name="_GoBack"/>
      <w:bookmarkEnd w:id="1164"/>
      <w:r>
        <w:rPr>
          <w:rFonts w:hint="eastAsia"/>
          <w:bCs/>
          <w:sz w:val="28"/>
          <w:szCs w:val="28"/>
          <w:highlight w:val="none"/>
          <w:u w:val="single"/>
          <w:lang w:val="en-US" w:eastAsia="zh-CN"/>
        </w:rPr>
        <w:t xml:space="preserve"> </w:t>
      </w:r>
      <w:r>
        <w:rPr>
          <w:bCs/>
          <w:sz w:val="28"/>
          <w:szCs w:val="28"/>
          <w:highlight w:val="none"/>
        </w:rPr>
        <w:t>日</w:t>
      </w:r>
      <w:r>
        <w:rPr>
          <w:rFonts w:hint="eastAsia"/>
          <w:bCs/>
          <w:sz w:val="28"/>
          <w:szCs w:val="28"/>
          <w:highlight w:val="none"/>
          <w:u w:val="single"/>
          <w:lang w:val="en-US" w:eastAsia="zh-CN"/>
        </w:rPr>
        <w:t>9</w:t>
      </w:r>
      <w:r>
        <w:rPr>
          <w:bCs/>
          <w:sz w:val="28"/>
          <w:szCs w:val="28"/>
          <w:highlight w:val="none"/>
        </w:rPr>
        <w:t>时</w:t>
      </w:r>
      <w:r>
        <w:rPr>
          <w:rFonts w:hint="eastAsia"/>
          <w:bCs/>
          <w:sz w:val="28"/>
          <w:szCs w:val="28"/>
          <w:highlight w:val="none"/>
          <w:u w:val="single"/>
          <w:lang w:val="en-US" w:eastAsia="zh-CN"/>
        </w:rPr>
        <w:t>30</w:t>
      </w:r>
      <w:r>
        <w:rPr>
          <w:bCs/>
          <w:sz w:val="28"/>
          <w:szCs w:val="28"/>
          <w:highlight w:val="none"/>
        </w:rPr>
        <w:t>分</w:t>
      </w:r>
      <w:r>
        <w:rPr>
          <w:rFonts w:hint="eastAsia"/>
          <w:bCs/>
          <w:sz w:val="28"/>
          <w:szCs w:val="28"/>
          <w:highlight w:val="none"/>
        </w:rPr>
        <w:t>。</w:t>
      </w:r>
    </w:p>
    <w:p w14:paraId="00EBDB3D">
      <w:pPr>
        <w:tabs>
          <w:tab w:val="left" w:pos="888"/>
        </w:tabs>
        <w:spacing w:line="560" w:lineRule="exact"/>
        <w:ind w:left="548"/>
        <w:rPr>
          <w:bCs/>
          <w:sz w:val="28"/>
          <w:szCs w:val="28"/>
          <w:highlight w:val="none"/>
        </w:rPr>
      </w:pPr>
      <w:r>
        <w:rPr>
          <w:rFonts w:hint="eastAsia"/>
          <w:bCs/>
          <w:sz w:val="28"/>
          <w:szCs w:val="28"/>
          <w:highlight w:val="none"/>
        </w:rPr>
        <w:t>（二）谈判地点：</w:t>
      </w:r>
      <w:r>
        <w:rPr>
          <w:rFonts w:hint="eastAsia"/>
          <w:sz w:val="28"/>
          <w:szCs w:val="28"/>
          <w:highlight w:val="none"/>
          <w:u w:val="single"/>
        </w:rPr>
        <w:t>重庆市沙坪坝区新桥正街183号物资采购中心</w:t>
      </w:r>
      <w:r>
        <w:rPr>
          <w:rFonts w:hint="eastAsia"/>
          <w:bCs/>
          <w:sz w:val="28"/>
          <w:szCs w:val="28"/>
          <w:highlight w:val="none"/>
        </w:rPr>
        <w:t>。</w:t>
      </w:r>
    </w:p>
    <w:p w14:paraId="358BF77A">
      <w:pPr>
        <w:numPr>
          <w:ilvl w:val="0"/>
          <w:numId w:val="0"/>
        </w:numPr>
        <w:tabs>
          <w:tab w:val="left" w:pos="987"/>
        </w:tabs>
        <w:spacing w:line="560" w:lineRule="exact"/>
        <w:ind w:left="0" w:firstLine="560" w:firstLineChars="200"/>
        <w:outlineLvl w:val="3"/>
        <w:rPr>
          <w:rFonts w:hint="default" w:eastAsia="黑体"/>
          <w:sz w:val="28"/>
          <w:szCs w:val="28"/>
          <w:highlight w:val="none"/>
          <w:lang w:val="en-US" w:eastAsia="zh-CN"/>
        </w:rPr>
      </w:pPr>
      <w:r>
        <w:rPr>
          <w:rFonts w:hint="eastAsia" w:eastAsia="黑体"/>
          <w:sz w:val="28"/>
          <w:szCs w:val="28"/>
          <w:highlight w:val="none"/>
          <w:lang w:val="en-US" w:eastAsia="zh-CN"/>
        </w:rPr>
        <w:t>八、标前答疑会、现场踏勘、样品评审</w:t>
      </w:r>
    </w:p>
    <w:p w14:paraId="3278DE36">
      <w:pPr>
        <w:numPr>
          <w:ilvl w:val="255"/>
          <w:numId w:val="0"/>
        </w:numPr>
        <w:spacing w:line="560" w:lineRule="exact"/>
        <w:ind w:firstLine="560" w:firstLineChars="200"/>
        <w:rPr>
          <w:rFonts w:hint="eastAsia" w:ascii="Times New Roman" w:hAnsi="Times New Roman" w:eastAsia="宋体" w:cs="Times New Roman"/>
          <w:bCs/>
          <w:kern w:val="2"/>
          <w:sz w:val="28"/>
          <w:szCs w:val="28"/>
          <w:highlight w:val="none"/>
          <w:lang w:val="zh-CN" w:eastAsia="zh-CN" w:bidi="ar-SA"/>
        </w:rPr>
      </w:pPr>
      <w:r>
        <w:rPr>
          <w:rFonts w:hint="eastAsia" w:ascii="Times New Roman" w:hAnsi="Times New Roman" w:eastAsia="宋体" w:cs="Times New Roman"/>
          <w:bCs/>
          <w:kern w:val="2"/>
          <w:sz w:val="28"/>
          <w:szCs w:val="28"/>
          <w:highlight w:val="none"/>
          <w:lang w:val="en-US" w:eastAsia="zh-CN" w:bidi="ar-SA"/>
        </w:rPr>
        <w:t>本项目不涉及。</w:t>
      </w:r>
    </w:p>
    <w:p w14:paraId="2D447DEC">
      <w:pPr>
        <w:numPr>
          <w:ilvl w:val="0"/>
          <w:numId w:val="0"/>
        </w:numPr>
        <w:tabs>
          <w:tab w:val="left" w:pos="987"/>
        </w:tabs>
        <w:spacing w:line="560" w:lineRule="exact"/>
        <w:ind w:left="0" w:firstLine="560" w:firstLineChars="200"/>
        <w:outlineLvl w:val="3"/>
        <w:rPr>
          <w:rFonts w:hint="eastAsia" w:eastAsia="黑体"/>
          <w:sz w:val="28"/>
          <w:szCs w:val="28"/>
          <w:highlight w:val="none"/>
          <w:lang w:val="en-US" w:eastAsia="zh-CN"/>
        </w:rPr>
      </w:pPr>
      <w:r>
        <w:rPr>
          <w:rFonts w:hint="eastAsia" w:eastAsia="黑体"/>
          <w:sz w:val="28"/>
          <w:szCs w:val="28"/>
          <w:highlight w:val="none"/>
          <w:lang w:val="en-US" w:eastAsia="zh-CN"/>
        </w:rPr>
        <w:t>九、本采购项目相关信息在《军队采购网》（www.plap.mil.cn）和《中国政府采购网》（www.ccgp.gov.cn）、医院官网（www.xqhospital.com.cn）上发布。</w:t>
      </w:r>
    </w:p>
    <w:p w14:paraId="6F7E57CE">
      <w:pPr>
        <w:numPr>
          <w:ilvl w:val="0"/>
          <w:numId w:val="0"/>
        </w:numPr>
        <w:tabs>
          <w:tab w:val="left" w:pos="987"/>
        </w:tabs>
        <w:spacing w:line="560" w:lineRule="exact"/>
        <w:ind w:left="0" w:firstLine="560" w:firstLineChars="200"/>
        <w:outlineLvl w:val="3"/>
        <w:rPr>
          <w:rFonts w:hint="eastAsia" w:eastAsia="黑体"/>
          <w:sz w:val="28"/>
          <w:szCs w:val="28"/>
          <w:highlight w:val="none"/>
          <w:lang w:val="en-US" w:eastAsia="zh-CN"/>
        </w:rPr>
      </w:pPr>
      <w:r>
        <w:rPr>
          <w:rFonts w:hint="eastAsia" w:eastAsia="黑体"/>
          <w:sz w:val="28"/>
          <w:szCs w:val="28"/>
          <w:highlight w:val="none"/>
          <w:lang w:val="en-US" w:eastAsia="zh-CN"/>
        </w:rPr>
        <w:t>十、采购机构联系方式</w:t>
      </w:r>
    </w:p>
    <w:p w14:paraId="752EB609">
      <w:pPr>
        <w:spacing w:line="560" w:lineRule="exact"/>
        <w:ind w:firstLine="560" w:firstLineChars="200"/>
        <w:rPr>
          <w:rFonts w:hint="eastAsia"/>
          <w:sz w:val="28"/>
          <w:szCs w:val="28"/>
          <w:highlight w:val="none"/>
        </w:rPr>
      </w:pPr>
      <w:r>
        <w:rPr>
          <w:sz w:val="28"/>
          <w:szCs w:val="28"/>
          <w:highlight w:val="none"/>
        </w:rPr>
        <w:t>联 系 人：</w:t>
      </w:r>
      <w:r>
        <w:rPr>
          <w:rFonts w:hint="eastAsia"/>
          <w:sz w:val="28"/>
          <w:szCs w:val="28"/>
          <w:highlight w:val="none"/>
          <w:lang w:val="en-US" w:eastAsia="zh-CN"/>
        </w:rPr>
        <w:t>贺</w:t>
      </w:r>
      <w:r>
        <w:rPr>
          <w:rFonts w:hint="eastAsia"/>
          <w:sz w:val="28"/>
          <w:szCs w:val="28"/>
          <w:highlight w:val="none"/>
          <w:u w:val="single"/>
        </w:rPr>
        <w:t>助理（报名情况咨询）</w:t>
      </w:r>
    </w:p>
    <w:p w14:paraId="6DD98666">
      <w:pPr>
        <w:spacing w:line="560" w:lineRule="exact"/>
        <w:ind w:firstLine="560" w:firstLineChars="200"/>
        <w:rPr>
          <w:rFonts w:hint="default" w:eastAsia="宋体"/>
          <w:sz w:val="28"/>
          <w:szCs w:val="28"/>
          <w:highlight w:val="none"/>
          <w:u w:val="single"/>
          <w:lang w:val="en-US" w:eastAsia="zh-CN"/>
        </w:rPr>
      </w:pPr>
      <w:r>
        <w:rPr>
          <w:rFonts w:hint="eastAsia"/>
          <w:sz w:val="28"/>
          <w:szCs w:val="28"/>
          <w:highlight w:val="none"/>
        </w:rPr>
        <w:t>办公电话</w:t>
      </w:r>
      <w:r>
        <w:rPr>
          <w:sz w:val="28"/>
          <w:szCs w:val="28"/>
          <w:highlight w:val="none"/>
        </w:rPr>
        <w:t>：</w:t>
      </w:r>
      <w:r>
        <w:rPr>
          <w:rFonts w:hint="eastAsia"/>
          <w:sz w:val="28"/>
          <w:szCs w:val="28"/>
          <w:highlight w:val="none"/>
          <w:u w:val="single"/>
        </w:rPr>
        <w:t>023-687</w:t>
      </w:r>
      <w:r>
        <w:rPr>
          <w:rFonts w:hint="eastAsia"/>
          <w:sz w:val="28"/>
          <w:szCs w:val="28"/>
          <w:highlight w:val="none"/>
          <w:u w:val="single"/>
          <w:lang w:val="en-US" w:eastAsia="zh-CN"/>
        </w:rPr>
        <w:t>63908</w:t>
      </w:r>
    </w:p>
    <w:p w14:paraId="4B491FA9">
      <w:pPr>
        <w:spacing w:line="560" w:lineRule="exact"/>
        <w:ind w:firstLine="460" w:firstLineChars="100"/>
        <w:rPr>
          <w:sz w:val="28"/>
          <w:szCs w:val="28"/>
          <w:highlight w:val="none"/>
        </w:rPr>
      </w:pPr>
      <w:r>
        <w:rPr>
          <w:rFonts w:hint="eastAsia"/>
          <w:spacing w:val="90"/>
          <w:kern w:val="0"/>
          <w:sz w:val="28"/>
          <w:szCs w:val="28"/>
          <w:highlight w:val="none"/>
          <w:fitText w:val="1200" w:id="1376149648"/>
        </w:rPr>
        <w:t>联系</w:t>
      </w:r>
      <w:r>
        <w:rPr>
          <w:rFonts w:hint="eastAsia"/>
          <w:spacing w:val="0"/>
          <w:kern w:val="0"/>
          <w:sz w:val="28"/>
          <w:szCs w:val="28"/>
          <w:highlight w:val="none"/>
          <w:fitText w:val="1200" w:id="1376149648"/>
        </w:rPr>
        <w:t>人</w:t>
      </w:r>
      <w:r>
        <w:rPr>
          <w:rFonts w:hint="eastAsia"/>
          <w:sz w:val="28"/>
          <w:szCs w:val="28"/>
          <w:highlight w:val="none"/>
        </w:rPr>
        <w:t>：</w:t>
      </w:r>
      <w:r>
        <w:rPr>
          <w:rFonts w:hint="eastAsia"/>
          <w:sz w:val="28"/>
          <w:szCs w:val="28"/>
          <w:highlight w:val="none"/>
          <w:u w:val="single"/>
          <w:lang w:val="en-US" w:eastAsia="zh-CN"/>
        </w:rPr>
        <w:t>陈</w:t>
      </w:r>
      <w:r>
        <w:rPr>
          <w:rFonts w:hint="eastAsia"/>
          <w:sz w:val="28"/>
          <w:szCs w:val="28"/>
          <w:highlight w:val="none"/>
          <w:u w:val="single"/>
        </w:rPr>
        <w:t>助理（项目咨询）</w:t>
      </w:r>
    </w:p>
    <w:p w14:paraId="3599057E">
      <w:pPr>
        <w:spacing w:line="560" w:lineRule="exact"/>
        <w:ind w:firstLine="560" w:firstLineChars="200"/>
        <w:rPr>
          <w:rFonts w:hint="default" w:eastAsia="宋体"/>
          <w:sz w:val="28"/>
          <w:szCs w:val="28"/>
          <w:highlight w:val="none"/>
          <w:u w:val="single"/>
          <w:lang w:val="en-US" w:eastAsia="zh-CN"/>
        </w:rPr>
      </w:pPr>
      <w:r>
        <w:rPr>
          <w:rFonts w:hint="eastAsia"/>
          <w:sz w:val="28"/>
          <w:szCs w:val="28"/>
          <w:highlight w:val="none"/>
        </w:rPr>
        <w:t>办公电话</w:t>
      </w:r>
      <w:r>
        <w:rPr>
          <w:sz w:val="28"/>
          <w:szCs w:val="28"/>
          <w:highlight w:val="none"/>
        </w:rPr>
        <w:t>：</w:t>
      </w:r>
      <w:r>
        <w:rPr>
          <w:rFonts w:hint="eastAsia"/>
          <w:sz w:val="28"/>
          <w:szCs w:val="28"/>
          <w:highlight w:val="none"/>
          <w:u w:val="single"/>
        </w:rPr>
        <w:t>023-</w:t>
      </w:r>
      <w:r>
        <w:rPr>
          <w:rFonts w:hint="eastAsia"/>
          <w:sz w:val="28"/>
          <w:szCs w:val="28"/>
          <w:highlight w:val="none"/>
          <w:u w:val="single"/>
          <w:lang w:val="en-US" w:eastAsia="zh-CN"/>
        </w:rPr>
        <w:t>68774927</w:t>
      </w:r>
    </w:p>
    <w:p w14:paraId="112C7B03">
      <w:pPr>
        <w:spacing w:line="560" w:lineRule="exact"/>
        <w:ind w:firstLine="560" w:firstLineChars="200"/>
        <w:rPr>
          <w:sz w:val="28"/>
          <w:szCs w:val="28"/>
          <w:highlight w:val="none"/>
          <w:u w:val="single"/>
        </w:rPr>
      </w:pPr>
      <w:r>
        <w:rPr>
          <w:sz w:val="28"/>
          <w:szCs w:val="28"/>
          <w:highlight w:val="none"/>
        </w:rPr>
        <w:t>地    址：</w:t>
      </w:r>
      <w:r>
        <w:rPr>
          <w:rFonts w:hint="eastAsia"/>
          <w:sz w:val="28"/>
          <w:szCs w:val="28"/>
          <w:highlight w:val="none"/>
          <w:u w:val="single"/>
        </w:rPr>
        <w:t>重庆市沙坪坝区新桥正街183号物资采购中心</w:t>
      </w:r>
      <w:r>
        <w:rPr>
          <w:rFonts w:hint="eastAsia"/>
          <w:bCs/>
          <w:sz w:val="28"/>
          <w:szCs w:val="28"/>
          <w:highlight w:val="none"/>
        </w:rPr>
        <w:t>。</w:t>
      </w:r>
    </w:p>
    <w:p w14:paraId="3742ED48">
      <w:pPr>
        <w:numPr>
          <w:ilvl w:val="0"/>
          <w:numId w:val="0"/>
        </w:numPr>
        <w:tabs>
          <w:tab w:val="left" w:pos="987"/>
        </w:tabs>
        <w:spacing w:line="560" w:lineRule="exact"/>
        <w:ind w:left="0" w:firstLine="560" w:firstLineChars="200"/>
        <w:outlineLvl w:val="3"/>
        <w:rPr>
          <w:rFonts w:hint="eastAsia" w:eastAsia="黑体"/>
          <w:sz w:val="28"/>
          <w:szCs w:val="28"/>
          <w:highlight w:val="none"/>
          <w:lang w:val="en-US" w:eastAsia="zh-CN"/>
        </w:rPr>
      </w:pPr>
      <w:r>
        <w:rPr>
          <w:rFonts w:hint="eastAsia" w:eastAsia="黑体"/>
          <w:sz w:val="28"/>
          <w:szCs w:val="28"/>
          <w:highlight w:val="none"/>
          <w:lang w:val="en-US" w:eastAsia="zh-CN"/>
        </w:rPr>
        <w:t>十一、监督部门联系方式</w:t>
      </w:r>
    </w:p>
    <w:p w14:paraId="44357EB5">
      <w:pPr>
        <w:spacing w:line="560" w:lineRule="exact"/>
        <w:ind w:firstLine="560" w:firstLineChars="200"/>
        <w:rPr>
          <w:bCs/>
          <w:sz w:val="28"/>
          <w:szCs w:val="28"/>
          <w:highlight w:val="none"/>
          <w:u w:val="single"/>
        </w:rPr>
      </w:pPr>
      <w:r>
        <w:rPr>
          <w:rFonts w:hint="eastAsia"/>
          <w:bCs/>
          <w:sz w:val="28"/>
          <w:szCs w:val="28"/>
          <w:highlight w:val="none"/>
        </w:rPr>
        <w:t>项目监督人：</w:t>
      </w:r>
      <w:r>
        <w:rPr>
          <w:rFonts w:hint="eastAsia"/>
          <w:sz w:val="28"/>
          <w:szCs w:val="28"/>
          <w:highlight w:val="none"/>
          <w:u w:val="single"/>
          <w:lang w:eastAsia="zh-CN"/>
        </w:rPr>
        <w:t>叶</w:t>
      </w:r>
      <w:r>
        <w:rPr>
          <w:rFonts w:hint="eastAsia"/>
          <w:sz w:val="28"/>
          <w:szCs w:val="28"/>
          <w:highlight w:val="none"/>
          <w:u w:val="single"/>
        </w:rPr>
        <w:t xml:space="preserve">助理 </w:t>
      </w:r>
    </w:p>
    <w:p w14:paraId="0E82A6B3">
      <w:pPr>
        <w:spacing w:line="560" w:lineRule="exact"/>
        <w:ind w:firstLine="560" w:firstLineChars="200"/>
        <w:rPr>
          <w:highlight w:val="none"/>
        </w:rPr>
      </w:pPr>
      <w:r>
        <w:rPr>
          <w:rFonts w:hint="eastAsia"/>
          <w:bCs/>
          <w:sz w:val="28"/>
          <w:szCs w:val="28"/>
          <w:highlight w:val="none"/>
        </w:rPr>
        <w:t>办公电话：</w:t>
      </w:r>
      <w:r>
        <w:rPr>
          <w:sz w:val="28"/>
          <w:szCs w:val="28"/>
          <w:highlight w:val="none"/>
          <w:u w:val="single"/>
        </w:rPr>
        <w:t xml:space="preserve"> </w:t>
      </w:r>
      <w:r>
        <w:rPr>
          <w:rFonts w:hint="eastAsia"/>
          <w:sz w:val="28"/>
          <w:szCs w:val="28"/>
          <w:highlight w:val="none"/>
          <w:u w:val="single"/>
        </w:rPr>
        <w:t>023-687</w:t>
      </w:r>
      <w:r>
        <w:rPr>
          <w:rFonts w:hint="eastAsia"/>
          <w:sz w:val="28"/>
          <w:szCs w:val="28"/>
          <w:highlight w:val="none"/>
          <w:u w:val="single"/>
          <w:lang w:val="en-US" w:eastAsia="zh-CN"/>
        </w:rPr>
        <w:t>55377</w:t>
      </w:r>
      <w:r>
        <w:rPr>
          <w:sz w:val="28"/>
          <w:szCs w:val="28"/>
          <w:highlight w:val="none"/>
          <w:u w:val="single"/>
        </w:rPr>
        <w:t xml:space="preserve"> </w:t>
      </w:r>
    </w:p>
    <w:p w14:paraId="7F0B4A3D">
      <w:pPr>
        <w:spacing w:line="560" w:lineRule="exact"/>
        <w:ind w:firstLine="560" w:firstLineChars="200"/>
        <w:jc w:val="right"/>
        <w:rPr>
          <w:rFonts w:hint="eastAsia" w:ascii="楷体" w:hAnsi="楷体" w:eastAsia="楷体"/>
          <w:bCs/>
          <w:iCs/>
          <w:sz w:val="28"/>
          <w:szCs w:val="28"/>
          <w:highlight w:val="none"/>
          <w:lang w:eastAsia="zh-CN"/>
        </w:rPr>
      </w:pPr>
      <w:r>
        <w:rPr>
          <w:rFonts w:hint="eastAsia" w:ascii="楷体" w:hAnsi="楷体" w:eastAsia="楷体"/>
          <w:bCs/>
          <w:iCs/>
          <w:sz w:val="28"/>
          <w:szCs w:val="28"/>
          <w:highlight w:val="none"/>
        </w:rPr>
        <w:t>采购机构：</w:t>
      </w:r>
      <w:r>
        <w:rPr>
          <w:rFonts w:hint="eastAsia" w:ascii="楷体" w:hAnsi="楷体" w:eastAsia="楷体"/>
          <w:bCs/>
          <w:iCs/>
          <w:sz w:val="28"/>
          <w:szCs w:val="28"/>
          <w:highlight w:val="none"/>
          <w:u w:val="single"/>
          <w:lang w:eastAsia="zh-CN"/>
        </w:rPr>
        <w:t>物资采购中心</w:t>
      </w:r>
    </w:p>
    <w:p w14:paraId="705B0A20">
      <w:pPr>
        <w:spacing w:line="560" w:lineRule="exact"/>
        <w:ind w:firstLine="7000" w:firstLineChars="2500"/>
        <w:jc w:val="left"/>
        <w:rPr>
          <w:bCs/>
          <w:sz w:val="28"/>
          <w:szCs w:val="28"/>
          <w:highlight w:val="none"/>
        </w:rPr>
      </w:pPr>
      <w:r>
        <w:rPr>
          <w:rFonts w:hint="eastAsia"/>
          <w:bCs/>
          <w:sz w:val="28"/>
          <w:szCs w:val="28"/>
          <w:highlight w:val="none"/>
        </w:rPr>
        <w:t>年</w:t>
      </w:r>
      <w:r>
        <w:rPr>
          <w:rFonts w:hint="eastAsia"/>
          <w:bCs/>
          <w:sz w:val="28"/>
          <w:szCs w:val="28"/>
          <w:highlight w:val="none"/>
          <w:lang w:val="en-US" w:eastAsia="zh-CN"/>
        </w:rPr>
        <w:t xml:space="preserve">   </w:t>
      </w:r>
      <w:r>
        <w:rPr>
          <w:rFonts w:hint="eastAsia"/>
          <w:bCs/>
          <w:sz w:val="28"/>
          <w:szCs w:val="28"/>
          <w:highlight w:val="none"/>
        </w:rPr>
        <w:t>月</w:t>
      </w:r>
      <w:r>
        <w:rPr>
          <w:rFonts w:hint="eastAsia"/>
          <w:bCs/>
          <w:sz w:val="28"/>
          <w:szCs w:val="28"/>
          <w:highlight w:val="none"/>
          <w:lang w:val="en-US" w:eastAsia="zh-CN"/>
        </w:rPr>
        <w:t xml:space="preserve">  </w:t>
      </w:r>
      <w:r>
        <w:rPr>
          <w:rFonts w:hint="eastAsia"/>
          <w:bCs/>
          <w:sz w:val="28"/>
          <w:szCs w:val="28"/>
          <w:highlight w:val="none"/>
        </w:rPr>
        <w:t>日</w:t>
      </w:r>
    </w:p>
    <w:p w14:paraId="44837B4B">
      <w:pPr>
        <w:rPr>
          <w:rFonts w:hint="eastAsia" w:eastAsia="方正小标宋简体"/>
          <w:b/>
          <w:bCs w:val="0"/>
          <w:sz w:val="44"/>
          <w:szCs w:val="44"/>
          <w:highlight w:val="none"/>
        </w:rPr>
      </w:pPr>
    </w:p>
    <w:p w14:paraId="384CFFE9">
      <w:pPr>
        <w:pStyle w:val="17"/>
        <w:rPr>
          <w:rFonts w:hint="eastAsia" w:eastAsia="方正小标宋简体"/>
          <w:b/>
          <w:bCs w:val="0"/>
          <w:sz w:val="44"/>
          <w:szCs w:val="44"/>
          <w:highlight w:val="none"/>
        </w:rPr>
      </w:pPr>
    </w:p>
    <w:p w14:paraId="5BC2A581">
      <w:pPr>
        <w:rPr>
          <w:rFonts w:hint="eastAsia" w:eastAsia="方正小标宋简体"/>
          <w:b/>
          <w:bCs w:val="0"/>
          <w:sz w:val="44"/>
          <w:szCs w:val="44"/>
          <w:highlight w:val="none"/>
        </w:rPr>
      </w:pPr>
    </w:p>
    <w:p w14:paraId="4A211DCA">
      <w:pPr>
        <w:pStyle w:val="17"/>
        <w:rPr>
          <w:rFonts w:hint="eastAsia" w:eastAsia="方正小标宋简体"/>
          <w:b/>
          <w:bCs w:val="0"/>
          <w:sz w:val="44"/>
          <w:szCs w:val="44"/>
          <w:highlight w:val="none"/>
        </w:rPr>
      </w:pPr>
    </w:p>
    <w:p w14:paraId="22E082E4">
      <w:pPr>
        <w:rPr>
          <w:rFonts w:hint="eastAsia" w:eastAsia="方正小标宋简体"/>
          <w:b/>
          <w:bCs w:val="0"/>
          <w:sz w:val="44"/>
          <w:szCs w:val="44"/>
          <w:highlight w:val="none"/>
        </w:rPr>
      </w:pPr>
    </w:p>
    <w:p w14:paraId="14A2D03D">
      <w:pPr>
        <w:pStyle w:val="17"/>
        <w:rPr>
          <w:rFonts w:hint="eastAsia" w:eastAsia="方正小标宋简体"/>
          <w:b/>
          <w:bCs w:val="0"/>
          <w:sz w:val="44"/>
          <w:szCs w:val="44"/>
          <w:highlight w:val="none"/>
        </w:rPr>
      </w:pPr>
    </w:p>
    <w:p w14:paraId="7B396EDF">
      <w:pPr>
        <w:rPr>
          <w:rFonts w:hint="eastAsia" w:eastAsia="方正小标宋简体"/>
          <w:b/>
          <w:bCs w:val="0"/>
          <w:sz w:val="44"/>
          <w:szCs w:val="44"/>
          <w:highlight w:val="none"/>
        </w:rPr>
      </w:pPr>
    </w:p>
    <w:p w14:paraId="0D0FE011">
      <w:pPr>
        <w:pStyle w:val="17"/>
        <w:rPr>
          <w:rFonts w:hint="eastAsia"/>
          <w:highlight w:val="none"/>
        </w:rPr>
      </w:pPr>
    </w:p>
    <w:p w14:paraId="05ED7D67">
      <w:pPr>
        <w:rPr>
          <w:rFonts w:hint="eastAsia" w:eastAsia="方正小标宋简体"/>
          <w:bCs/>
          <w:sz w:val="44"/>
          <w:szCs w:val="44"/>
          <w:highlight w:val="none"/>
        </w:rPr>
      </w:pPr>
      <w:r>
        <w:rPr>
          <w:rFonts w:hint="eastAsia" w:eastAsia="方正小标宋简体"/>
          <w:bCs/>
          <w:sz w:val="44"/>
          <w:szCs w:val="44"/>
          <w:highlight w:val="none"/>
        </w:rPr>
        <w:br w:type="page"/>
      </w:r>
    </w:p>
    <w:p w14:paraId="550DC1E0">
      <w:pPr>
        <w:jc w:val="left"/>
        <w:outlineLvl w:val="3"/>
        <w:rPr>
          <w:rFonts w:hint="eastAsia" w:eastAsia="方正小标宋简体"/>
          <w:bCs/>
          <w:sz w:val="44"/>
          <w:szCs w:val="44"/>
          <w:highlight w:val="none"/>
        </w:rPr>
      </w:pPr>
      <w:r>
        <w:rPr>
          <w:rFonts w:hint="eastAsia" w:eastAsia="方正小标宋简体"/>
          <w:bCs/>
          <w:sz w:val="44"/>
          <w:szCs w:val="44"/>
          <w:highlight w:val="none"/>
        </w:rPr>
        <w:t>附录1：</w:t>
      </w:r>
    </w:p>
    <w:p w14:paraId="0929C361">
      <w:pPr>
        <w:pStyle w:val="17"/>
        <w:rPr>
          <w:rFonts w:hint="eastAsia"/>
          <w:highlight w:val="none"/>
        </w:rPr>
      </w:pPr>
    </w:p>
    <w:p w14:paraId="78A29447">
      <w:pPr>
        <w:rPr>
          <w:rFonts w:hint="eastAsia" w:ascii="宋体" w:hAnsi="宋体" w:eastAsia="宋体" w:cs="Times New Roman"/>
          <w:b w:val="0"/>
          <w:bCs/>
          <w:kern w:val="0"/>
          <w:sz w:val="28"/>
          <w:szCs w:val="28"/>
          <w:highlight w:val="none"/>
          <w:lang w:val="zh-CN" w:eastAsia="zh-CN" w:bidi="ar-SA"/>
        </w:rPr>
      </w:pPr>
      <w:bookmarkStart w:id="894" w:name="_Toc10433"/>
      <w:bookmarkStart w:id="895" w:name="_Toc11694"/>
      <w:r>
        <w:rPr>
          <w:rFonts w:hint="eastAsia" w:ascii="宋体" w:hAnsi="宋体" w:eastAsia="宋体" w:cs="Times New Roman"/>
          <w:b w:val="0"/>
          <w:bCs/>
          <w:kern w:val="0"/>
          <w:sz w:val="28"/>
          <w:szCs w:val="28"/>
          <w:highlight w:val="none"/>
          <w:lang w:val="zh-CN" w:eastAsia="zh-CN" w:bidi="ar-SA"/>
        </w:rPr>
        <w:t>营业执照或事业单位法人证书复印件加盖公章(军队单位不需要提供)。</w:t>
      </w:r>
      <w:bookmarkEnd w:id="894"/>
      <w:bookmarkEnd w:id="895"/>
    </w:p>
    <w:p w14:paraId="0429A452">
      <w:pPr>
        <w:rPr>
          <w:rFonts w:hint="eastAsia" w:ascii="宋体" w:hAnsi="宋体" w:eastAsia="宋体" w:cs="Times New Roman"/>
          <w:b w:val="0"/>
          <w:bCs/>
          <w:kern w:val="0"/>
          <w:sz w:val="28"/>
          <w:szCs w:val="28"/>
          <w:highlight w:val="none"/>
          <w:lang w:val="zh-CN" w:eastAsia="zh-CN" w:bidi="ar-SA"/>
        </w:rPr>
      </w:pPr>
      <w:r>
        <w:rPr>
          <w:rFonts w:hint="eastAsia" w:ascii="宋体" w:hAnsi="宋体" w:eastAsia="宋体" w:cs="Times New Roman"/>
          <w:b w:val="0"/>
          <w:bCs/>
          <w:kern w:val="0"/>
          <w:sz w:val="28"/>
          <w:szCs w:val="28"/>
          <w:highlight w:val="none"/>
          <w:lang w:val="en-US" w:eastAsia="zh-CN" w:bidi="ar-SA"/>
        </w:rPr>
        <w:t>注：由</w:t>
      </w:r>
      <w:r>
        <w:rPr>
          <w:rFonts w:hint="eastAsia" w:ascii="宋体" w:hAnsi="宋体" w:cs="Times New Roman"/>
          <w:b w:val="0"/>
          <w:bCs/>
          <w:kern w:val="0"/>
          <w:sz w:val="28"/>
          <w:szCs w:val="28"/>
          <w:highlight w:val="none"/>
          <w:lang w:val="en-US" w:eastAsia="zh-CN" w:bidi="ar-SA"/>
        </w:rPr>
        <w:t>报价人</w:t>
      </w:r>
      <w:r>
        <w:rPr>
          <w:rFonts w:hint="eastAsia" w:ascii="宋体" w:hAnsi="宋体" w:eastAsia="宋体" w:cs="Times New Roman"/>
          <w:b w:val="0"/>
          <w:bCs/>
          <w:kern w:val="0"/>
          <w:sz w:val="28"/>
          <w:szCs w:val="28"/>
          <w:highlight w:val="none"/>
          <w:lang w:val="zh-CN" w:eastAsia="zh-CN" w:bidi="ar-SA"/>
        </w:rPr>
        <w:t>（供应商）自行提供。</w:t>
      </w:r>
    </w:p>
    <w:p w14:paraId="59A95993">
      <w:pPr>
        <w:rPr>
          <w:rFonts w:ascii="宋体" w:hAnsi="宋体" w:cs="宋体"/>
          <w:bCs/>
          <w:sz w:val="28"/>
          <w:szCs w:val="28"/>
          <w:highlight w:val="none"/>
        </w:rPr>
      </w:pPr>
    </w:p>
    <w:p w14:paraId="143D925B">
      <w:pPr>
        <w:pStyle w:val="17"/>
        <w:rPr>
          <w:rFonts w:ascii="宋体" w:hAnsi="宋体" w:cs="宋体"/>
          <w:bCs/>
          <w:sz w:val="28"/>
          <w:szCs w:val="28"/>
          <w:highlight w:val="none"/>
        </w:rPr>
      </w:pPr>
    </w:p>
    <w:p w14:paraId="2A3260FB">
      <w:pPr>
        <w:rPr>
          <w:rFonts w:ascii="宋体" w:hAnsi="宋体" w:cs="宋体"/>
          <w:bCs/>
          <w:sz w:val="28"/>
          <w:szCs w:val="28"/>
          <w:highlight w:val="none"/>
        </w:rPr>
      </w:pPr>
    </w:p>
    <w:p w14:paraId="1D56D5FA">
      <w:pPr>
        <w:pStyle w:val="17"/>
        <w:rPr>
          <w:rFonts w:ascii="宋体" w:hAnsi="宋体" w:cs="宋体"/>
          <w:bCs/>
          <w:sz w:val="28"/>
          <w:szCs w:val="28"/>
          <w:highlight w:val="none"/>
        </w:rPr>
      </w:pPr>
    </w:p>
    <w:p w14:paraId="4318074E">
      <w:pPr>
        <w:rPr>
          <w:rFonts w:ascii="宋体" w:hAnsi="宋体" w:cs="宋体"/>
          <w:bCs/>
          <w:sz w:val="28"/>
          <w:szCs w:val="28"/>
          <w:highlight w:val="none"/>
        </w:rPr>
      </w:pPr>
    </w:p>
    <w:p w14:paraId="44EAF5AD">
      <w:pPr>
        <w:pStyle w:val="17"/>
        <w:rPr>
          <w:rFonts w:ascii="宋体" w:hAnsi="宋体" w:cs="宋体"/>
          <w:bCs/>
          <w:sz w:val="28"/>
          <w:szCs w:val="28"/>
          <w:highlight w:val="none"/>
        </w:rPr>
      </w:pPr>
    </w:p>
    <w:p w14:paraId="429708E0">
      <w:pPr>
        <w:rPr>
          <w:rFonts w:ascii="宋体" w:hAnsi="宋体" w:cs="宋体"/>
          <w:bCs/>
          <w:sz w:val="28"/>
          <w:szCs w:val="28"/>
          <w:highlight w:val="none"/>
        </w:rPr>
      </w:pPr>
    </w:p>
    <w:p w14:paraId="208D2C87">
      <w:pPr>
        <w:pStyle w:val="17"/>
        <w:rPr>
          <w:rFonts w:ascii="宋体" w:hAnsi="宋体" w:cs="宋体"/>
          <w:bCs/>
          <w:sz w:val="28"/>
          <w:szCs w:val="28"/>
          <w:highlight w:val="none"/>
        </w:rPr>
      </w:pPr>
    </w:p>
    <w:p w14:paraId="345F9BE8">
      <w:pPr>
        <w:rPr>
          <w:rFonts w:ascii="宋体" w:hAnsi="宋体" w:cs="宋体"/>
          <w:bCs/>
          <w:sz w:val="28"/>
          <w:szCs w:val="28"/>
          <w:highlight w:val="none"/>
        </w:rPr>
      </w:pPr>
    </w:p>
    <w:p w14:paraId="01A70AEA">
      <w:pPr>
        <w:pStyle w:val="17"/>
        <w:rPr>
          <w:rFonts w:ascii="宋体" w:hAnsi="宋体" w:cs="宋体"/>
          <w:bCs/>
          <w:sz w:val="28"/>
          <w:szCs w:val="28"/>
          <w:highlight w:val="none"/>
        </w:rPr>
      </w:pPr>
    </w:p>
    <w:p w14:paraId="53BF72D7">
      <w:pPr>
        <w:rPr>
          <w:rFonts w:ascii="宋体" w:hAnsi="宋体" w:cs="宋体"/>
          <w:bCs/>
          <w:sz w:val="28"/>
          <w:szCs w:val="28"/>
          <w:highlight w:val="none"/>
        </w:rPr>
      </w:pPr>
    </w:p>
    <w:p w14:paraId="0E20C1EB">
      <w:pPr>
        <w:pStyle w:val="17"/>
        <w:rPr>
          <w:rFonts w:ascii="宋体" w:hAnsi="宋体" w:cs="宋体"/>
          <w:bCs/>
          <w:sz w:val="28"/>
          <w:szCs w:val="28"/>
          <w:highlight w:val="none"/>
        </w:rPr>
      </w:pPr>
    </w:p>
    <w:p w14:paraId="190A3AA8">
      <w:pPr>
        <w:rPr>
          <w:rFonts w:ascii="宋体" w:hAnsi="宋体" w:cs="宋体"/>
          <w:bCs/>
          <w:sz w:val="28"/>
          <w:szCs w:val="28"/>
          <w:highlight w:val="none"/>
        </w:rPr>
      </w:pPr>
    </w:p>
    <w:p w14:paraId="0E0754A7">
      <w:pPr>
        <w:pStyle w:val="17"/>
        <w:rPr>
          <w:rFonts w:ascii="宋体" w:hAnsi="宋体" w:cs="宋体"/>
          <w:bCs/>
          <w:sz w:val="28"/>
          <w:szCs w:val="28"/>
          <w:highlight w:val="none"/>
        </w:rPr>
      </w:pPr>
    </w:p>
    <w:p w14:paraId="21A01949">
      <w:pPr>
        <w:rPr>
          <w:rFonts w:ascii="宋体" w:hAnsi="宋体" w:cs="宋体"/>
          <w:bCs/>
          <w:sz w:val="28"/>
          <w:szCs w:val="28"/>
          <w:highlight w:val="none"/>
        </w:rPr>
      </w:pPr>
    </w:p>
    <w:p w14:paraId="4B0A89E7">
      <w:pPr>
        <w:pStyle w:val="17"/>
        <w:rPr>
          <w:rFonts w:ascii="宋体" w:hAnsi="宋体" w:cs="宋体"/>
          <w:bCs/>
          <w:sz w:val="28"/>
          <w:szCs w:val="28"/>
          <w:highlight w:val="none"/>
        </w:rPr>
      </w:pPr>
    </w:p>
    <w:p w14:paraId="1E725723">
      <w:pPr>
        <w:rPr>
          <w:rFonts w:ascii="宋体" w:hAnsi="宋体" w:cs="宋体"/>
          <w:bCs/>
          <w:sz w:val="28"/>
          <w:szCs w:val="28"/>
          <w:highlight w:val="none"/>
        </w:rPr>
      </w:pPr>
    </w:p>
    <w:p w14:paraId="6951E8C8">
      <w:pPr>
        <w:pStyle w:val="17"/>
        <w:rPr>
          <w:rFonts w:ascii="宋体" w:hAnsi="宋体" w:cs="宋体"/>
          <w:bCs/>
          <w:sz w:val="28"/>
          <w:szCs w:val="28"/>
          <w:highlight w:val="none"/>
        </w:rPr>
      </w:pPr>
    </w:p>
    <w:p w14:paraId="25B85FA2">
      <w:pPr>
        <w:rPr>
          <w:rFonts w:ascii="宋体" w:hAnsi="宋体" w:cs="宋体"/>
          <w:bCs/>
          <w:sz w:val="28"/>
          <w:szCs w:val="28"/>
          <w:highlight w:val="none"/>
        </w:rPr>
      </w:pPr>
    </w:p>
    <w:p w14:paraId="314670A5">
      <w:pPr>
        <w:pStyle w:val="17"/>
        <w:rPr>
          <w:rFonts w:ascii="宋体" w:hAnsi="宋体" w:cs="宋体"/>
          <w:bCs/>
          <w:sz w:val="28"/>
          <w:szCs w:val="28"/>
          <w:highlight w:val="none"/>
        </w:rPr>
      </w:pPr>
    </w:p>
    <w:p w14:paraId="7A53A7E8">
      <w:pPr>
        <w:rPr>
          <w:rFonts w:ascii="宋体" w:hAnsi="宋体" w:cs="宋体"/>
          <w:bCs/>
          <w:sz w:val="28"/>
          <w:szCs w:val="28"/>
          <w:highlight w:val="none"/>
        </w:rPr>
      </w:pPr>
    </w:p>
    <w:p w14:paraId="2D1DCC46">
      <w:pPr>
        <w:pStyle w:val="17"/>
        <w:rPr>
          <w:rFonts w:ascii="宋体" w:hAnsi="宋体" w:cs="宋体"/>
          <w:bCs/>
          <w:sz w:val="28"/>
          <w:szCs w:val="28"/>
          <w:highlight w:val="none"/>
        </w:rPr>
      </w:pPr>
    </w:p>
    <w:p w14:paraId="02105C08">
      <w:pPr>
        <w:rPr>
          <w:rFonts w:ascii="宋体" w:hAnsi="宋体" w:cs="宋体"/>
          <w:bCs/>
          <w:sz w:val="28"/>
          <w:szCs w:val="28"/>
          <w:highlight w:val="none"/>
        </w:rPr>
      </w:pPr>
    </w:p>
    <w:p w14:paraId="330FFA65">
      <w:pPr>
        <w:pStyle w:val="17"/>
        <w:rPr>
          <w:rFonts w:ascii="宋体" w:hAnsi="宋体" w:cs="宋体"/>
          <w:bCs/>
          <w:sz w:val="28"/>
          <w:szCs w:val="28"/>
          <w:highlight w:val="none"/>
        </w:rPr>
      </w:pPr>
    </w:p>
    <w:p w14:paraId="6E5B0E4D">
      <w:pPr>
        <w:rPr>
          <w:rFonts w:ascii="宋体" w:hAnsi="宋体" w:cs="宋体"/>
          <w:bCs/>
          <w:sz w:val="28"/>
          <w:szCs w:val="28"/>
          <w:highlight w:val="none"/>
        </w:rPr>
      </w:pPr>
    </w:p>
    <w:p w14:paraId="746110AA">
      <w:pPr>
        <w:pStyle w:val="17"/>
        <w:rPr>
          <w:rFonts w:ascii="宋体" w:hAnsi="宋体" w:cs="宋体"/>
          <w:bCs/>
          <w:sz w:val="28"/>
          <w:szCs w:val="28"/>
          <w:highlight w:val="none"/>
        </w:rPr>
      </w:pPr>
    </w:p>
    <w:p w14:paraId="2464C8A2">
      <w:pPr>
        <w:rPr>
          <w:rFonts w:ascii="宋体" w:hAnsi="宋体" w:cs="宋体"/>
          <w:bCs/>
          <w:sz w:val="28"/>
          <w:szCs w:val="28"/>
          <w:highlight w:val="none"/>
        </w:rPr>
      </w:pPr>
    </w:p>
    <w:p w14:paraId="7557C169">
      <w:pPr>
        <w:pStyle w:val="17"/>
        <w:rPr>
          <w:rFonts w:ascii="宋体" w:hAnsi="宋体" w:cs="宋体"/>
          <w:bCs/>
          <w:sz w:val="28"/>
          <w:szCs w:val="28"/>
          <w:highlight w:val="none"/>
        </w:rPr>
      </w:pPr>
    </w:p>
    <w:p w14:paraId="2A3BA9A8">
      <w:pPr>
        <w:outlineLvl w:val="3"/>
        <w:rPr>
          <w:highlight w:val="none"/>
        </w:rPr>
      </w:pPr>
      <w:bookmarkStart w:id="896" w:name="_Toc20284"/>
      <w:bookmarkStart w:id="897" w:name="_Toc19505"/>
      <w:r>
        <w:rPr>
          <w:rFonts w:hint="eastAsia" w:ascii="Times New Roman" w:hAnsi="Times New Roman" w:eastAsia="方正小标宋简体" w:cs="Times New Roman"/>
          <w:b w:val="0"/>
          <w:bCs/>
          <w:kern w:val="2"/>
          <w:sz w:val="44"/>
          <w:szCs w:val="44"/>
          <w:highlight w:val="none"/>
          <w:lang w:val="en-US" w:eastAsia="zh-CN" w:bidi="ar-SA"/>
        </w:rPr>
        <w:t>附录2：</w:t>
      </w:r>
      <w:bookmarkEnd w:id="896"/>
      <w:bookmarkEnd w:id="897"/>
    </w:p>
    <w:p w14:paraId="3F4BEAF2">
      <w:pPr>
        <w:jc w:val="center"/>
        <w:outlineLvl w:val="9"/>
        <w:rPr>
          <w:rFonts w:eastAsia="方正小标宋简体"/>
          <w:bCs/>
          <w:sz w:val="44"/>
          <w:highlight w:val="none"/>
        </w:rPr>
      </w:pPr>
      <w:bookmarkStart w:id="898" w:name="_Toc23092"/>
      <w:r>
        <w:rPr>
          <w:rFonts w:eastAsia="方正小标宋简体"/>
          <w:bCs/>
          <w:sz w:val="44"/>
          <w:highlight w:val="none"/>
        </w:rPr>
        <w:t>法定代表人资格证明书</w:t>
      </w:r>
      <w:bookmarkEnd w:id="898"/>
    </w:p>
    <w:p w14:paraId="3059879F">
      <w:pPr>
        <w:jc w:val="center"/>
        <w:rPr>
          <w:rFonts w:eastAsia="华文中宋"/>
          <w:bCs/>
          <w:sz w:val="44"/>
          <w:highlight w:val="none"/>
        </w:rPr>
      </w:pPr>
    </w:p>
    <w:p w14:paraId="062ED5E9">
      <w:pPr>
        <w:ind w:firstLine="560" w:firstLineChars="200"/>
        <w:rPr>
          <w:rFonts w:eastAsia="楷体_GB2312"/>
          <w:sz w:val="28"/>
          <w:szCs w:val="28"/>
          <w:highlight w:val="none"/>
        </w:rPr>
      </w:pPr>
    </w:p>
    <w:p w14:paraId="4BB21125">
      <w:pPr>
        <w:ind w:firstLine="560" w:firstLineChars="200"/>
        <w:rPr>
          <w:sz w:val="28"/>
          <w:szCs w:val="28"/>
          <w:highlight w:val="none"/>
        </w:rPr>
      </w:pPr>
      <w:r>
        <w:rPr>
          <w:sz w:val="28"/>
          <w:szCs w:val="28"/>
          <w:highlight w:val="none"/>
          <w:u w:val="single"/>
        </w:rPr>
        <w:t>（法定代表人姓名）</w:t>
      </w:r>
      <w:r>
        <w:rPr>
          <w:sz w:val="28"/>
          <w:szCs w:val="28"/>
          <w:highlight w:val="none"/>
        </w:rPr>
        <w:t>系</w:t>
      </w:r>
      <w:r>
        <w:rPr>
          <w:sz w:val="28"/>
          <w:szCs w:val="28"/>
          <w:highlight w:val="none"/>
          <w:u w:val="single"/>
        </w:rPr>
        <w:t>（投标供应商全称）</w:t>
      </w:r>
      <w:r>
        <w:rPr>
          <w:sz w:val="28"/>
          <w:szCs w:val="28"/>
          <w:highlight w:val="none"/>
        </w:rPr>
        <w:t>的法定代表人。</w:t>
      </w:r>
    </w:p>
    <w:p w14:paraId="4C96D70B">
      <w:pPr>
        <w:ind w:firstLine="560" w:firstLineChars="200"/>
        <w:rPr>
          <w:sz w:val="28"/>
          <w:szCs w:val="28"/>
          <w:highlight w:val="none"/>
        </w:rPr>
      </w:pPr>
    </w:p>
    <w:p w14:paraId="7396FD71">
      <w:pPr>
        <w:ind w:firstLine="560" w:firstLineChars="200"/>
        <w:rPr>
          <w:sz w:val="28"/>
          <w:szCs w:val="28"/>
          <w:highlight w:val="none"/>
        </w:rPr>
      </w:pPr>
      <w:r>
        <w:rPr>
          <w:sz w:val="28"/>
          <w:szCs w:val="28"/>
          <w:highlight w:val="none"/>
        </w:rPr>
        <w:t>特此证明</w:t>
      </w:r>
    </w:p>
    <w:p w14:paraId="7B4F0C7E">
      <w:pPr>
        <w:rPr>
          <w:sz w:val="28"/>
          <w:szCs w:val="28"/>
          <w:highlight w:val="none"/>
        </w:rPr>
      </w:pPr>
      <w:r>
        <w:rPr>
          <w:highlight w:val="none"/>
        </w:rPr>
        <mc:AlternateContent>
          <mc:Choice Requires="wps">
            <w:drawing>
              <wp:anchor distT="0" distB="0" distL="114300" distR="114300" simplePos="0" relativeHeight="251673600" behindDoc="0" locked="0" layoutInCell="1" allowOverlap="1">
                <wp:simplePos x="0" y="0"/>
                <wp:positionH relativeFrom="column">
                  <wp:posOffset>349885</wp:posOffset>
                </wp:positionH>
                <wp:positionV relativeFrom="paragraph">
                  <wp:posOffset>71755</wp:posOffset>
                </wp:positionV>
                <wp:extent cx="2240915" cy="1125855"/>
                <wp:effectExtent l="4445" t="4445" r="17780" b="18415"/>
                <wp:wrapNone/>
                <wp:docPr id="8" name="文本框 8"/>
                <wp:cNvGraphicFramePr/>
                <a:graphic xmlns:a="http://schemas.openxmlformats.org/drawingml/2006/main">
                  <a:graphicData uri="http://schemas.microsoft.com/office/word/2010/wordprocessingShape">
                    <wps:wsp>
                      <wps:cNvSpPr txBox="1"/>
                      <wps:spPr>
                        <a:xfrm>
                          <a:off x="0" y="0"/>
                          <a:ext cx="2240915" cy="1125855"/>
                        </a:xfrm>
                        <a:prstGeom prst="rect">
                          <a:avLst/>
                        </a:prstGeom>
                        <a:solidFill>
                          <a:srgbClr val="FFFFFF"/>
                        </a:solidFill>
                        <a:ln w="9525" cap="flat" cmpd="sng">
                          <a:solidFill>
                            <a:srgbClr val="000000"/>
                          </a:solidFill>
                          <a:prstDash val="dash"/>
                          <a:miter/>
                          <a:headEnd type="none" w="med" len="med"/>
                          <a:tailEnd type="none" w="med" len="med"/>
                        </a:ln>
                        <a:effectLst/>
                      </wps:spPr>
                      <wps:txbx>
                        <w:txbxContent>
                          <w:p w14:paraId="250A017D">
                            <w:pPr>
                              <w:jc w:val="center"/>
                              <w:rPr>
                                <w:rFonts w:ascii="宋体"/>
                              </w:rPr>
                            </w:pPr>
                          </w:p>
                          <w:p w14:paraId="29944B84">
                            <w:pPr>
                              <w:jc w:val="center"/>
                              <w:rPr>
                                <w:rFonts w:ascii="宋体" w:hAnsi="宋体"/>
                                <w:sz w:val="28"/>
                                <w:szCs w:val="28"/>
                              </w:rPr>
                            </w:pPr>
                            <w:r>
                              <w:rPr>
                                <w:rFonts w:hint="eastAsia" w:ascii="宋体" w:hAnsi="宋体"/>
                                <w:sz w:val="28"/>
                                <w:szCs w:val="28"/>
                              </w:rPr>
                              <w:t>法定代表人身份证复印件</w:t>
                            </w:r>
                          </w:p>
                          <w:p w14:paraId="78389554">
                            <w:pPr>
                              <w:jc w:val="center"/>
                              <w:rPr>
                                <w:sz w:val="28"/>
                                <w:szCs w:val="28"/>
                              </w:rPr>
                            </w:pPr>
                            <w:r>
                              <w:rPr>
                                <w:rFonts w:hint="eastAsia" w:ascii="宋体" w:hAnsi="宋体"/>
                                <w:sz w:val="28"/>
                                <w:szCs w:val="28"/>
                              </w:rPr>
                              <w:t>（</w:t>
                            </w:r>
                            <w:r>
                              <w:rPr>
                                <w:rFonts w:hint="eastAsia" w:ascii="宋体" w:hAnsi="宋体"/>
                                <w:sz w:val="28"/>
                                <w:szCs w:val="28"/>
                                <w:lang w:val="en-US" w:eastAsia="zh-CN"/>
                              </w:rPr>
                              <w:t>正面</w:t>
                            </w:r>
                            <w:r>
                              <w:rPr>
                                <w:rFonts w:hint="eastAsia" w:ascii="宋体" w:hAnsi="宋体"/>
                                <w:sz w:val="28"/>
                                <w:szCs w:val="28"/>
                              </w:rPr>
                              <w:t>）</w:t>
                            </w:r>
                          </w:p>
                        </w:txbxContent>
                      </wps:txbx>
                      <wps:bodyPr anchor="ctr" anchorCtr="0" upright="1"/>
                    </wps:wsp>
                  </a:graphicData>
                </a:graphic>
              </wp:anchor>
            </w:drawing>
          </mc:Choice>
          <mc:Fallback>
            <w:pict>
              <v:shape id="_x0000_s1026" o:spid="_x0000_s1026" o:spt="202" type="#_x0000_t202" style="position:absolute;left:0pt;margin-left:27.55pt;margin-top:5.65pt;height:88.65pt;width:176.45pt;z-index:251673600;v-text-anchor:middle;mso-width-relative:page;mso-height-relative:page;" fillcolor="#FFFFFF" filled="t" stroked="t" coordsize="21600,21600" o:gfxdata="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">
                <v:fill on="t" focussize="0,0"/>
                <v:stroke color="#000000" joinstyle="miter" dashstyle="dash"/>
                <v:imagedata o:title=""/>
                <o:lock v:ext="edit" aspectratio="f"/>
                <v:textbox>
                  <w:txbxContent>
                    <w:p w14:paraId="250A017D">
                      <w:pPr>
                        <w:jc w:val="center"/>
                        <w:rPr>
                          <w:rFonts w:ascii="宋体"/>
                        </w:rPr>
                      </w:pPr>
                    </w:p>
                    <w:p w14:paraId="29944B84">
                      <w:pPr>
                        <w:jc w:val="center"/>
                        <w:rPr>
                          <w:rFonts w:ascii="宋体" w:hAnsi="宋体"/>
                          <w:sz w:val="28"/>
                          <w:szCs w:val="28"/>
                        </w:rPr>
                      </w:pPr>
                      <w:r>
                        <w:rPr>
                          <w:rFonts w:hint="eastAsia" w:ascii="宋体" w:hAnsi="宋体"/>
                          <w:sz w:val="28"/>
                          <w:szCs w:val="28"/>
                        </w:rPr>
                        <w:t>法定代表人身份证复印件</w:t>
                      </w:r>
                    </w:p>
                    <w:p w14:paraId="78389554">
                      <w:pPr>
                        <w:jc w:val="center"/>
                        <w:rPr>
                          <w:sz w:val="28"/>
                          <w:szCs w:val="28"/>
                        </w:rPr>
                      </w:pPr>
                      <w:r>
                        <w:rPr>
                          <w:rFonts w:hint="eastAsia" w:ascii="宋体" w:hAnsi="宋体"/>
                          <w:sz w:val="28"/>
                          <w:szCs w:val="28"/>
                        </w:rPr>
                        <w:t>（</w:t>
                      </w:r>
                      <w:r>
                        <w:rPr>
                          <w:rFonts w:hint="eastAsia" w:ascii="宋体" w:hAnsi="宋体"/>
                          <w:sz w:val="28"/>
                          <w:szCs w:val="28"/>
                          <w:lang w:val="en-US" w:eastAsia="zh-CN"/>
                        </w:rPr>
                        <w:t>正面</w:t>
                      </w:r>
                      <w:r>
                        <w:rPr>
                          <w:rFonts w:hint="eastAsia" w:ascii="宋体" w:hAnsi="宋体"/>
                          <w:sz w:val="28"/>
                          <w:szCs w:val="28"/>
                        </w:rPr>
                        <w:t>）</w:t>
                      </w:r>
                    </w:p>
                  </w:txbxContent>
                </v:textbox>
              </v:shape>
            </w:pict>
          </mc:Fallback>
        </mc:AlternateContent>
      </w:r>
      <w:r>
        <w:rPr>
          <w:sz w:val="28"/>
          <w:szCs w:val="28"/>
          <w:highlight w:val="none"/>
        </w:rPr>
        <mc:AlternateContent>
          <mc:Choice Requires="wps">
            <w:drawing>
              <wp:anchor distT="0" distB="0" distL="114300" distR="114300" simplePos="0" relativeHeight="251674624" behindDoc="0" locked="0" layoutInCell="1" allowOverlap="1">
                <wp:simplePos x="0" y="0"/>
                <wp:positionH relativeFrom="column">
                  <wp:posOffset>2895600</wp:posOffset>
                </wp:positionH>
                <wp:positionV relativeFrom="paragraph">
                  <wp:posOffset>63500</wp:posOffset>
                </wp:positionV>
                <wp:extent cx="2240915" cy="1125855"/>
                <wp:effectExtent l="4445" t="4445" r="17780" b="18415"/>
                <wp:wrapNone/>
                <wp:docPr id="9" name="文本框 9"/>
                <wp:cNvGraphicFramePr/>
                <a:graphic xmlns:a="http://schemas.openxmlformats.org/drawingml/2006/main">
                  <a:graphicData uri="http://schemas.microsoft.com/office/word/2010/wordprocessingShape">
                    <wps:wsp>
                      <wps:cNvSpPr txBox="1"/>
                      <wps:spPr>
                        <a:xfrm>
                          <a:off x="0" y="0"/>
                          <a:ext cx="2240915" cy="1125855"/>
                        </a:xfrm>
                        <a:prstGeom prst="rect">
                          <a:avLst/>
                        </a:prstGeom>
                        <a:solidFill>
                          <a:srgbClr val="FFFFFF"/>
                        </a:solidFill>
                        <a:ln w="9525" cap="flat" cmpd="sng">
                          <a:solidFill>
                            <a:srgbClr val="000000"/>
                          </a:solidFill>
                          <a:prstDash val="dash"/>
                          <a:miter/>
                          <a:headEnd type="none" w="med" len="med"/>
                          <a:tailEnd type="none" w="med" len="med"/>
                        </a:ln>
                        <a:effectLst/>
                      </wps:spPr>
                      <wps:txbx>
                        <w:txbxContent>
                          <w:p w14:paraId="5437625F">
                            <w:pPr>
                              <w:jc w:val="center"/>
                              <w:rPr>
                                <w:rFonts w:ascii="宋体"/>
                              </w:rPr>
                            </w:pPr>
                          </w:p>
                          <w:p w14:paraId="0399C18D">
                            <w:pPr>
                              <w:jc w:val="center"/>
                              <w:rPr>
                                <w:rFonts w:ascii="宋体" w:hAnsi="宋体"/>
                                <w:sz w:val="28"/>
                                <w:szCs w:val="28"/>
                              </w:rPr>
                            </w:pPr>
                            <w:r>
                              <w:rPr>
                                <w:rFonts w:hint="eastAsia" w:ascii="宋体" w:hAnsi="宋体"/>
                                <w:sz w:val="28"/>
                                <w:szCs w:val="28"/>
                              </w:rPr>
                              <w:t>法定代表人身份证复印件</w:t>
                            </w:r>
                          </w:p>
                          <w:p w14:paraId="671457E1">
                            <w:pPr>
                              <w:jc w:val="center"/>
                              <w:rPr>
                                <w:sz w:val="28"/>
                                <w:szCs w:val="28"/>
                              </w:rPr>
                            </w:pPr>
                            <w:r>
                              <w:rPr>
                                <w:rFonts w:hint="eastAsia" w:ascii="宋体" w:hAnsi="宋体"/>
                                <w:sz w:val="28"/>
                                <w:szCs w:val="28"/>
                              </w:rPr>
                              <w:t>（</w:t>
                            </w:r>
                            <w:r>
                              <w:rPr>
                                <w:rFonts w:hint="eastAsia" w:ascii="宋体" w:hAnsi="宋体"/>
                                <w:sz w:val="28"/>
                                <w:szCs w:val="28"/>
                                <w:lang w:val="en-US" w:eastAsia="zh-CN"/>
                              </w:rPr>
                              <w:t>反面</w:t>
                            </w:r>
                            <w:r>
                              <w:rPr>
                                <w:rFonts w:hint="eastAsia" w:ascii="宋体" w:hAnsi="宋体"/>
                                <w:sz w:val="28"/>
                                <w:szCs w:val="28"/>
                              </w:rPr>
                              <w:t>）</w:t>
                            </w:r>
                          </w:p>
                        </w:txbxContent>
                      </wps:txbx>
                      <wps:bodyPr anchor="ctr" anchorCtr="0" upright="1"/>
                    </wps:wsp>
                  </a:graphicData>
                </a:graphic>
              </wp:anchor>
            </w:drawing>
          </mc:Choice>
          <mc:Fallback>
            <w:pict>
              <v:shape id="_x0000_s1026" o:spid="_x0000_s1026" o:spt="202" type="#_x0000_t202" style="position:absolute;left:0pt;margin-left:228pt;margin-top:5pt;height:88.65pt;width:176.45pt;z-index:251674624;v-text-anchor:middle;mso-width-relative:page;mso-height-relative:page;" fillcolor="#FFFFFF" filled="t" stroked="t" coordsize="21600,21600" o:gfxdata="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">
                <v:fill on="t" focussize="0,0"/>
                <v:stroke color="#000000" joinstyle="miter" dashstyle="dash"/>
                <v:imagedata o:title=""/>
                <o:lock v:ext="edit" aspectratio="f"/>
                <v:textbox>
                  <w:txbxContent>
                    <w:p w14:paraId="5437625F">
                      <w:pPr>
                        <w:jc w:val="center"/>
                        <w:rPr>
                          <w:rFonts w:ascii="宋体"/>
                        </w:rPr>
                      </w:pPr>
                    </w:p>
                    <w:p w14:paraId="0399C18D">
                      <w:pPr>
                        <w:jc w:val="center"/>
                        <w:rPr>
                          <w:rFonts w:ascii="宋体" w:hAnsi="宋体"/>
                          <w:sz w:val="28"/>
                          <w:szCs w:val="28"/>
                        </w:rPr>
                      </w:pPr>
                      <w:r>
                        <w:rPr>
                          <w:rFonts w:hint="eastAsia" w:ascii="宋体" w:hAnsi="宋体"/>
                          <w:sz w:val="28"/>
                          <w:szCs w:val="28"/>
                        </w:rPr>
                        <w:t>法定代表人身份证复印件</w:t>
                      </w:r>
                    </w:p>
                    <w:p w14:paraId="671457E1">
                      <w:pPr>
                        <w:jc w:val="center"/>
                        <w:rPr>
                          <w:sz w:val="28"/>
                          <w:szCs w:val="28"/>
                        </w:rPr>
                      </w:pPr>
                      <w:r>
                        <w:rPr>
                          <w:rFonts w:hint="eastAsia" w:ascii="宋体" w:hAnsi="宋体"/>
                          <w:sz w:val="28"/>
                          <w:szCs w:val="28"/>
                        </w:rPr>
                        <w:t>（</w:t>
                      </w:r>
                      <w:r>
                        <w:rPr>
                          <w:rFonts w:hint="eastAsia" w:ascii="宋体" w:hAnsi="宋体"/>
                          <w:sz w:val="28"/>
                          <w:szCs w:val="28"/>
                          <w:lang w:val="en-US" w:eastAsia="zh-CN"/>
                        </w:rPr>
                        <w:t>反面</w:t>
                      </w:r>
                      <w:r>
                        <w:rPr>
                          <w:rFonts w:hint="eastAsia" w:ascii="宋体" w:hAnsi="宋体"/>
                          <w:sz w:val="28"/>
                          <w:szCs w:val="28"/>
                        </w:rPr>
                        <w:t>）</w:t>
                      </w:r>
                    </w:p>
                  </w:txbxContent>
                </v:textbox>
              </v:shape>
            </w:pict>
          </mc:Fallback>
        </mc:AlternateContent>
      </w:r>
    </w:p>
    <w:p w14:paraId="562D82CE">
      <w:pPr>
        <w:rPr>
          <w:sz w:val="28"/>
          <w:szCs w:val="28"/>
          <w:highlight w:val="none"/>
        </w:rPr>
      </w:pPr>
    </w:p>
    <w:p w14:paraId="7D3D1CC5">
      <w:pPr>
        <w:rPr>
          <w:sz w:val="28"/>
          <w:szCs w:val="28"/>
          <w:highlight w:val="none"/>
        </w:rPr>
      </w:pPr>
    </w:p>
    <w:p w14:paraId="79D470BB">
      <w:pPr>
        <w:rPr>
          <w:sz w:val="28"/>
          <w:szCs w:val="28"/>
          <w:highlight w:val="none"/>
        </w:rPr>
      </w:pPr>
    </w:p>
    <w:p w14:paraId="2A8E59F7">
      <w:pPr>
        <w:rPr>
          <w:sz w:val="28"/>
          <w:szCs w:val="28"/>
          <w:highlight w:val="none"/>
        </w:rPr>
      </w:pPr>
    </w:p>
    <w:p w14:paraId="7B2F2860">
      <w:pPr>
        <w:rPr>
          <w:sz w:val="28"/>
          <w:szCs w:val="28"/>
          <w:highlight w:val="none"/>
        </w:rPr>
      </w:pPr>
    </w:p>
    <w:p w14:paraId="082425BC">
      <w:pPr>
        <w:rPr>
          <w:sz w:val="28"/>
          <w:szCs w:val="28"/>
          <w:highlight w:val="none"/>
        </w:rPr>
      </w:pPr>
    </w:p>
    <w:p w14:paraId="54E3D194">
      <w:pPr>
        <w:ind w:firstLine="420" w:firstLineChars="150"/>
        <w:rPr>
          <w:sz w:val="28"/>
          <w:szCs w:val="28"/>
          <w:highlight w:val="none"/>
        </w:rPr>
      </w:pPr>
      <w:r>
        <w:rPr>
          <w:rFonts w:hint="eastAsia"/>
          <w:sz w:val="28"/>
          <w:szCs w:val="28"/>
          <w:highlight w:val="none"/>
        </w:rPr>
        <w:t>身份证关键信息应清晰可辩，否则投标无效。</w:t>
      </w:r>
    </w:p>
    <w:p w14:paraId="6028A86B">
      <w:pPr>
        <w:ind w:firstLine="4900" w:firstLineChars="1750"/>
        <w:rPr>
          <w:sz w:val="28"/>
          <w:szCs w:val="28"/>
          <w:highlight w:val="none"/>
        </w:rPr>
      </w:pPr>
    </w:p>
    <w:p w14:paraId="60CE8FB5">
      <w:pPr>
        <w:ind w:firstLine="4900" w:firstLineChars="1750"/>
        <w:rPr>
          <w:sz w:val="28"/>
          <w:szCs w:val="28"/>
          <w:highlight w:val="none"/>
        </w:rPr>
      </w:pPr>
    </w:p>
    <w:p w14:paraId="257117E7">
      <w:pPr>
        <w:rPr>
          <w:rFonts w:hint="eastAsia"/>
          <w:sz w:val="28"/>
          <w:szCs w:val="28"/>
          <w:highlight w:val="none"/>
        </w:rPr>
      </w:pPr>
    </w:p>
    <w:p w14:paraId="195EDC28">
      <w:pPr>
        <w:pStyle w:val="17"/>
        <w:rPr>
          <w:rFonts w:hint="eastAsia"/>
          <w:sz w:val="28"/>
          <w:szCs w:val="28"/>
          <w:highlight w:val="none"/>
        </w:rPr>
      </w:pPr>
    </w:p>
    <w:p w14:paraId="77928282">
      <w:pPr>
        <w:pStyle w:val="2"/>
        <w:rPr>
          <w:rFonts w:hint="eastAsia"/>
          <w:sz w:val="28"/>
          <w:szCs w:val="28"/>
          <w:highlight w:val="none"/>
        </w:rPr>
      </w:pPr>
    </w:p>
    <w:p w14:paraId="296F6DFE">
      <w:pPr>
        <w:rPr>
          <w:rFonts w:hint="eastAsia"/>
          <w:sz w:val="28"/>
          <w:szCs w:val="28"/>
          <w:highlight w:val="none"/>
        </w:rPr>
      </w:pPr>
    </w:p>
    <w:p w14:paraId="0580D1EF">
      <w:pPr>
        <w:pStyle w:val="17"/>
        <w:rPr>
          <w:rFonts w:hint="eastAsia"/>
          <w:sz w:val="28"/>
          <w:szCs w:val="28"/>
          <w:highlight w:val="none"/>
        </w:rPr>
      </w:pPr>
    </w:p>
    <w:p w14:paraId="6AAADA6C">
      <w:pPr>
        <w:pStyle w:val="2"/>
        <w:rPr>
          <w:rFonts w:hint="eastAsia"/>
          <w:sz w:val="28"/>
          <w:szCs w:val="28"/>
          <w:highlight w:val="none"/>
        </w:rPr>
      </w:pPr>
    </w:p>
    <w:p w14:paraId="4987DB39">
      <w:pPr>
        <w:rPr>
          <w:rFonts w:hint="eastAsia"/>
          <w:highlight w:val="none"/>
        </w:rPr>
      </w:pPr>
    </w:p>
    <w:p w14:paraId="0142CBCB">
      <w:pPr>
        <w:jc w:val="center"/>
        <w:rPr>
          <w:sz w:val="28"/>
          <w:szCs w:val="28"/>
          <w:highlight w:val="none"/>
        </w:rPr>
      </w:pPr>
      <w:r>
        <w:rPr>
          <w:sz w:val="28"/>
          <w:szCs w:val="28"/>
          <w:highlight w:val="none"/>
        </w:rPr>
        <w:t xml:space="preserve">                   投标供应商全称：（盖章）</w:t>
      </w:r>
    </w:p>
    <w:p w14:paraId="6DE12853">
      <w:pPr>
        <w:jc w:val="left"/>
        <w:rPr>
          <w:sz w:val="28"/>
          <w:szCs w:val="28"/>
          <w:highlight w:val="none"/>
        </w:rPr>
      </w:pPr>
    </w:p>
    <w:p w14:paraId="6A473B07">
      <w:pPr>
        <w:jc w:val="center"/>
        <w:rPr>
          <w:sz w:val="28"/>
          <w:szCs w:val="28"/>
          <w:highlight w:val="none"/>
        </w:rPr>
      </w:pPr>
      <w:r>
        <w:rPr>
          <w:sz w:val="28"/>
          <w:szCs w:val="28"/>
          <w:highlight w:val="none"/>
        </w:rPr>
        <w:t xml:space="preserve">                         </w:t>
      </w:r>
      <w:r>
        <w:rPr>
          <w:rFonts w:hint="eastAsia"/>
          <w:sz w:val="28"/>
          <w:szCs w:val="28"/>
          <w:highlight w:val="none"/>
          <w:u w:val="single"/>
        </w:rPr>
        <w:t xml:space="preserve">   </w:t>
      </w:r>
      <w:r>
        <w:rPr>
          <w:sz w:val="28"/>
          <w:szCs w:val="28"/>
          <w:highlight w:val="none"/>
        </w:rPr>
        <w:t>年</w:t>
      </w:r>
      <w:r>
        <w:rPr>
          <w:rFonts w:hint="eastAsia"/>
          <w:sz w:val="28"/>
          <w:szCs w:val="28"/>
          <w:highlight w:val="none"/>
          <w:u w:val="single"/>
        </w:rPr>
        <w:t xml:space="preserve"> </w:t>
      </w:r>
      <w:r>
        <w:rPr>
          <w:sz w:val="28"/>
          <w:szCs w:val="28"/>
          <w:highlight w:val="none"/>
          <w:u w:val="single"/>
        </w:rPr>
        <w:t xml:space="preserve">  </w:t>
      </w:r>
      <w:r>
        <w:rPr>
          <w:sz w:val="28"/>
          <w:szCs w:val="28"/>
          <w:highlight w:val="none"/>
        </w:rPr>
        <w:t>月</w:t>
      </w:r>
      <w:r>
        <w:rPr>
          <w:rFonts w:hint="eastAsia"/>
          <w:sz w:val="28"/>
          <w:szCs w:val="28"/>
          <w:highlight w:val="none"/>
          <w:u w:val="single"/>
        </w:rPr>
        <w:t xml:space="preserve"> </w:t>
      </w:r>
      <w:r>
        <w:rPr>
          <w:sz w:val="28"/>
          <w:szCs w:val="28"/>
          <w:highlight w:val="none"/>
          <w:u w:val="single"/>
        </w:rPr>
        <w:t xml:space="preserve"> </w:t>
      </w:r>
      <w:r>
        <w:rPr>
          <w:rFonts w:hint="eastAsia"/>
          <w:sz w:val="28"/>
          <w:szCs w:val="28"/>
          <w:highlight w:val="none"/>
          <w:u w:val="single"/>
        </w:rPr>
        <w:t xml:space="preserve"> </w:t>
      </w:r>
      <w:r>
        <w:rPr>
          <w:sz w:val="28"/>
          <w:szCs w:val="28"/>
          <w:highlight w:val="none"/>
        </w:rPr>
        <w:t>日</w:t>
      </w:r>
    </w:p>
    <w:p w14:paraId="3A815F2D">
      <w:pPr>
        <w:rPr>
          <w:rFonts w:ascii="宋体" w:hAnsi="宋体" w:cs="宋体"/>
          <w:bCs/>
          <w:sz w:val="28"/>
          <w:szCs w:val="28"/>
          <w:highlight w:val="none"/>
        </w:rPr>
      </w:pPr>
    </w:p>
    <w:p w14:paraId="537A4B9A">
      <w:pPr>
        <w:pStyle w:val="17"/>
        <w:rPr>
          <w:rFonts w:ascii="宋体" w:hAnsi="宋体" w:cs="宋体"/>
          <w:bCs/>
          <w:sz w:val="28"/>
          <w:szCs w:val="28"/>
          <w:highlight w:val="none"/>
        </w:rPr>
      </w:pPr>
    </w:p>
    <w:p w14:paraId="341F3EE7">
      <w:pPr>
        <w:rPr>
          <w:rFonts w:ascii="宋体" w:hAnsi="宋体" w:cs="宋体"/>
          <w:bCs/>
          <w:sz w:val="28"/>
          <w:szCs w:val="28"/>
          <w:highlight w:val="none"/>
        </w:rPr>
      </w:pPr>
    </w:p>
    <w:p w14:paraId="234C477B">
      <w:pPr>
        <w:pStyle w:val="17"/>
        <w:rPr>
          <w:rFonts w:ascii="宋体" w:hAnsi="宋体" w:cs="宋体"/>
          <w:bCs/>
          <w:sz w:val="28"/>
          <w:szCs w:val="28"/>
          <w:highlight w:val="none"/>
        </w:rPr>
      </w:pPr>
    </w:p>
    <w:p w14:paraId="2044B379">
      <w:pPr>
        <w:rPr>
          <w:rFonts w:ascii="宋体" w:hAnsi="宋体" w:cs="宋体"/>
          <w:bCs/>
          <w:sz w:val="28"/>
          <w:szCs w:val="28"/>
          <w:highlight w:val="none"/>
        </w:rPr>
      </w:pPr>
    </w:p>
    <w:p w14:paraId="398AA7A9">
      <w:pPr>
        <w:pStyle w:val="17"/>
        <w:rPr>
          <w:rFonts w:ascii="宋体" w:hAnsi="宋体" w:cs="宋体"/>
          <w:bCs/>
          <w:sz w:val="28"/>
          <w:szCs w:val="28"/>
          <w:highlight w:val="none"/>
        </w:rPr>
      </w:pPr>
    </w:p>
    <w:p w14:paraId="3A70B602">
      <w:pPr>
        <w:rPr>
          <w:rFonts w:ascii="宋体" w:hAnsi="宋体" w:cs="宋体"/>
          <w:bCs/>
          <w:sz w:val="28"/>
          <w:szCs w:val="28"/>
          <w:highlight w:val="none"/>
        </w:rPr>
      </w:pPr>
    </w:p>
    <w:p w14:paraId="76E29D25">
      <w:pPr>
        <w:pStyle w:val="17"/>
        <w:rPr>
          <w:rFonts w:ascii="宋体" w:hAnsi="宋体" w:cs="宋体"/>
          <w:bCs/>
          <w:sz w:val="28"/>
          <w:szCs w:val="28"/>
          <w:highlight w:val="none"/>
        </w:rPr>
      </w:pPr>
    </w:p>
    <w:p w14:paraId="54D6A4A2">
      <w:pPr>
        <w:rPr>
          <w:rFonts w:ascii="宋体" w:hAnsi="宋体" w:cs="宋体"/>
          <w:bCs/>
          <w:sz w:val="28"/>
          <w:szCs w:val="28"/>
          <w:highlight w:val="none"/>
        </w:rPr>
      </w:pPr>
    </w:p>
    <w:p w14:paraId="00187460">
      <w:pPr>
        <w:spacing w:before="24" w:after="24"/>
        <w:outlineLvl w:val="3"/>
        <w:rPr>
          <w:rFonts w:hint="eastAsia" w:eastAsia="方正小标宋简体"/>
          <w:b w:val="0"/>
          <w:bCs/>
          <w:sz w:val="44"/>
          <w:szCs w:val="44"/>
          <w:highlight w:val="none"/>
        </w:rPr>
      </w:pPr>
      <w:bookmarkStart w:id="899" w:name="_Toc19925"/>
      <w:bookmarkStart w:id="900" w:name="_Toc27385"/>
      <w:r>
        <w:rPr>
          <w:rFonts w:hint="eastAsia" w:ascii="Times New Roman" w:hAnsi="Times New Roman" w:eastAsia="方正小标宋简体" w:cs="Times New Roman"/>
          <w:b w:val="0"/>
          <w:bCs/>
          <w:kern w:val="2"/>
          <w:sz w:val="44"/>
          <w:szCs w:val="44"/>
          <w:highlight w:val="none"/>
          <w:lang w:val="en-US" w:eastAsia="zh-CN" w:bidi="ar-SA"/>
        </w:rPr>
        <w:t>附录3：</w:t>
      </w:r>
      <w:bookmarkEnd w:id="899"/>
      <w:bookmarkEnd w:id="900"/>
    </w:p>
    <w:p w14:paraId="61712B84">
      <w:pPr>
        <w:spacing w:before="24" w:after="24"/>
        <w:ind w:firstLine="602"/>
        <w:jc w:val="center"/>
        <w:outlineLvl w:val="9"/>
        <w:rPr>
          <w:rFonts w:hint="eastAsia" w:ascii="Times New Roman" w:hAnsi="Times New Roman" w:eastAsia="方正小标宋简体" w:cs="Times New Roman"/>
          <w:b w:val="0"/>
          <w:bCs/>
          <w:kern w:val="2"/>
          <w:sz w:val="44"/>
          <w:szCs w:val="24"/>
          <w:highlight w:val="none"/>
          <w:lang w:val="en-US" w:eastAsia="zh-CN" w:bidi="ar-SA"/>
        </w:rPr>
      </w:pPr>
      <w:bookmarkStart w:id="901" w:name="_Toc19206"/>
      <w:bookmarkStart w:id="902" w:name="_Toc19980"/>
      <w:r>
        <w:rPr>
          <w:rFonts w:hint="eastAsia" w:ascii="Times New Roman" w:hAnsi="Times New Roman" w:eastAsia="方正小标宋简体" w:cs="Times New Roman"/>
          <w:b w:val="0"/>
          <w:bCs/>
          <w:kern w:val="2"/>
          <w:sz w:val="44"/>
          <w:szCs w:val="24"/>
          <w:highlight w:val="none"/>
          <w:lang w:val="en-US" w:eastAsia="zh-CN" w:bidi="ar-SA"/>
        </w:rPr>
        <w:t>法定代表人授权书</w:t>
      </w:r>
      <w:bookmarkEnd w:id="901"/>
      <w:bookmarkEnd w:id="902"/>
    </w:p>
    <w:p w14:paraId="45B74BC3">
      <w:pPr>
        <w:spacing w:before="24" w:after="24"/>
        <w:ind w:firstLine="602"/>
        <w:jc w:val="center"/>
        <w:outlineLvl w:val="9"/>
        <w:rPr>
          <w:highlight w:val="none"/>
        </w:rPr>
      </w:pPr>
      <w:bookmarkStart w:id="903" w:name="_Toc18985"/>
      <w:bookmarkStart w:id="904" w:name="_Toc5761"/>
      <w:r>
        <w:rPr>
          <w:rFonts w:hint="eastAsia" w:ascii="Times New Roman" w:hAnsi="Times New Roman" w:eastAsia="方正小标宋简体" w:cs="Times New Roman"/>
          <w:b/>
          <w:bCs/>
          <w:sz w:val="28"/>
          <w:szCs w:val="28"/>
          <w:highlight w:val="none"/>
        </w:rPr>
        <w:t>（授权人投标时同时提供法定代表人资格证明书）</w:t>
      </w:r>
      <w:bookmarkEnd w:id="903"/>
      <w:bookmarkEnd w:id="904"/>
    </w:p>
    <w:p w14:paraId="773E0B98">
      <w:pPr>
        <w:spacing w:line="600" w:lineRule="exact"/>
        <w:rPr>
          <w:rFonts w:eastAsia="楷体_GB2312"/>
          <w:sz w:val="28"/>
          <w:szCs w:val="28"/>
          <w:highlight w:val="none"/>
        </w:rPr>
      </w:pPr>
      <w:r>
        <w:rPr>
          <w:rFonts w:ascii="楷体_GB2312" w:hAnsi="宋体" w:eastAsia="楷体_GB2312"/>
          <w:sz w:val="28"/>
          <w:szCs w:val="28"/>
          <w:highlight w:val="none"/>
          <w:u w:val="single"/>
        </w:rPr>
        <w:t>（采购机构名称）</w:t>
      </w:r>
      <w:r>
        <w:rPr>
          <w:rFonts w:eastAsia="楷体_GB2312"/>
          <w:sz w:val="28"/>
          <w:szCs w:val="28"/>
          <w:highlight w:val="none"/>
        </w:rPr>
        <w:t>：</w:t>
      </w:r>
    </w:p>
    <w:p w14:paraId="5A863080">
      <w:pPr>
        <w:spacing w:line="600" w:lineRule="exact"/>
        <w:ind w:firstLine="596" w:firstLineChars="213"/>
        <w:rPr>
          <w:sz w:val="28"/>
          <w:szCs w:val="28"/>
          <w:highlight w:val="none"/>
        </w:rPr>
      </w:pPr>
      <w:r>
        <w:rPr>
          <w:sz w:val="28"/>
          <w:szCs w:val="28"/>
          <w:highlight w:val="none"/>
          <w:u w:val="single"/>
        </w:rPr>
        <w:t>（投标供应商全称）</w:t>
      </w:r>
      <w:r>
        <w:rPr>
          <w:sz w:val="28"/>
          <w:szCs w:val="28"/>
          <w:highlight w:val="none"/>
        </w:rPr>
        <w:t>法定代表人</w:t>
      </w:r>
      <w:r>
        <w:rPr>
          <w:sz w:val="28"/>
          <w:szCs w:val="28"/>
          <w:highlight w:val="none"/>
          <w:u w:val="single"/>
        </w:rPr>
        <w:t>（姓名、职务）</w:t>
      </w:r>
      <w:r>
        <w:rPr>
          <w:sz w:val="28"/>
          <w:szCs w:val="28"/>
          <w:highlight w:val="none"/>
        </w:rPr>
        <w:t>授权</w:t>
      </w:r>
      <w:r>
        <w:rPr>
          <w:sz w:val="28"/>
          <w:szCs w:val="28"/>
          <w:highlight w:val="none"/>
          <w:u w:val="single"/>
        </w:rPr>
        <w:t>（授权代表姓名、职务）</w:t>
      </w:r>
      <w:r>
        <w:rPr>
          <w:sz w:val="28"/>
          <w:szCs w:val="28"/>
          <w:highlight w:val="none"/>
        </w:rPr>
        <w:t>为全权代表，参加</w:t>
      </w:r>
      <w:r>
        <w:rPr>
          <w:rFonts w:hint="eastAsia"/>
          <w:sz w:val="28"/>
          <w:szCs w:val="28"/>
          <w:highlight w:val="none"/>
        </w:rPr>
        <w:t>贵单位</w:t>
      </w:r>
      <w:r>
        <w:rPr>
          <w:sz w:val="28"/>
          <w:szCs w:val="28"/>
          <w:highlight w:val="none"/>
        </w:rPr>
        <w:t>组织的项目编号为</w:t>
      </w:r>
      <w:r>
        <w:rPr>
          <w:sz w:val="28"/>
          <w:szCs w:val="28"/>
          <w:highlight w:val="none"/>
          <w:u w:val="single"/>
        </w:rPr>
        <w:t>（项目编号）</w:t>
      </w:r>
      <w:r>
        <w:rPr>
          <w:sz w:val="28"/>
          <w:szCs w:val="28"/>
          <w:highlight w:val="none"/>
        </w:rPr>
        <w:t>的</w:t>
      </w:r>
      <w:r>
        <w:rPr>
          <w:sz w:val="28"/>
          <w:szCs w:val="28"/>
          <w:highlight w:val="none"/>
          <w:u w:val="single"/>
        </w:rPr>
        <w:t>（项目名称）</w:t>
      </w:r>
      <w:r>
        <w:rPr>
          <w:sz w:val="28"/>
          <w:szCs w:val="28"/>
          <w:highlight w:val="none"/>
        </w:rPr>
        <w:t>采购活动，全权处理采购活动中的一切事宜。</w:t>
      </w:r>
    </w:p>
    <w:p w14:paraId="1789AEDF">
      <w:pPr>
        <w:spacing w:line="560" w:lineRule="exact"/>
        <w:ind w:firstLine="600"/>
        <w:rPr>
          <w:sz w:val="28"/>
          <w:szCs w:val="28"/>
          <w:highlight w:val="none"/>
        </w:rPr>
      </w:pPr>
    </w:p>
    <w:p w14:paraId="3CA8B501">
      <w:pPr>
        <w:spacing w:line="360" w:lineRule="auto"/>
        <w:ind w:left="-2" w:leftChars="-1" w:firstLine="4200" w:firstLineChars="1500"/>
        <w:rPr>
          <w:rFonts w:ascii="宋体" w:hAnsi="宋体" w:cs="宋体"/>
          <w:bCs/>
          <w:sz w:val="28"/>
          <w:szCs w:val="28"/>
          <w:highlight w:val="none"/>
        </w:rPr>
      </w:pPr>
      <w:r>
        <w:rPr>
          <w:rFonts w:hint="eastAsia" w:ascii="宋体" w:hAnsi="宋体" w:cs="宋体"/>
          <w:bCs/>
          <w:sz w:val="28"/>
          <w:szCs w:val="28"/>
          <w:highlight w:val="none"/>
        </w:rPr>
        <w:t xml:space="preserve">投标供应商全称：（盖章）                            </w:t>
      </w:r>
    </w:p>
    <w:p w14:paraId="180AE7F2">
      <w:pPr>
        <w:spacing w:line="360" w:lineRule="auto"/>
        <w:ind w:left="3606" w:leftChars="1717" w:firstLine="560" w:firstLineChars="200"/>
        <w:rPr>
          <w:rFonts w:ascii="宋体" w:hAnsi="宋体" w:cs="宋体"/>
          <w:bCs/>
          <w:sz w:val="28"/>
          <w:szCs w:val="28"/>
          <w:highlight w:val="none"/>
        </w:rPr>
      </w:pPr>
      <w:r>
        <w:rPr>
          <w:rFonts w:hint="eastAsia" w:ascii="宋体" w:hAnsi="宋体" w:cs="宋体"/>
          <w:bCs/>
          <w:sz w:val="28"/>
          <w:szCs w:val="28"/>
          <w:highlight w:val="none"/>
        </w:rPr>
        <w:t>法定代表人：（签字）</w:t>
      </w:r>
    </w:p>
    <w:p w14:paraId="4B08ADE7">
      <w:pPr>
        <w:pStyle w:val="17"/>
        <w:spacing w:line="360" w:lineRule="auto"/>
        <w:ind w:firstLine="420" w:firstLineChars="200"/>
        <w:rPr>
          <w:highlight w:val="none"/>
        </w:rPr>
      </w:pPr>
      <w:r>
        <w:rPr>
          <w:rFonts w:hint="eastAsia"/>
          <w:highlight w:val="none"/>
        </w:rPr>
        <w:t xml:space="preserve"> </w:t>
      </w:r>
      <w:r>
        <w:rPr>
          <w:highlight w:val="none"/>
        </w:rPr>
        <w:t xml:space="preserve">                                   </w:t>
      </w:r>
    </w:p>
    <w:p w14:paraId="34F5332E">
      <w:pPr>
        <w:spacing w:line="560" w:lineRule="exact"/>
        <w:ind w:left="2967" w:leftChars="1413" w:firstLine="560" w:firstLineChars="200"/>
        <w:rPr>
          <w:rFonts w:ascii="宋体" w:hAnsi="宋体" w:cs="宋体"/>
          <w:bCs/>
          <w:sz w:val="28"/>
          <w:szCs w:val="28"/>
          <w:highlight w:val="none"/>
        </w:rPr>
      </w:pPr>
      <w:r>
        <w:rPr>
          <w:rFonts w:hint="eastAsia" w:ascii="宋体" w:hAnsi="宋体" w:cs="宋体"/>
          <w:bCs/>
          <w:sz w:val="28"/>
          <w:szCs w:val="28"/>
          <w:highlight w:val="none"/>
        </w:rPr>
        <w:t xml:space="preserve">               </w:t>
      </w:r>
      <w:r>
        <w:rPr>
          <w:rFonts w:ascii="宋体" w:hAnsi="宋体" w:cs="宋体"/>
          <w:bCs/>
          <w:sz w:val="28"/>
          <w:szCs w:val="28"/>
          <w:highlight w:val="none"/>
        </w:rPr>
        <w:t xml:space="preserve">     </w:t>
      </w:r>
      <w:r>
        <w:rPr>
          <w:rFonts w:hint="eastAsia" w:ascii="宋体" w:hAnsi="宋体" w:cs="宋体"/>
          <w:bCs/>
          <w:sz w:val="28"/>
          <w:szCs w:val="28"/>
          <w:highlight w:val="none"/>
          <w:u w:val="single"/>
        </w:rPr>
        <w:t xml:space="preserve">   </w:t>
      </w:r>
      <w:r>
        <w:rPr>
          <w:rFonts w:hint="eastAsia" w:ascii="宋体" w:hAnsi="宋体" w:cs="宋体"/>
          <w:bCs/>
          <w:sz w:val="28"/>
          <w:szCs w:val="28"/>
          <w:highlight w:val="none"/>
        </w:rPr>
        <w:t>年</w:t>
      </w:r>
      <w:r>
        <w:rPr>
          <w:rFonts w:hint="eastAsia" w:ascii="宋体" w:hAnsi="宋体" w:cs="宋体"/>
          <w:bCs/>
          <w:sz w:val="28"/>
          <w:szCs w:val="28"/>
          <w:highlight w:val="none"/>
          <w:u w:val="single"/>
        </w:rPr>
        <w:t xml:space="preserve">   </w:t>
      </w:r>
      <w:r>
        <w:rPr>
          <w:rFonts w:hint="eastAsia" w:ascii="宋体" w:hAnsi="宋体" w:cs="宋体"/>
          <w:bCs/>
          <w:sz w:val="28"/>
          <w:szCs w:val="28"/>
          <w:highlight w:val="none"/>
        </w:rPr>
        <w:t>月</w:t>
      </w:r>
      <w:r>
        <w:rPr>
          <w:rFonts w:hint="eastAsia" w:ascii="宋体" w:hAnsi="宋体" w:cs="宋体"/>
          <w:bCs/>
          <w:sz w:val="28"/>
          <w:szCs w:val="28"/>
          <w:highlight w:val="none"/>
          <w:u w:val="single"/>
        </w:rPr>
        <w:t xml:space="preserve">   </w:t>
      </w:r>
      <w:r>
        <w:rPr>
          <w:rFonts w:hint="eastAsia" w:ascii="宋体" w:hAnsi="宋体" w:cs="宋体"/>
          <w:bCs/>
          <w:sz w:val="28"/>
          <w:szCs w:val="28"/>
          <w:highlight w:val="none"/>
        </w:rPr>
        <w:t>日</w:t>
      </w:r>
    </w:p>
    <w:p w14:paraId="0CA195AA">
      <w:pPr>
        <w:spacing w:line="560" w:lineRule="exact"/>
        <w:rPr>
          <w:sz w:val="28"/>
          <w:szCs w:val="28"/>
          <w:highlight w:val="none"/>
        </w:rPr>
      </w:pPr>
      <w:r>
        <w:rPr>
          <w:sz w:val="28"/>
          <w:szCs w:val="28"/>
          <w:highlight w:val="none"/>
        </w:rPr>
        <w:t>附：</w:t>
      </w:r>
    </w:p>
    <w:p w14:paraId="08668C82">
      <w:pPr>
        <w:spacing w:line="560" w:lineRule="exact"/>
        <w:ind w:firstLine="573"/>
        <w:rPr>
          <w:sz w:val="28"/>
          <w:szCs w:val="28"/>
          <w:highlight w:val="none"/>
        </w:rPr>
      </w:pPr>
      <w:r>
        <w:rPr>
          <w:sz w:val="28"/>
          <w:szCs w:val="28"/>
          <w:highlight w:val="none"/>
        </w:rPr>
        <w:t>授权代表姓名：</w:t>
      </w:r>
      <w:r>
        <w:rPr>
          <w:sz w:val="28"/>
          <w:szCs w:val="28"/>
          <w:highlight w:val="none"/>
          <w:u w:val="single"/>
        </w:rPr>
        <w:t xml:space="preserve">         </w:t>
      </w:r>
      <w:r>
        <w:rPr>
          <w:sz w:val="28"/>
          <w:szCs w:val="28"/>
          <w:highlight w:val="none"/>
        </w:rPr>
        <w:t xml:space="preserve">     </w:t>
      </w:r>
    </w:p>
    <w:p w14:paraId="1FB0642F">
      <w:pPr>
        <w:spacing w:line="560" w:lineRule="exact"/>
        <w:ind w:firstLine="573"/>
        <w:rPr>
          <w:sz w:val="28"/>
          <w:szCs w:val="28"/>
          <w:highlight w:val="none"/>
        </w:rPr>
      </w:pPr>
      <w:r>
        <w:rPr>
          <w:sz w:val="28"/>
          <w:szCs w:val="28"/>
          <w:highlight w:val="none"/>
        </w:rPr>
        <w:t>职    务：</w:t>
      </w:r>
      <w:r>
        <w:rPr>
          <w:sz w:val="28"/>
          <w:szCs w:val="28"/>
          <w:highlight w:val="none"/>
          <w:u w:val="single"/>
        </w:rPr>
        <w:t xml:space="preserve">             </w:t>
      </w:r>
      <w:r>
        <w:rPr>
          <w:sz w:val="28"/>
          <w:szCs w:val="28"/>
          <w:highlight w:val="none"/>
        </w:rPr>
        <w:t xml:space="preserve">         </w:t>
      </w:r>
      <w:r>
        <w:rPr>
          <w:rFonts w:hint="eastAsia"/>
          <w:sz w:val="28"/>
          <w:szCs w:val="28"/>
          <w:highlight w:val="none"/>
        </w:rPr>
        <w:t>移动电话</w:t>
      </w:r>
      <w:r>
        <w:rPr>
          <w:sz w:val="28"/>
          <w:szCs w:val="28"/>
          <w:highlight w:val="none"/>
        </w:rPr>
        <w:t>：</w:t>
      </w:r>
      <w:r>
        <w:rPr>
          <w:sz w:val="28"/>
          <w:szCs w:val="28"/>
          <w:highlight w:val="none"/>
          <w:u w:val="single"/>
        </w:rPr>
        <w:t xml:space="preserve">           </w:t>
      </w:r>
    </w:p>
    <w:p w14:paraId="07B0F7DE">
      <w:pPr>
        <w:spacing w:line="560" w:lineRule="exact"/>
        <w:ind w:firstLine="573"/>
        <w:rPr>
          <w:sz w:val="28"/>
          <w:szCs w:val="28"/>
          <w:highlight w:val="none"/>
        </w:rPr>
      </w:pPr>
      <w:r>
        <w:rPr>
          <w:sz w:val="28"/>
          <w:szCs w:val="28"/>
          <w:highlight w:val="none"/>
        </w:rPr>
        <w:t>传    真：</w:t>
      </w:r>
      <w:r>
        <w:rPr>
          <w:sz w:val="28"/>
          <w:szCs w:val="28"/>
          <w:highlight w:val="none"/>
          <w:u w:val="single"/>
        </w:rPr>
        <w:t xml:space="preserve">             </w:t>
      </w:r>
      <w:r>
        <w:rPr>
          <w:sz w:val="28"/>
          <w:szCs w:val="28"/>
          <w:highlight w:val="none"/>
        </w:rPr>
        <w:t xml:space="preserve">         邮    编：</w:t>
      </w:r>
      <w:r>
        <w:rPr>
          <w:sz w:val="28"/>
          <w:szCs w:val="28"/>
          <w:highlight w:val="none"/>
          <w:u w:val="single"/>
        </w:rPr>
        <w:t xml:space="preserve">           </w:t>
      </w:r>
    </w:p>
    <w:p w14:paraId="4817BF98">
      <w:pPr>
        <w:spacing w:line="560" w:lineRule="exact"/>
        <w:ind w:firstLine="573"/>
        <w:rPr>
          <w:sz w:val="28"/>
          <w:szCs w:val="28"/>
          <w:highlight w:val="none"/>
        </w:rPr>
      </w:pPr>
      <w:r>
        <w:rPr>
          <w:sz w:val="28"/>
          <w:szCs w:val="28"/>
          <w:highlight w:val="none"/>
        </w:rPr>
        <w:t>通讯地址：</w:t>
      </w:r>
      <w:r>
        <w:rPr>
          <w:sz w:val="28"/>
          <w:szCs w:val="28"/>
          <w:highlight w:val="none"/>
          <w:u w:val="single"/>
        </w:rPr>
        <w:t xml:space="preserve">             </w:t>
      </w:r>
    </w:p>
    <w:p w14:paraId="404C17F5">
      <w:pPr>
        <w:spacing w:line="560" w:lineRule="exact"/>
        <w:ind w:firstLine="573"/>
        <w:rPr>
          <w:highlight w:val="none"/>
        </w:rPr>
      </w:pPr>
      <w:r>
        <w:rPr>
          <w:highlight w:val="none"/>
        </w:rPr>
        <mc:AlternateContent>
          <mc:Choice Requires="wps">
            <w:drawing>
              <wp:anchor distT="0" distB="0" distL="114300" distR="114300" simplePos="0" relativeHeight="251676672" behindDoc="0" locked="0" layoutInCell="1" allowOverlap="1">
                <wp:simplePos x="0" y="0"/>
                <wp:positionH relativeFrom="column">
                  <wp:posOffset>2875915</wp:posOffset>
                </wp:positionH>
                <wp:positionV relativeFrom="paragraph">
                  <wp:posOffset>119380</wp:posOffset>
                </wp:positionV>
                <wp:extent cx="2240915" cy="1125855"/>
                <wp:effectExtent l="4445" t="4445" r="17780" b="18415"/>
                <wp:wrapNone/>
                <wp:docPr id="12" name="文本框 12"/>
                <wp:cNvGraphicFramePr/>
                <a:graphic xmlns:a="http://schemas.openxmlformats.org/drawingml/2006/main">
                  <a:graphicData uri="http://schemas.microsoft.com/office/word/2010/wordprocessingShape">
                    <wps:wsp>
                      <wps:cNvSpPr txBox="1"/>
                      <wps:spPr>
                        <a:xfrm>
                          <a:off x="0" y="0"/>
                          <a:ext cx="2240915" cy="1125855"/>
                        </a:xfrm>
                        <a:prstGeom prst="rect">
                          <a:avLst/>
                        </a:prstGeom>
                        <a:solidFill>
                          <a:srgbClr val="FFFFFF"/>
                        </a:solidFill>
                        <a:ln w="9525" cap="flat" cmpd="sng">
                          <a:solidFill>
                            <a:srgbClr val="000000"/>
                          </a:solidFill>
                          <a:prstDash val="dash"/>
                          <a:miter/>
                          <a:headEnd type="none" w="med" len="med"/>
                          <a:tailEnd type="none" w="med" len="med"/>
                        </a:ln>
                        <a:effectLst/>
                      </wps:spPr>
                      <wps:txbx>
                        <w:txbxContent>
                          <w:p w14:paraId="4DD2F595">
                            <w:pPr>
                              <w:jc w:val="center"/>
                              <w:rPr>
                                <w:rFonts w:ascii="宋体"/>
                              </w:rPr>
                            </w:pPr>
                          </w:p>
                          <w:p w14:paraId="742C1791">
                            <w:pPr>
                              <w:jc w:val="center"/>
                              <w:rPr>
                                <w:rFonts w:ascii="宋体" w:hAnsi="宋体"/>
                                <w:sz w:val="28"/>
                                <w:szCs w:val="28"/>
                              </w:rPr>
                            </w:pPr>
                            <w:r>
                              <w:rPr>
                                <w:rFonts w:hint="eastAsia" w:ascii="宋体" w:hAnsi="宋体"/>
                                <w:sz w:val="28"/>
                                <w:szCs w:val="28"/>
                              </w:rPr>
                              <w:t>授权代表身份证复印件</w:t>
                            </w:r>
                          </w:p>
                          <w:p w14:paraId="1807D8D2">
                            <w:pPr>
                              <w:jc w:val="center"/>
                              <w:rPr>
                                <w:sz w:val="28"/>
                                <w:szCs w:val="28"/>
                              </w:rPr>
                            </w:pPr>
                            <w:r>
                              <w:rPr>
                                <w:rFonts w:hint="eastAsia" w:ascii="宋体" w:hAnsi="宋体"/>
                                <w:sz w:val="28"/>
                                <w:szCs w:val="28"/>
                              </w:rPr>
                              <w:t>（</w:t>
                            </w:r>
                            <w:r>
                              <w:rPr>
                                <w:rFonts w:hint="eastAsia" w:ascii="宋体" w:hAnsi="宋体"/>
                                <w:sz w:val="28"/>
                                <w:szCs w:val="28"/>
                                <w:lang w:val="en-US" w:eastAsia="zh-CN"/>
                              </w:rPr>
                              <w:t>反面</w:t>
                            </w:r>
                            <w:r>
                              <w:rPr>
                                <w:rFonts w:hint="eastAsia" w:ascii="宋体" w:hAnsi="宋体"/>
                                <w:sz w:val="28"/>
                                <w:szCs w:val="28"/>
                              </w:rPr>
                              <w:t>）</w:t>
                            </w:r>
                          </w:p>
                        </w:txbxContent>
                      </wps:txbx>
                      <wps:bodyPr anchor="ctr" anchorCtr="0" upright="1"/>
                    </wps:wsp>
                  </a:graphicData>
                </a:graphic>
              </wp:anchor>
            </w:drawing>
          </mc:Choice>
          <mc:Fallback>
            <w:pict>
              <v:shape id="_x0000_s1026" o:spid="_x0000_s1026" o:spt="202" type="#_x0000_t202" style="position:absolute;left:0pt;margin-left:226.45pt;margin-top:9.4pt;height:88.65pt;width:176.45pt;z-index:251676672;v-text-anchor:middle;mso-width-relative:page;mso-height-relative:page;" fillcolor="#FFFFFF" filled="t" stroked="t" coordsize="21600,21600" o:gfxdata="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">
                <v:fill on="t" focussize="0,0"/>
                <v:stroke color="#000000" joinstyle="miter" dashstyle="dash"/>
                <v:imagedata o:title=""/>
                <o:lock v:ext="edit" aspectratio="f"/>
                <v:textbox>
                  <w:txbxContent>
                    <w:p w14:paraId="4DD2F595">
                      <w:pPr>
                        <w:jc w:val="center"/>
                        <w:rPr>
                          <w:rFonts w:ascii="宋体"/>
                        </w:rPr>
                      </w:pPr>
                    </w:p>
                    <w:p w14:paraId="742C1791">
                      <w:pPr>
                        <w:jc w:val="center"/>
                        <w:rPr>
                          <w:rFonts w:ascii="宋体" w:hAnsi="宋体"/>
                          <w:sz w:val="28"/>
                          <w:szCs w:val="28"/>
                        </w:rPr>
                      </w:pPr>
                      <w:r>
                        <w:rPr>
                          <w:rFonts w:hint="eastAsia" w:ascii="宋体" w:hAnsi="宋体"/>
                          <w:sz w:val="28"/>
                          <w:szCs w:val="28"/>
                        </w:rPr>
                        <w:t>授权代表身份证复印件</w:t>
                      </w:r>
                    </w:p>
                    <w:p w14:paraId="1807D8D2">
                      <w:pPr>
                        <w:jc w:val="center"/>
                        <w:rPr>
                          <w:sz w:val="28"/>
                          <w:szCs w:val="28"/>
                        </w:rPr>
                      </w:pPr>
                      <w:r>
                        <w:rPr>
                          <w:rFonts w:hint="eastAsia" w:ascii="宋体" w:hAnsi="宋体"/>
                          <w:sz w:val="28"/>
                          <w:szCs w:val="28"/>
                        </w:rPr>
                        <w:t>（</w:t>
                      </w:r>
                      <w:r>
                        <w:rPr>
                          <w:rFonts w:hint="eastAsia" w:ascii="宋体" w:hAnsi="宋体"/>
                          <w:sz w:val="28"/>
                          <w:szCs w:val="28"/>
                          <w:lang w:val="en-US" w:eastAsia="zh-CN"/>
                        </w:rPr>
                        <w:t>反面</w:t>
                      </w:r>
                      <w:r>
                        <w:rPr>
                          <w:rFonts w:hint="eastAsia" w:ascii="宋体" w:hAnsi="宋体"/>
                          <w:sz w:val="28"/>
                          <w:szCs w:val="28"/>
                        </w:rPr>
                        <w:t>）</w:t>
                      </w:r>
                    </w:p>
                  </w:txbxContent>
                </v:textbox>
              </v:shape>
            </w:pict>
          </mc:Fallback>
        </mc:AlternateContent>
      </w:r>
      <w:r>
        <w:rPr>
          <w:highlight w:val="none"/>
        </w:rPr>
        <mc:AlternateContent>
          <mc:Choice Requires="wps">
            <w:drawing>
              <wp:anchor distT="0" distB="0" distL="114300" distR="114300" simplePos="0" relativeHeight="251675648" behindDoc="0" locked="0" layoutInCell="1" allowOverlap="1">
                <wp:simplePos x="0" y="0"/>
                <wp:positionH relativeFrom="column">
                  <wp:posOffset>388620</wp:posOffset>
                </wp:positionH>
                <wp:positionV relativeFrom="paragraph">
                  <wp:posOffset>117475</wp:posOffset>
                </wp:positionV>
                <wp:extent cx="2240915" cy="1125855"/>
                <wp:effectExtent l="4445" t="4445" r="17780" b="18415"/>
                <wp:wrapNone/>
                <wp:docPr id="11" name="文本框 11"/>
                <wp:cNvGraphicFramePr/>
                <a:graphic xmlns:a="http://schemas.openxmlformats.org/drawingml/2006/main">
                  <a:graphicData uri="http://schemas.microsoft.com/office/word/2010/wordprocessingShape">
                    <wps:wsp>
                      <wps:cNvSpPr txBox="1"/>
                      <wps:spPr>
                        <a:xfrm>
                          <a:off x="0" y="0"/>
                          <a:ext cx="2240915" cy="1125855"/>
                        </a:xfrm>
                        <a:prstGeom prst="rect">
                          <a:avLst/>
                        </a:prstGeom>
                        <a:solidFill>
                          <a:srgbClr val="FFFFFF"/>
                        </a:solidFill>
                        <a:ln w="9525" cap="flat" cmpd="sng">
                          <a:solidFill>
                            <a:srgbClr val="000000"/>
                          </a:solidFill>
                          <a:prstDash val="dash"/>
                          <a:miter/>
                          <a:headEnd type="none" w="med" len="med"/>
                          <a:tailEnd type="none" w="med" len="med"/>
                        </a:ln>
                        <a:effectLst/>
                      </wps:spPr>
                      <wps:txbx>
                        <w:txbxContent>
                          <w:p w14:paraId="5A6D818F">
                            <w:pPr>
                              <w:jc w:val="center"/>
                              <w:rPr>
                                <w:rFonts w:ascii="宋体"/>
                              </w:rPr>
                            </w:pPr>
                          </w:p>
                          <w:p w14:paraId="6E333C7D">
                            <w:pPr>
                              <w:jc w:val="center"/>
                              <w:rPr>
                                <w:rFonts w:ascii="宋体" w:hAnsi="宋体"/>
                                <w:sz w:val="28"/>
                                <w:szCs w:val="28"/>
                              </w:rPr>
                            </w:pPr>
                            <w:r>
                              <w:rPr>
                                <w:rFonts w:hint="eastAsia" w:ascii="宋体" w:hAnsi="宋体"/>
                                <w:sz w:val="28"/>
                                <w:szCs w:val="28"/>
                              </w:rPr>
                              <w:t>授权代表身份证复印件</w:t>
                            </w:r>
                          </w:p>
                          <w:p w14:paraId="164591E0">
                            <w:pPr>
                              <w:jc w:val="center"/>
                              <w:rPr>
                                <w:sz w:val="28"/>
                                <w:szCs w:val="28"/>
                              </w:rPr>
                            </w:pPr>
                            <w:r>
                              <w:rPr>
                                <w:rFonts w:hint="eastAsia" w:ascii="宋体" w:hAnsi="宋体"/>
                                <w:sz w:val="28"/>
                                <w:szCs w:val="28"/>
                              </w:rPr>
                              <w:t>（</w:t>
                            </w:r>
                            <w:r>
                              <w:rPr>
                                <w:rFonts w:hint="eastAsia" w:ascii="宋体" w:hAnsi="宋体"/>
                                <w:sz w:val="28"/>
                                <w:szCs w:val="28"/>
                                <w:lang w:val="en-US" w:eastAsia="zh-CN"/>
                              </w:rPr>
                              <w:t>正面</w:t>
                            </w:r>
                            <w:r>
                              <w:rPr>
                                <w:rFonts w:hint="eastAsia" w:ascii="宋体" w:hAnsi="宋体"/>
                                <w:sz w:val="28"/>
                                <w:szCs w:val="28"/>
                              </w:rPr>
                              <w:t>）</w:t>
                            </w:r>
                          </w:p>
                        </w:txbxContent>
                      </wps:txbx>
                      <wps:bodyPr anchor="ctr" anchorCtr="0" upright="1"/>
                    </wps:wsp>
                  </a:graphicData>
                </a:graphic>
              </wp:anchor>
            </w:drawing>
          </mc:Choice>
          <mc:Fallback>
            <w:pict>
              <v:shape id="_x0000_s1026" o:spid="_x0000_s1026" o:spt="202" type="#_x0000_t202" style="position:absolute;left:0pt;margin-left:30.6pt;margin-top:9.25pt;height:88.65pt;width:176.45pt;z-index:251675648;v-text-anchor:middle;mso-width-relative:page;mso-height-relative:page;" fillcolor="#FFFFFF" filled="t" stroked="t" coordsize="21600,21600" o:gfxdata="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">
                <v:fill on="t" focussize="0,0"/>
                <v:stroke color="#000000" joinstyle="miter" dashstyle="dash"/>
                <v:imagedata o:title=""/>
                <o:lock v:ext="edit" aspectratio="f"/>
                <v:textbox>
                  <w:txbxContent>
                    <w:p w14:paraId="5A6D818F">
                      <w:pPr>
                        <w:jc w:val="center"/>
                        <w:rPr>
                          <w:rFonts w:ascii="宋体"/>
                        </w:rPr>
                      </w:pPr>
                    </w:p>
                    <w:p w14:paraId="6E333C7D">
                      <w:pPr>
                        <w:jc w:val="center"/>
                        <w:rPr>
                          <w:rFonts w:ascii="宋体" w:hAnsi="宋体"/>
                          <w:sz w:val="28"/>
                          <w:szCs w:val="28"/>
                        </w:rPr>
                      </w:pPr>
                      <w:r>
                        <w:rPr>
                          <w:rFonts w:hint="eastAsia" w:ascii="宋体" w:hAnsi="宋体"/>
                          <w:sz w:val="28"/>
                          <w:szCs w:val="28"/>
                        </w:rPr>
                        <w:t>授权代表身份证复印件</w:t>
                      </w:r>
                    </w:p>
                    <w:p w14:paraId="164591E0">
                      <w:pPr>
                        <w:jc w:val="center"/>
                        <w:rPr>
                          <w:sz w:val="28"/>
                          <w:szCs w:val="28"/>
                        </w:rPr>
                      </w:pPr>
                      <w:r>
                        <w:rPr>
                          <w:rFonts w:hint="eastAsia" w:ascii="宋体" w:hAnsi="宋体"/>
                          <w:sz w:val="28"/>
                          <w:szCs w:val="28"/>
                        </w:rPr>
                        <w:t>（</w:t>
                      </w:r>
                      <w:r>
                        <w:rPr>
                          <w:rFonts w:hint="eastAsia" w:ascii="宋体" w:hAnsi="宋体"/>
                          <w:sz w:val="28"/>
                          <w:szCs w:val="28"/>
                          <w:lang w:val="en-US" w:eastAsia="zh-CN"/>
                        </w:rPr>
                        <w:t>正面</w:t>
                      </w:r>
                      <w:r>
                        <w:rPr>
                          <w:rFonts w:hint="eastAsia" w:ascii="宋体" w:hAnsi="宋体"/>
                          <w:sz w:val="28"/>
                          <w:szCs w:val="28"/>
                        </w:rPr>
                        <w:t>）</w:t>
                      </w:r>
                    </w:p>
                  </w:txbxContent>
                </v:textbox>
              </v:shape>
            </w:pict>
          </mc:Fallback>
        </mc:AlternateContent>
      </w:r>
    </w:p>
    <w:p w14:paraId="190AE822">
      <w:pPr>
        <w:spacing w:line="560" w:lineRule="exact"/>
        <w:ind w:firstLine="573"/>
        <w:rPr>
          <w:highlight w:val="none"/>
        </w:rPr>
      </w:pPr>
    </w:p>
    <w:p w14:paraId="7BAD7402">
      <w:pPr>
        <w:spacing w:line="560" w:lineRule="exact"/>
        <w:ind w:firstLine="573"/>
        <w:rPr>
          <w:highlight w:val="none"/>
        </w:rPr>
      </w:pPr>
    </w:p>
    <w:p w14:paraId="2C3A0BBF">
      <w:pPr>
        <w:ind w:firstLine="420" w:firstLineChars="150"/>
        <w:rPr>
          <w:rFonts w:hint="eastAsia"/>
          <w:sz w:val="28"/>
          <w:szCs w:val="28"/>
          <w:highlight w:val="none"/>
        </w:rPr>
      </w:pPr>
    </w:p>
    <w:p w14:paraId="7B585792">
      <w:pPr>
        <w:ind w:firstLine="560" w:firstLineChars="200"/>
        <w:rPr>
          <w:sz w:val="28"/>
          <w:szCs w:val="28"/>
          <w:highlight w:val="none"/>
        </w:rPr>
      </w:pPr>
      <w:r>
        <w:rPr>
          <w:rFonts w:hint="eastAsia"/>
          <w:sz w:val="28"/>
          <w:szCs w:val="28"/>
          <w:highlight w:val="none"/>
        </w:rPr>
        <w:t>身份证关键信息应清晰可辩，否则投标无效。</w:t>
      </w:r>
    </w:p>
    <w:p w14:paraId="680B6410">
      <w:pPr>
        <w:pStyle w:val="17"/>
        <w:rPr>
          <w:rFonts w:ascii="宋体" w:hAnsi="宋体" w:cs="宋体"/>
          <w:bCs/>
          <w:sz w:val="28"/>
          <w:szCs w:val="28"/>
          <w:highlight w:val="none"/>
        </w:rPr>
      </w:pPr>
    </w:p>
    <w:p w14:paraId="4D8D80FD">
      <w:pPr>
        <w:rPr>
          <w:rFonts w:ascii="宋体" w:hAnsi="宋体" w:cs="宋体"/>
          <w:bCs/>
          <w:sz w:val="28"/>
          <w:szCs w:val="28"/>
          <w:highlight w:val="none"/>
        </w:rPr>
      </w:pPr>
    </w:p>
    <w:p w14:paraId="3EF96B4B">
      <w:pPr>
        <w:pStyle w:val="17"/>
        <w:rPr>
          <w:rFonts w:hint="eastAsia" w:ascii="宋体" w:hAnsi="宋体" w:cs="宋体"/>
          <w:bCs/>
          <w:sz w:val="28"/>
          <w:szCs w:val="28"/>
          <w:highlight w:val="none"/>
          <w:lang w:val="en-US" w:eastAsia="zh-CN"/>
        </w:rPr>
      </w:pPr>
      <w:r>
        <w:rPr>
          <w:rFonts w:hint="eastAsia" w:ascii="宋体" w:hAnsi="宋体" w:cs="宋体"/>
          <w:bCs/>
          <w:sz w:val="28"/>
          <w:szCs w:val="28"/>
          <w:highlight w:val="none"/>
          <w:lang w:val="en-US" w:eastAsia="zh-CN"/>
        </w:rPr>
        <w:t xml:space="preserve"> </w:t>
      </w:r>
    </w:p>
    <w:p w14:paraId="6E695786">
      <w:pPr>
        <w:rPr>
          <w:rFonts w:hint="eastAsia" w:ascii="宋体" w:hAnsi="宋体" w:cs="宋体"/>
          <w:bCs/>
          <w:sz w:val="28"/>
          <w:szCs w:val="28"/>
          <w:highlight w:val="none"/>
          <w:lang w:val="en-US" w:eastAsia="zh-CN"/>
        </w:rPr>
      </w:pPr>
    </w:p>
    <w:p w14:paraId="3483D471">
      <w:pPr>
        <w:spacing w:line="600" w:lineRule="exact"/>
        <w:rPr>
          <w:rFonts w:hint="default"/>
          <w:sz w:val="28"/>
          <w:szCs w:val="28"/>
          <w:highlight w:val="none"/>
          <w:lang w:val="en-US" w:eastAsia="zh-CN"/>
        </w:rPr>
      </w:pPr>
      <w:bookmarkStart w:id="905" w:name="_Toc5045"/>
      <w:r>
        <w:rPr>
          <w:rFonts w:hint="eastAsia"/>
          <w:sz w:val="28"/>
          <w:szCs w:val="28"/>
          <w:highlight w:val="none"/>
        </w:rPr>
        <w:t>附：被授权人</w:t>
      </w:r>
      <w:bookmarkEnd w:id="905"/>
      <w:r>
        <w:rPr>
          <w:rFonts w:hint="eastAsia"/>
          <w:sz w:val="28"/>
          <w:szCs w:val="28"/>
          <w:highlight w:val="none"/>
          <w:lang w:val="en-US" w:eastAsia="zh-CN"/>
        </w:rPr>
        <w:t>提供投标前4个月内（不含投标当月）连续3个月由投标供应商缴纳的社保证明材料，代缴社保证明材料不予认可。</w:t>
      </w:r>
    </w:p>
    <w:p w14:paraId="4634A383">
      <w:pPr>
        <w:spacing w:line="600" w:lineRule="exact"/>
        <w:rPr>
          <w:rFonts w:hint="eastAsia" w:ascii="宋体" w:hAnsi="宋体" w:cs="宋体"/>
          <w:highlight w:val="none"/>
          <w:lang w:val="zh-CN"/>
        </w:rPr>
      </w:pPr>
      <w:r>
        <w:rPr>
          <w:rFonts w:hint="eastAsia" w:ascii="宋体" w:hAnsi="宋体" w:cs="宋体"/>
          <w:highlight w:val="none"/>
        </w:rPr>
        <w:t>注：由</w:t>
      </w:r>
      <w:r>
        <w:rPr>
          <w:rFonts w:hint="eastAsia" w:ascii="宋体" w:hAnsi="宋体" w:cs="宋体"/>
          <w:highlight w:val="none"/>
          <w:lang w:val="zh-CN"/>
        </w:rPr>
        <w:t>报价人（供应商）自行提供。</w:t>
      </w:r>
    </w:p>
    <w:p w14:paraId="553F98BF">
      <w:pPr>
        <w:rPr>
          <w:rFonts w:ascii="宋体" w:hAnsi="宋体" w:cs="宋体"/>
          <w:bCs/>
          <w:sz w:val="28"/>
          <w:szCs w:val="28"/>
          <w:highlight w:val="none"/>
        </w:rPr>
      </w:pPr>
    </w:p>
    <w:p w14:paraId="59441DB1">
      <w:pPr>
        <w:pStyle w:val="17"/>
        <w:rPr>
          <w:rFonts w:ascii="宋体" w:hAnsi="宋体" w:cs="宋体"/>
          <w:bCs/>
          <w:sz w:val="28"/>
          <w:szCs w:val="28"/>
          <w:highlight w:val="none"/>
        </w:rPr>
      </w:pPr>
    </w:p>
    <w:p w14:paraId="024E8BFC">
      <w:pPr>
        <w:rPr>
          <w:rFonts w:ascii="宋体" w:hAnsi="宋体" w:cs="宋体"/>
          <w:bCs/>
          <w:sz w:val="28"/>
          <w:szCs w:val="28"/>
          <w:highlight w:val="none"/>
        </w:rPr>
      </w:pPr>
    </w:p>
    <w:p w14:paraId="123587C4">
      <w:pPr>
        <w:pStyle w:val="17"/>
        <w:rPr>
          <w:rFonts w:ascii="宋体" w:hAnsi="宋体" w:cs="宋体"/>
          <w:bCs/>
          <w:sz w:val="28"/>
          <w:szCs w:val="28"/>
          <w:highlight w:val="none"/>
        </w:rPr>
      </w:pPr>
    </w:p>
    <w:p w14:paraId="120AAD13">
      <w:pPr>
        <w:rPr>
          <w:rFonts w:ascii="宋体" w:hAnsi="宋体" w:cs="宋体"/>
          <w:bCs/>
          <w:sz w:val="28"/>
          <w:szCs w:val="28"/>
          <w:highlight w:val="none"/>
        </w:rPr>
      </w:pPr>
    </w:p>
    <w:p w14:paraId="7B6DAB0C">
      <w:pPr>
        <w:pStyle w:val="17"/>
        <w:rPr>
          <w:rFonts w:ascii="宋体" w:hAnsi="宋体" w:cs="宋体"/>
          <w:bCs/>
          <w:sz w:val="28"/>
          <w:szCs w:val="28"/>
          <w:highlight w:val="none"/>
        </w:rPr>
      </w:pPr>
    </w:p>
    <w:p w14:paraId="2627FE74">
      <w:pPr>
        <w:rPr>
          <w:rFonts w:ascii="宋体" w:hAnsi="宋体" w:cs="宋体"/>
          <w:bCs/>
          <w:sz w:val="28"/>
          <w:szCs w:val="28"/>
          <w:highlight w:val="none"/>
        </w:rPr>
      </w:pPr>
    </w:p>
    <w:p w14:paraId="6AA91A74">
      <w:pPr>
        <w:pStyle w:val="17"/>
        <w:rPr>
          <w:rFonts w:ascii="宋体" w:hAnsi="宋体" w:cs="宋体"/>
          <w:bCs/>
          <w:sz w:val="28"/>
          <w:szCs w:val="28"/>
          <w:highlight w:val="none"/>
        </w:rPr>
      </w:pPr>
    </w:p>
    <w:p w14:paraId="0DFB732F">
      <w:pPr>
        <w:rPr>
          <w:rFonts w:ascii="宋体" w:hAnsi="宋体" w:cs="宋体"/>
          <w:bCs/>
          <w:sz w:val="28"/>
          <w:szCs w:val="28"/>
          <w:highlight w:val="none"/>
        </w:rPr>
      </w:pPr>
    </w:p>
    <w:p w14:paraId="643473D1">
      <w:pPr>
        <w:pStyle w:val="17"/>
        <w:rPr>
          <w:rFonts w:ascii="宋体" w:hAnsi="宋体" w:cs="宋体"/>
          <w:bCs/>
          <w:sz w:val="28"/>
          <w:szCs w:val="28"/>
          <w:highlight w:val="none"/>
        </w:rPr>
      </w:pPr>
    </w:p>
    <w:p w14:paraId="008937DF">
      <w:pPr>
        <w:rPr>
          <w:rFonts w:ascii="宋体" w:hAnsi="宋体" w:cs="宋体"/>
          <w:bCs/>
          <w:sz w:val="28"/>
          <w:szCs w:val="28"/>
          <w:highlight w:val="none"/>
        </w:rPr>
      </w:pPr>
    </w:p>
    <w:p w14:paraId="4F1F5D91">
      <w:pPr>
        <w:pStyle w:val="17"/>
        <w:rPr>
          <w:rFonts w:ascii="宋体" w:hAnsi="宋体" w:cs="宋体"/>
          <w:bCs/>
          <w:sz w:val="28"/>
          <w:szCs w:val="28"/>
          <w:highlight w:val="none"/>
        </w:rPr>
      </w:pPr>
    </w:p>
    <w:p w14:paraId="4F9DE400">
      <w:pPr>
        <w:rPr>
          <w:rFonts w:ascii="宋体" w:hAnsi="宋体" w:cs="宋体"/>
          <w:bCs/>
          <w:sz w:val="28"/>
          <w:szCs w:val="28"/>
          <w:highlight w:val="none"/>
        </w:rPr>
      </w:pPr>
    </w:p>
    <w:p w14:paraId="6FBB7300">
      <w:pPr>
        <w:pStyle w:val="17"/>
        <w:rPr>
          <w:rFonts w:ascii="宋体" w:hAnsi="宋体" w:cs="宋体"/>
          <w:bCs/>
          <w:sz w:val="28"/>
          <w:szCs w:val="28"/>
          <w:highlight w:val="none"/>
        </w:rPr>
      </w:pPr>
    </w:p>
    <w:p w14:paraId="78E641C9">
      <w:pPr>
        <w:rPr>
          <w:rFonts w:ascii="宋体" w:hAnsi="宋体" w:cs="宋体"/>
          <w:bCs/>
          <w:sz w:val="28"/>
          <w:szCs w:val="28"/>
          <w:highlight w:val="none"/>
        </w:rPr>
      </w:pPr>
    </w:p>
    <w:p w14:paraId="005DA3BD">
      <w:pPr>
        <w:pStyle w:val="17"/>
        <w:rPr>
          <w:rFonts w:ascii="宋体" w:hAnsi="宋体" w:cs="宋体"/>
          <w:bCs/>
          <w:sz w:val="28"/>
          <w:szCs w:val="28"/>
          <w:highlight w:val="none"/>
        </w:rPr>
      </w:pPr>
    </w:p>
    <w:p w14:paraId="0C9F9F59">
      <w:pPr>
        <w:rPr>
          <w:rFonts w:ascii="宋体" w:hAnsi="宋体" w:cs="宋体"/>
          <w:bCs/>
          <w:sz w:val="28"/>
          <w:szCs w:val="28"/>
          <w:highlight w:val="none"/>
        </w:rPr>
      </w:pPr>
    </w:p>
    <w:p w14:paraId="7F224A43">
      <w:pPr>
        <w:pStyle w:val="17"/>
        <w:rPr>
          <w:rFonts w:ascii="宋体" w:hAnsi="宋体" w:cs="宋体"/>
          <w:bCs/>
          <w:sz w:val="28"/>
          <w:szCs w:val="28"/>
          <w:highlight w:val="none"/>
        </w:rPr>
      </w:pPr>
    </w:p>
    <w:p w14:paraId="03443293">
      <w:pPr>
        <w:rPr>
          <w:rFonts w:ascii="宋体" w:hAnsi="宋体" w:cs="宋体"/>
          <w:bCs/>
          <w:sz w:val="28"/>
          <w:szCs w:val="28"/>
          <w:highlight w:val="none"/>
        </w:rPr>
      </w:pPr>
    </w:p>
    <w:p w14:paraId="138F9A34">
      <w:pPr>
        <w:pStyle w:val="17"/>
        <w:rPr>
          <w:rFonts w:ascii="宋体" w:hAnsi="宋体" w:cs="宋体"/>
          <w:bCs/>
          <w:sz w:val="28"/>
          <w:szCs w:val="28"/>
          <w:highlight w:val="none"/>
        </w:rPr>
      </w:pPr>
    </w:p>
    <w:p w14:paraId="15487D12">
      <w:pPr>
        <w:rPr>
          <w:rFonts w:ascii="宋体" w:hAnsi="宋体" w:cs="宋体"/>
          <w:bCs/>
          <w:sz w:val="28"/>
          <w:szCs w:val="28"/>
          <w:highlight w:val="none"/>
        </w:rPr>
      </w:pPr>
    </w:p>
    <w:p w14:paraId="0D31B2DA">
      <w:pPr>
        <w:pStyle w:val="17"/>
        <w:rPr>
          <w:rFonts w:ascii="宋体" w:hAnsi="宋体" w:cs="宋体"/>
          <w:bCs/>
          <w:sz w:val="28"/>
          <w:szCs w:val="28"/>
          <w:highlight w:val="none"/>
        </w:rPr>
      </w:pPr>
    </w:p>
    <w:p w14:paraId="6DC4D09D">
      <w:pPr>
        <w:rPr>
          <w:rFonts w:ascii="宋体" w:hAnsi="宋体" w:cs="宋体"/>
          <w:bCs/>
          <w:sz w:val="28"/>
          <w:szCs w:val="28"/>
          <w:highlight w:val="none"/>
        </w:rPr>
      </w:pPr>
    </w:p>
    <w:p w14:paraId="2720B0AC">
      <w:pPr>
        <w:pStyle w:val="17"/>
        <w:rPr>
          <w:rFonts w:ascii="宋体" w:hAnsi="宋体" w:cs="宋体"/>
          <w:bCs/>
          <w:sz w:val="28"/>
          <w:szCs w:val="28"/>
          <w:highlight w:val="none"/>
        </w:rPr>
      </w:pPr>
    </w:p>
    <w:p w14:paraId="73D3E61D">
      <w:pPr>
        <w:rPr>
          <w:rFonts w:ascii="宋体" w:hAnsi="宋体" w:cs="宋体"/>
          <w:bCs/>
          <w:sz w:val="28"/>
          <w:szCs w:val="28"/>
          <w:highlight w:val="none"/>
        </w:rPr>
      </w:pPr>
    </w:p>
    <w:p w14:paraId="4E9D7D62">
      <w:pPr>
        <w:pStyle w:val="17"/>
        <w:rPr>
          <w:rFonts w:ascii="宋体" w:hAnsi="宋体" w:cs="宋体"/>
          <w:bCs/>
          <w:sz w:val="28"/>
          <w:szCs w:val="28"/>
          <w:highlight w:val="none"/>
        </w:rPr>
      </w:pPr>
    </w:p>
    <w:p w14:paraId="6D541208">
      <w:pPr>
        <w:rPr>
          <w:rFonts w:ascii="宋体" w:hAnsi="宋体" w:cs="宋体"/>
          <w:bCs/>
          <w:sz w:val="28"/>
          <w:szCs w:val="28"/>
          <w:highlight w:val="none"/>
        </w:rPr>
      </w:pPr>
    </w:p>
    <w:p w14:paraId="075B555D">
      <w:pPr>
        <w:pStyle w:val="17"/>
        <w:rPr>
          <w:rFonts w:ascii="宋体" w:hAnsi="宋体" w:cs="宋体"/>
          <w:bCs/>
          <w:sz w:val="28"/>
          <w:szCs w:val="28"/>
          <w:highlight w:val="none"/>
        </w:rPr>
      </w:pPr>
    </w:p>
    <w:p w14:paraId="464A0D91">
      <w:pPr>
        <w:outlineLvl w:val="3"/>
        <w:rPr>
          <w:rFonts w:hint="eastAsia" w:eastAsia="方正小标宋简体"/>
          <w:bCs/>
          <w:sz w:val="44"/>
          <w:szCs w:val="44"/>
          <w:highlight w:val="none"/>
        </w:rPr>
      </w:pPr>
    </w:p>
    <w:p w14:paraId="55CCB923">
      <w:pPr>
        <w:outlineLvl w:val="3"/>
        <w:rPr>
          <w:rFonts w:hint="eastAsia" w:eastAsia="方正小标宋简体"/>
          <w:bCs/>
          <w:sz w:val="44"/>
          <w:szCs w:val="44"/>
          <w:highlight w:val="none"/>
        </w:rPr>
      </w:pPr>
      <w:r>
        <w:rPr>
          <w:rFonts w:hint="eastAsia" w:eastAsia="方正小标宋简体"/>
          <w:bCs/>
          <w:sz w:val="44"/>
          <w:szCs w:val="44"/>
          <w:highlight w:val="none"/>
        </w:rPr>
        <w:t>附录4：</w:t>
      </w:r>
    </w:p>
    <w:p w14:paraId="167F09C6">
      <w:pPr>
        <w:outlineLvl w:val="9"/>
        <w:rPr>
          <w:rFonts w:hint="eastAsia" w:eastAsia="方正小标宋简体"/>
          <w:bCs/>
          <w:sz w:val="44"/>
          <w:szCs w:val="44"/>
          <w:highlight w:val="none"/>
        </w:rPr>
      </w:pPr>
      <w:bookmarkStart w:id="906" w:name="_Toc12533"/>
      <w:bookmarkStart w:id="907" w:name="_Toc29836"/>
      <w:r>
        <w:rPr>
          <w:rFonts w:hint="eastAsia" w:eastAsia="方正小标宋简体"/>
          <w:bCs/>
          <w:sz w:val="44"/>
          <w:szCs w:val="44"/>
          <w:highlight w:val="none"/>
        </w:rPr>
        <w:t>非外资</w:t>
      </w:r>
      <w:r>
        <w:rPr>
          <w:rFonts w:hint="eastAsia" w:eastAsia="方正小标宋简体"/>
          <w:bCs/>
          <w:sz w:val="44"/>
          <w:szCs w:val="44"/>
          <w:highlight w:val="none"/>
          <w:lang w:eastAsia="zh-CN"/>
        </w:rPr>
        <w:t>（</w:t>
      </w:r>
      <w:r>
        <w:rPr>
          <w:rFonts w:hint="eastAsia" w:eastAsia="方正小标宋简体"/>
          <w:bCs/>
          <w:sz w:val="44"/>
          <w:szCs w:val="44"/>
          <w:highlight w:val="none"/>
          <w:lang w:val="en-US" w:eastAsia="zh-CN"/>
        </w:rPr>
        <w:t>含港澳台</w:t>
      </w:r>
      <w:r>
        <w:rPr>
          <w:rFonts w:hint="eastAsia" w:eastAsia="方正小标宋简体"/>
          <w:bCs/>
          <w:sz w:val="44"/>
          <w:szCs w:val="44"/>
          <w:highlight w:val="none"/>
          <w:lang w:eastAsia="zh-CN"/>
        </w:rPr>
        <w:t>）</w:t>
      </w:r>
      <w:r>
        <w:rPr>
          <w:rFonts w:hint="eastAsia" w:eastAsia="方正小标宋简体"/>
          <w:bCs/>
          <w:sz w:val="44"/>
          <w:szCs w:val="44"/>
          <w:highlight w:val="none"/>
        </w:rPr>
        <w:t>独资或外资控股企业的书面声明</w:t>
      </w:r>
      <w:bookmarkEnd w:id="906"/>
      <w:bookmarkEnd w:id="907"/>
    </w:p>
    <w:p w14:paraId="4BA3492E">
      <w:pPr>
        <w:autoSpaceDE w:val="0"/>
        <w:autoSpaceDN w:val="0"/>
        <w:adjustRightInd w:val="0"/>
        <w:rPr>
          <w:rFonts w:ascii="宋体" w:hAnsi="宋体"/>
          <w:highlight w:val="none"/>
        </w:rPr>
      </w:pPr>
    </w:p>
    <w:p w14:paraId="772E1202">
      <w:pPr>
        <w:spacing w:line="600" w:lineRule="exact"/>
        <w:rPr>
          <w:rFonts w:eastAsia="楷体_GB2312"/>
          <w:sz w:val="28"/>
          <w:szCs w:val="28"/>
          <w:highlight w:val="none"/>
        </w:rPr>
      </w:pPr>
      <w:r>
        <w:rPr>
          <w:rFonts w:ascii="楷体_GB2312" w:hAnsi="宋体" w:eastAsia="楷体_GB2312"/>
          <w:sz w:val="28"/>
          <w:szCs w:val="28"/>
          <w:highlight w:val="none"/>
          <w:u w:val="single"/>
        </w:rPr>
        <w:t>（采购机构名称）</w:t>
      </w:r>
      <w:r>
        <w:rPr>
          <w:rFonts w:eastAsia="楷体_GB2312"/>
          <w:sz w:val="28"/>
          <w:szCs w:val="28"/>
          <w:highlight w:val="none"/>
        </w:rPr>
        <w:t>：</w:t>
      </w:r>
    </w:p>
    <w:p w14:paraId="6490737F">
      <w:pPr>
        <w:spacing w:line="600" w:lineRule="exact"/>
        <w:ind w:firstLine="560" w:firstLineChars="200"/>
        <w:rPr>
          <w:sz w:val="28"/>
          <w:szCs w:val="28"/>
          <w:highlight w:val="none"/>
        </w:rPr>
      </w:pPr>
      <w:r>
        <w:rPr>
          <w:rFonts w:hint="eastAsia"/>
          <w:sz w:val="28"/>
          <w:szCs w:val="28"/>
          <w:highlight w:val="none"/>
        </w:rPr>
        <w:t>我方参加贵单位组织的（</w:t>
      </w:r>
      <w:r>
        <w:rPr>
          <w:rFonts w:hint="eastAsia"/>
          <w:sz w:val="28"/>
          <w:szCs w:val="28"/>
          <w:highlight w:val="none"/>
          <w:u w:val="single"/>
        </w:rPr>
        <w:t>项目编号、项目名称</w:t>
      </w:r>
      <w:r>
        <w:rPr>
          <w:rFonts w:hint="eastAsia"/>
          <w:sz w:val="28"/>
          <w:szCs w:val="28"/>
          <w:highlight w:val="none"/>
        </w:rPr>
        <w:t>）采购活动，在此郑重声明：我公司为非外资</w:t>
      </w:r>
      <w:r>
        <w:rPr>
          <w:rFonts w:hint="eastAsia"/>
          <w:sz w:val="28"/>
          <w:szCs w:val="28"/>
          <w:highlight w:val="none"/>
          <w:lang w:eastAsia="zh-CN"/>
        </w:rPr>
        <w:t>（</w:t>
      </w:r>
      <w:r>
        <w:rPr>
          <w:rFonts w:hint="eastAsia"/>
          <w:sz w:val="28"/>
          <w:szCs w:val="28"/>
          <w:highlight w:val="none"/>
          <w:lang w:val="en-US" w:eastAsia="zh-CN"/>
        </w:rPr>
        <w:t>含港澳台</w:t>
      </w:r>
      <w:r>
        <w:rPr>
          <w:rFonts w:hint="eastAsia"/>
          <w:sz w:val="28"/>
          <w:szCs w:val="28"/>
          <w:highlight w:val="none"/>
          <w:lang w:eastAsia="zh-CN"/>
        </w:rPr>
        <w:t>）</w:t>
      </w:r>
      <w:r>
        <w:rPr>
          <w:rFonts w:hint="eastAsia"/>
          <w:sz w:val="28"/>
          <w:szCs w:val="28"/>
          <w:highlight w:val="none"/>
        </w:rPr>
        <w:t>独资企业或外资控股企业。</w:t>
      </w:r>
    </w:p>
    <w:p w14:paraId="46A9D08E">
      <w:pPr>
        <w:spacing w:line="600" w:lineRule="exact"/>
        <w:ind w:firstLine="560" w:firstLineChars="200"/>
        <w:rPr>
          <w:sz w:val="28"/>
          <w:szCs w:val="28"/>
          <w:highlight w:val="none"/>
        </w:rPr>
      </w:pPr>
      <w:r>
        <w:rPr>
          <w:rFonts w:hint="eastAsia"/>
          <w:sz w:val="28"/>
          <w:szCs w:val="28"/>
          <w:highlight w:val="none"/>
        </w:rPr>
        <w:t>如果我方违反上述声明内容，愿意承担由此导致的一切不利后果和法律责任。</w:t>
      </w:r>
    </w:p>
    <w:p w14:paraId="2D88ACC3">
      <w:pPr>
        <w:spacing w:line="600" w:lineRule="exact"/>
        <w:ind w:firstLine="700" w:firstLineChars="250"/>
        <w:rPr>
          <w:sz w:val="28"/>
          <w:szCs w:val="28"/>
          <w:highlight w:val="none"/>
        </w:rPr>
      </w:pPr>
      <w:r>
        <w:rPr>
          <w:rFonts w:hint="eastAsia"/>
          <w:sz w:val="28"/>
          <w:szCs w:val="28"/>
          <w:highlight w:val="none"/>
        </w:rPr>
        <w:t>特此声明！</w:t>
      </w:r>
    </w:p>
    <w:p w14:paraId="7A753F91">
      <w:pPr>
        <w:spacing w:line="560" w:lineRule="exact"/>
        <w:rPr>
          <w:sz w:val="28"/>
          <w:szCs w:val="28"/>
          <w:highlight w:val="none"/>
        </w:rPr>
      </w:pPr>
    </w:p>
    <w:p w14:paraId="744E6C24">
      <w:pPr>
        <w:spacing w:line="560" w:lineRule="exact"/>
        <w:rPr>
          <w:sz w:val="28"/>
          <w:szCs w:val="28"/>
          <w:highlight w:val="none"/>
        </w:rPr>
      </w:pPr>
    </w:p>
    <w:p w14:paraId="592E835D">
      <w:pPr>
        <w:spacing w:line="560" w:lineRule="exact"/>
        <w:rPr>
          <w:sz w:val="28"/>
          <w:szCs w:val="28"/>
          <w:highlight w:val="none"/>
        </w:rPr>
      </w:pPr>
      <w:r>
        <w:rPr>
          <w:sz w:val="28"/>
          <w:szCs w:val="28"/>
          <w:highlight w:val="none"/>
        </w:rPr>
        <w:t xml:space="preserve">                                      </w:t>
      </w:r>
    </w:p>
    <w:p w14:paraId="11B6BA07">
      <w:pPr>
        <w:spacing w:line="560" w:lineRule="exact"/>
        <w:rPr>
          <w:sz w:val="28"/>
          <w:szCs w:val="28"/>
          <w:highlight w:val="none"/>
        </w:rPr>
      </w:pPr>
    </w:p>
    <w:p w14:paraId="47A452B7">
      <w:pPr>
        <w:spacing w:line="560" w:lineRule="exact"/>
        <w:rPr>
          <w:sz w:val="28"/>
          <w:szCs w:val="28"/>
          <w:highlight w:val="none"/>
        </w:rPr>
      </w:pPr>
      <w:r>
        <w:rPr>
          <w:rFonts w:hint="eastAsia"/>
          <w:sz w:val="28"/>
          <w:szCs w:val="28"/>
          <w:highlight w:val="none"/>
        </w:rPr>
        <w:t xml:space="preserve">                           </w:t>
      </w:r>
      <w:r>
        <w:rPr>
          <w:sz w:val="28"/>
          <w:szCs w:val="28"/>
          <w:highlight w:val="none"/>
        </w:rPr>
        <w:t xml:space="preserve"> </w:t>
      </w:r>
      <w:r>
        <w:rPr>
          <w:rFonts w:hint="eastAsia"/>
          <w:sz w:val="28"/>
          <w:szCs w:val="28"/>
          <w:highlight w:val="none"/>
        </w:rPr>
        <w:t>投标供应商全称：（盖章）</w:t>
      </w:r>
    </w:p>
    <w:p w14:paraId="220C0352">
      <w:pPr>
        <w:spacing w:line="560" w:lineRule="exact"/>
        <w:rPr>
          <w:sz w:val="28"/>
          <w:szCs w:val="28"/>
          <w:highlight w:val="none"/>
        </w:rPr>
      </w:pPr>
      <w:r>
        <w:rPr>
          <w:rFonts w:hint="eastAsia"/>
          <w:sz w:val="28"/>
          <w:szCs w:val="28"/>
          <w:highlight w:val="none"/>
        </w:rPr>
        <w:t xml:space="preserve">                            法定代表人（或授权代表）：（签字）</w:t>
      </w:r>
    </w:p>
    <w:p w14:paraId="41E379D5">
      <w:pPr>
        <w:spacing w:line="560" w:lineRule="exact"/>
        <w:rPr>
          <w:sz w:val="28"/>
          <w:szCs w:val="28"/>
          <w:highlight w:val="none"/>
        </w:rPr>
      </w:pPr>
      <w:r>
        <w:rPr>
          <w:rFonts w:hint="eastAsia"/>
          <w:sz w:val="28"/>
          <w:szCs w:val="28"/>
          <w:highlight w:val="none"/>
        </w:rPr>
        <w:t xml:space="preserve">                                              </w:t>
      </w:r>
      <w:r>
        <w:rPr>
          <w:rFonts w:hint="eastAsia"/>
          <w:sz w:val="28"/>
          <w:szCs w:val="28"/>
          <w:highlight w:val="none"/>
          <w:u w:val="single"/>
        </w:rPr>
        <w:t xml:space="preserve">   </w:t>
      </w:r>
      <w:r>
        <w:rPr>
          <w:sz w:val="28"/>
          <w:szCs w:val="28"/>
          <w:highlight w:val="none"/>
        </w:rPr>
        <w:t>年</w:t>
      </w:r>
      <w:r>
        <w:rPr>
          <w:rFonts w:hint="eastAsia"/>
          <w:sz w:val="28"/>
          <w:szCs w:val="28"/>
          <w:highlight w:val="none"/>
          <w:u w:val="single"/>
        </w:rPr>
        <w:t xml:space="preserve"> </w:t>
      </w:r>
      <w:r>
        <w:rPr>
          <w:sz w:val="28"/>
          <w:szCs w:val="28"/>
          <w:highlight w:val="none"/>
          <w:u w:val="single"/>
        </w:rPr>
        <w:t xml:space="preserve">  </w:t>
      </w:r>
      <w:r>
        <w:rPr>
          <w:sz w:val="28"/>
          <w:szCs w:val="28"/>
          <w:highlight w:val="none"/>
        </w:rPr>
        <w:t>月</w:t>
      </w:r>
      <w:r>
        <w:rPr>
          <w:rFonts w:hint="eastAsia"/>
          <w:sz w:val="28"/>
          <w:szCs w:val="28"/>
          <w:highlight w:val="none"/>
          <w:u w:val="single"/>
        </w:rPr>
        <w:t xml:space="preserve"> </w:t>
      </w:r>
      <w:r>
        <w:rPr>
          <w:sz w:val="28"/>
          <w:szCs w:val="28"/>
          <w:highlight w:val="none"/>
          <w:u w:val="single"/>
        </w:rPr>
        <w:t xml:space="preserve"> </w:t>
      </w:r>
      <w:r>
        <w:rPr>
          <w:rFonts w:hint="eastAsia"/>
          <w:sz w:val="28"/>
          <w:szCs w:val="28"/>
          <w:highlight w:val="none"/>
          <w:u w:val="single"/>
        </w:rPr>
        <w:t xml:space="preserve"> </w:t>
      </w:r>
      <w:r>
        <w:rPr>
          <w:sz w:val="28"/>
          <w:szCs w:val="28"/>
          <w:highlight w:val="none"/>
        </w:rPr>
        <w:t>日</w:t>
      </w:r>
    </w:p>
    <w:p w14:paraId="0C4BF11A">
      <w:pPr>
        <w:rPr>
          <w:rFonts w:ascii="宋体" w:hAnsi="宋体" w:cs="宋体"/>
          <w:bCs/>
          <w:sz w:val="28"/>
          <w:szCs w:val="28"/>
          <w:highlight w:val="none"/>
        </w:rPr>
      </w:pPr>
    </w:p>
    <w:p w14:paraId="3B865F8E">
      <w:pPr>
        <w:pStyle w:val="17"/>
        <w:rPr>
          <w:rFonts w:ascii="宋体" w:hAnsi="宋体" w:cs="宋体"/>
          <w:bCs/>
          <w:sz w:val="28"/>
          <w:szCs w:val="28"/>
          <w:highlight w:val="none"/>
        </w:rPr>
      </w:pPr>
    </w:p>
    <w:p w14:paraId="78E55660">
      <w:pPr>
        <w:rPr>
          <w:rFonts w:ascii="宋体" w:hAnsi="宋体" w:cs="宋体"/>
          <w:bCs/>
          <w:sz w:val="28"/>
          <w:szCs w:val="28"/>
          <w:highlight w:val="none"/>
        </w:rPr>
      </w:pPr>
    </w:p>
    <w:p w14:paraId="24E9D9DF">
      <w:pPr>
        <w:pStyle w:val="17"/>
        <w:rPr>
          <w:rFonts w:ascii="宋体" w:hAnsi="宋体" w:cs="宋体"/>
          <w:bCs/>
          <w:sz w:val="28"/>
          <w:szCs w:val="28"/>
          <w:highlight w:val="none"/>
        </w:rPr>
      </w:pPr>
    </w:p>
    <w:p w14:paraId="2C37AD1E">
      <w:pPr>
        <w:rPr>
          <w:rFonts w:ascii="宋体" w:hAnsi="宋体" w:cs="宋体"/>
          <w:bCs/>
          <w:sz w:val="28"/>
          <w:szCs w:val="28"/>
          <w:highlight w:val="none"/>
        </w:rPr>
      </w:pPr>
    </w:p>
    <w:p w14:paraId="708B6109">
      <w:pPr>
        <w:pStyle w:val="17"/>
        <w:rPr>
          <w:rFonts w:ascii="宋体" w:hAnsi="宋体" w:cs="宋体"/>
          <w:bCs/>
          <w:sz w:val="28"/>
          <w:szCs w:val="28"/>
          <w:highlight w:val="none"/>
        </w:rPr>
      </w:pPr>
    </w:p>
    <w:p w14:paraId="0C5B3F8C">
      <w:pPr>
        <w:rPr>
          <w:rFonts w:ascii="宋体" w:hAnsi="宋体" w:cs="宋体"/>
          <w:bCs/>
          <w:sz w:val="28"/>
          <w:szCs w:val="28"/>
          <w:highlight w:val="none"/>
        </w:rPr>
      </w:pPr>
    </w:p>
    <w:p w14:paraId="1B75180C">
      <w:pPr>
        <w:pStyle w:val="17"/>
        <w:rPr>
          <w:rFonts w:ascii="宋体" w:hAnsi="宋体" w:cs="宋体"/>
          <w:bCs/>
          <w:sz w:val="28"/>
          <w:szCs w:val="28"/>
          <w:highlight w:val="none"/>
        </w:rPr>
      </w:pPr>
    </w:p>
    <w:p w14:paraId="32FC2F21">
      <w:pPr>
        <w:rPr>
          <w:rFonts w:ascii="宋体" w:hAnsi="宋体" w:cs="宋体"/>
          <w:bCs/>
          <w:sz w:val="28"/>
          <w:szCs w:val="28"/>
          <w:highlight w:val="none"/>
        </w:rPr>
      </w:pPr>
    </w:p>
    <w:p w14:paraId="46094CBE">
      <w:pPr>
        <w:pStyle w:val="17"/>
        <w:rPr>
          <w:rFonts w:ascii="宋体" w:hAnsi="宋体" w:cs="宋体"/>
          <w:bCs/>
          <w:sz w:val="28"/>
          <w:szCs w:val="28"/>
          <w:highlight w:val="none"/>
        </w:rPr>
      </w:pPr>
    </w:p>
    <w:p w14:paraId="66E716FD">
      <w:pPr>
        <w:ind w:firstLine="440" w:firstLineChars="100"/>
        <w:outlineLvl w:val="3"/>
        <w:rPr>
          <w:rFonts w:hint="eastAsia" w:eastAsia="方正小标宋简体"/>
          <w:bCs/>
          <w:sz w:val="44"/>
          <w:szCs w:val="44"/>
          <w:highlight w:val="none"/>
        </w:rPr>
      </w:pPr>
      <w:bookmarkStart w:id="908" w:name="_Toc16026"/>
      <w:bookmarkStart w:id="909" w:name="_Toc5844"/>
      <w:r>
        <w:rPr>
          <w:rFonts w:hint="eastAsia" w:eastAsia="方正小标宋简体"/>
          <w:bCs/>
          <w:sz w:val="44"/>
          <w:szCs w:val="44"/>
          <w:highlight w:val="none"/>
        </w:rPr>
        <w:t>附录5：</w:t>
      </w:r>
      <w:bookmarkEnd w:id="908"/>
      <w:bookmarkEnd w:id="909"/>
    </w:p>
    <w:p w14:paraId="4A1CC8D1">
      <w:pPr>
        <w:jc w:val="center"/>
        <w:outlineLvl w:val="9"/>
        <w:rPr>
          <w:rFonts w:eastAsia="方正小标宋简体"/>
          <w:bCs/>
          <w:sz w:val="44"/>
          <w:szCs w:val="44"/>
          <w:highlight w:val="none"/>
        </w:rPr>
      </w:pPr>
      <w:bookmarkStart w:id="910" w:name="_Toc14737"/>
      <w:bookmarkStart w:id="911" w:name="_Toc30573"/>
      <w:r>
        <w:rPr>
          <w:rFonts w:eastAsia="方正小标宋简体"/>
          <w:bCs/>
          <w:sz w:val="44"/>
          <w:szCs w:val="44"/>
          <w:highlight w:val="none"/>
        </w:rPr>
        <w:t>主要股东或出资人信息</w:t>
      </w:r>
      <w:bookmarkEnd w:id="910"/>
      <w:bookmarkEnd w:id="911"/>
    </w:p>
    <w:tbl>
      <w:tblPr>
        <w:tblStyle w:val="42"/>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810"/>
        <w:gridCol w:w="1287"/>
        <w:gridCol w:w="2340"/>
        <w:gridCol w:w="1404"/>
        <w:gridCol w:w="1493"/>
        <w:gridCol w:w="1315"/>
        <w:gridCol w:w="957"/>
      </w:tblGrid>
      <w:tr w14:paraId="32F52F6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016" w:hRule="atLeast"/>
        </w:trPr>
        <w:tc>
          <w:tcPr>
            <w:tcW w:w="810" w:type="dxa"/>
            <w:noWrap w:val="0"/>
            <w:vAlign w:val="center"/>
          </w:tcPr>
          <w:p w14:paraId="301B2BF0">
            <w:pPr>
              <w:jc w:val="center"/>
              <w:rPr>
                <w:highlight w:val="none"/>
              </w:rPr>
            </w:pPr>
            <w:r>
              <w:rPr>
                <w:highlight w:val="none"/>
              </w:rPr>
              <w:t>序号</w:t>
            </w:r>
          </w:p>
        </w:tc>
        <w:tc>
          <w:tcPr>
            <w:tcW w:w="1287" w:type="dxa"/>
            <w:noWrap w:val="0"/>
            <w:vAlign w:val="center"/>
          </w:tcPr>
          <w:p w14:paraId="42B8D117">
            <w:pPr>
              <w:jc w:val="center"/>
              <w:rPr>
                <w:highlight w:val="none"/>
              </w:rPr>
            </w:pPr>
            <w:r>
              <w:rPr>
                <w:highlight w:val="none"/>
              </w:rPr>
              <w:t>名称</w:t>
            </w:r>
          </w:p>
          <w:p w14:paraId="33C09B85">
            <w:pPr>
              <w:jc w:val="center"/>
              <w:rPr>
                <w:highlight w:val="none"/>
              </w:rPr>
            </w:pPr>
            <w:r>
              <w:rPr>
                <w:highlight w:val="none"/>
              </w:rPr>
              <w:t>（姓名）</w:t>
            </w:r>
          </w:p>
        </w:tc>
        <w:tc>
          <w:tcPr>
            <w:tcW w:w="2340" w:type="dxa"/>
            <w:noWrap w:val="0"/>
            <w:vAlign w:val="center"/>
          </w:tcPr>
          <w:p w14:paraId="0A2657F3">
            <w:pPr>
              <w:jc w:val="center"/>
              <w:rPr>
                <w:highlight w:val="none"/>
              </w:rPr>
            </w:pPr>
            <w:r>
              <w:rPr>
                <w:highlight w:val="none"/>
              </w:rPr>
              <w:t>统一社会信用代码</w:t>
            </w:r>
          </w:p>
          <w:p w14:paraId="367F6C31">
            <w:pPr>
              <w:jc w:val="center"/>
              <w:rPr>
                <w:highlight w:val="none"/>
              </w:rPr>
            </w:pPr>
            <w:r>
              <w:rPr>
                <w:highlight w:val="none"/>
              </w:rPr>
              <w:t>（身份证号）</w:t>
            </w:r>
          </w:p>
        </w:tc>
        <w:tc>
          <w:tcPr>
            <w:tcW w:w="1404" w:type="dxa"/>
            <w:noWrap w:val="0"/>
            <w:vAlign w:val="center"/>
          </w:tcPr>
          <w:p w14:paraId="0435BB92">
            <w:pPr>
              <w:jc w:val="center"/>
              <w:rPr>
                <w:highlight w:val="none"/>
              </w:rPr>
            </w:pPr>
            <w:r>
              <w:rPr>
                <w:highlight w:val="none"/>
              </w:rPr>
              <w:t>出资方式</w:t>
            </w:r>
          </w:p>
        </w:tc>
        <w:tc>
          <w:tcPr>
            <w:tcW w:w="1493" w:type="dxa"/>
            <w:noWrap w:val="0"/>
            <w:vAlign w:val="center"/>
          </w:tcPr>
          <w:p w14:paraId="128CC772">
            <w:pPr>
              <w:jc w:val="center"/>
              <w:rPr>
                <w:highlight w:val="none"/>
              </w:rPr>
            </w:pPr>
            <w:r>
              <w:rPr>
                <w:highlight w:val="none"/>
              </w:rPr>
              <w:t>出资金额</w:t>
            </w:r>
          </w:p>
          <w:p w14:paraId="3771CCB0">
            <w:pPr>
              <w:jc w:val="center"/>
              <w:rPr>
                <w:highlight w:val="none"/>
              </w:rPr>
            </w:pPr>
            <w:r>
              <w:rPr>
                <w:highlight w:val="none"/>
              </w:rPr>
              <w:t>（万元）</w:t>
            </w:r>
          </w:p>
        </w:tc>
        <w:tc>
          <w:tcPr>
            <w:tcW w:w="1315" w:type="dxa"/>
            <w:noWrap w:val="0"/>
            <w:vAlign w:val="center"/>
          </w:tcPr>
          <w:p w14:paraId="56EC5616">
            <w:pPr>
              <w:jc w:val="center"/>
              <w:rPr>
                <w:highlight w:val="none"/>
              </w:rPr>
            </w:pPr>
            <w:r>
              <w:rPr>
                <w:highlight w:val="none"/>
              </w:rPr>
              <w:t>占全部股份比例</w:t>
            </w:r>
          </w:p>
        </w:tc>
        <w:tc>
          <w:tcPr>
            <w:tcW w:w="957" w:type="dxa"/>
            <w:noWrap w:val="0"/>
            <w:vAlign w:val="center"/>
          </w:tcPr>
          <w:p w14:paraId="40F809D0">
            <w:pPr>
              <w:jc w:val="center"/>
              <w:rPr>
                <w:highlight w:val="none"/>
              </w:rPr>
            </w:pPr>
            <w:r>
              <w:rPr>
                <w:highlight w:val="none"/>
              </w:rPr>
              <w:t>备注</w:t>
            </w:r>
          </w:p>
        </w:tc>
      </w:tr>
      <w:tr w14:paraId="749C0F4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trPr>
        <w:tc>
          <w:tcPr>
            <w:tcW w:w="810" w:type="dxa"/>
            <w:noWrap w:val="0"/>
            <w:vAlign w:val="center"/>
          </w:tcPr>
          <w:p w14:paraId="677DABDC">
            <w:pPr>
              <w:jc w:val="center"/>
              <w:rPr>
                <w:highlight w:val="none"/>
              </w:rPr>
            </w:pPr>
          </w:p>
        </w:tc>
        <w:tc>
          <w:tcPr>
            <w:tcW w:w="1287" w:type="dxa"/>
            <w:noWrap w:val="0"/>
            <w:vAlign w:val="center"/>
          </w:tcPr>
          <w:p w14:paraId="3FD204C4">
            <w:pPr>
              <w:jc w:val="center"/>
              <w:rPr>
                <w:highlight w:val="none"/>
              </w:rPr>
            </w:pPr>
          </w:p>
        </w:tc>
        <w:tc>
          <w:tcPr>
            <w:tcW w:w="2340" w:type="dxa"/>
            <w:noWrap w:val="0"/>
            <w:vAlign w:val="center"/>
          </w:tcPr>
          <w:p w14:paraId="48EF9947">
            <w:pPr>
              <w:jc w:val="center"/>
              <w:rPr>
                <w:highlight w:val="none"/>
              </w:rPr>
            </w:pPr>
          </w:p>
        </w:tc>
        <w:tc>
          <w:tcPr>
            <w:tcW w:w="1404" w:type="dxa"/>
            <w:noWrap w:val="0"/>
            <w:vAlign w:val="center"/>
          </w:tcPr>
          <w:p w14:paraId="297D96C0">
            <w:pPr>
              <w:jc w:val="center"/>
              <w:rPr>
                <w:highlight w:val="none"/>
              </w:rPr>
            </w:pPr>
          </w:p>
        </w:tc>
        <w:tc>
          <w:tcPr>
            <w:tcW w:w="1493" w:type="dxa"/>
            <w:noWrap w:val="0"/>
            <w:vAlign w:val="center"/>
          </w:tcPr>
          <w:p w14:paraId="674432DA">
            <w:pPr>
              <w:jc w:val="center"/>
              <w:rPr>
                <w:highlight w:val="none"/>
              </w:rPr>
            </w:pPr>
          </w:p>
        </w:tc>
        <w:tc>
          <w:tcPr>
            <w:tcW w:w="1315" w:type="dxa"/>
            <w:noWrap w:val="0"/>
            <w:vAlign w:val="center"/>
          </w:tcPr>
          <w:p w14:paraId="73102C41">
            <w:pPr>
              <w:jc w:val="center"/>
              <w:rPr>
                <w:highlight w:val="none"/>
              </w:rPr>
            </w:pPr>
          </w:p>
        </w:tc>
        <w:tc>
          <w:tcPr>
            <w:tcW w:w="957" w:type="dxa"/>
            <w:noWrap w:val="0"/>
            <w:vAlign w:val="center"/>
          </w:tcPr>
          <w:p w14:paraId="26AE37DE">
            <w:pPr>
              <w:jc w:val="center"/>
              <w:rPr>
                <w:highlight w:val="none"/>
              </w:rPr>
            </w:pPr>
          </w:p>
        </w:tc>
      </w:tr>
      <w:tr w14:paraId="73E958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trPr>
        <w:tc>
          <w:tcPr>
            <w:tcW w:w="810" w:type="dxa"/>
            <w:noWrap w:val="0"/>
            <w:vAlign w:val="center"/>
          </w:tcPr>
          <w:p w14:paraId="0E9A968E">
            <w:pPr>
              <w:jc w:val="center"/>
              <w:rPr>
                <w:highlight w:val="none"/>
              </w:rPr>
            </w:pPr>
          </w:p>
        </w:tc>
        <w:tc>
          <w:tcPr>
            <w:tcW w:w="1287" w:type="dxa"/>
            <w:noWrap w:val="0"/>
            <w:vAlign w:val="center"/>
          </w:tcPr>
          <w:p w14:paraId="46830E4B">
            <w:pPr>
              <w:jc w:val="center"/>
              <w:rPr>
                <w:highlight w:val="none"/>
              </w:rPr>
            </w:pPr>
          </w:p>
        </w:tc>
        <w:tc>
          <w:tcPr>
            <w:tcW w:w="2340" w:type="dxa"/>
            <w:noWrap w:val="0"/>
            <w:vAlign w:val="center"/>
          </w:tcPr>
          <w:p w14:paraId="4B36D84B">
            <w:pPr>
              <w:jc w:val="center"/>
              <w:rPr>
                <w:highlight w:val="none"/>
              </w:rPr>
            </w:pPr>
          </w:p>
        </w:tc>
        <w:tc>
          <w:tcPr>
            <w:tcW w:w="1404" w:type="dxa"/>
            <w:noWrap w:val="0"/>
            <w:vAlign w:val="center"/>
          </w:tcPr>
          <w:p w14:paraId="588872FE">
            <w:pPr>
              <w:jc w:val="center"/>
              <w:rPr>
                <w:highlight w:val="none"/>
              </w:rPr>
            </w:pPr>
          </w:p>
        </w:tc>
        <w:tc>
          <w:tcPr>
            <w:tcW w:w="1493" w:type="dxa"/>
            <w:noWrap w:val="0"/>
            <w:vAlign w:val="center"/>
          </w:tcPr>
          <w:p w14:paraId="2D4CF2B2">
            <w:pPr>
              <w:jc w:val="center"/>
              <w:rPr>
                <w:highlight w:val="none"/>
              </w:rPr>
            </w:pPr>
          </w:p>
        </w:tc>
        <w:tc>
          <w:tcPr>
            <w:tcW w:w="1315" w:type="dxa"/>
            <w:noWrap w:val="0"/>
            <w:vAlign w:val="center"/>
          </w:tcPr>
          <w:p w14:paraId="133B4867">
            <w:pPr>
              <w:jc w:val="center"/>
              <w:rPr>
                <w:highlight w:val="none"/>
              </w:rPr>
            </w:pPr>
          </w:p>
        </w:tc>
        <w:tc>
          <w:tcPr>
            <w:tcW w:w="957" w:type="dxa"/>
            <w:noWrap w:val="0"/>
            <w:vAlign w:val="center"/>
          </w:tcPr>
          <w:p w14:paraId="076A1DBB">
            <w:pPr>
              <w:jc w:val="center"/>
              <w:rPr>
                <w:highlight w:val="none"/>
              </w:rPr>
            </w:pPr>
          </w:p>
        </w:tc>
      </w:tr>
      <w:tr w14:paraId="1B8F8A8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trPr>
        <w:tc>
          <w:tcPr>
            <w:tcW w:w="810" w:type="dxa"/>
            <w:noWrap w:val="0"/>
            <w:vAlign w:val="center"/>
          </w:tcPr>
          <w:p w14:paraId="31BCB10D">
            <w:pPr>
              <w:jc w:val="center"/>
              <w:rPr>
                <w:highlight w:val="none"/>
              </w:rPr>
            </w:pPr>
          </w:p>
        </w:tc>
        <w:tc>
          <w:tcPr>
            <w:tcW w:w="1287" w:type="dxa"/>
            <w:noWrap w:val="0"/>
            <w:vAlign w:val="center"/>
          </w:tcPr>
          <w:p w14:paraId="0EDD4DDF">
            <w:pPr>
              <w:jc w:val="center"/>
              <w:rPr>
                <w:highlight w:val="none"/>
              </w:rPr>
            </w:pPr>
          </w:p>
        </w:tc>
        <w:tc>
          <w:tcPr>
            <w:tcW w:w="2340" w:type="dxa"/>
            <w:noWrap w:val="0"/>
            <w:vAlign w:val="center"/>
          </w:tcPr>
          <w:p w14:paraId="435ED7A3">
            <w:pPr>
              <w:jc w:val="center"/>
              <w:rPr>
                <w:highlight w:val="none"/>
              </w:rPr>
            </w:pPr>
          </w:p>
        </w:tc>
        <w:tc>
          <w:tcPr>
            <w:tcW w:w="1404" w:type="dxa"/>
            <w:noWrap w:val="0"/>
            <w:vAlign w:val="center"/>
          </w:tcPr>
          <w:p w14:paraId="0D620A6A">
            <w:pPr>
              <w:jc w:val="center"/>
              <w:rPr>
                <w:highlight w:val="none"/>
              </w:rPr>
            </w:pPr>
          </w:p>
        </w:tc>
        <w:tc>
          <w:tcPr>
            <w:tcW w:w="1493" w:type="dxa"/>
            <w:noWrap w:val="0"/>
            <w:vAlign w:val="center"/>
          </w:tcPr>
          <w:p w14:paraId="6261F11F">
            <w:pPr>
              <w:jc w:val="center"/>
              <w:rPr>
                <w:highlight w:val="none"/>
              </w:rPr>
            </w:pPr>
          </w:p>
        </w:tc>
        <w:tc>
          <w:tcPr>
            <w:tcW w:w="1315" w:type="dxa"/>
            <w:noWrap w:val="0"/>
            <w:vAlign w:val="center"/>
          </w:tcPr>
          <w:p w14:paraId="7732CED8">
            <w:pPr>
              <w:jc w:val="center"/>
              <w:rPr>
                <w:highlight w:val="none"/>
              </w:rPr>
            </w:pPr>
          </w:p>
        </w:tc>
        <w:tc>
          <w:tcPr>
            <w:tcW w:w="957" w:type="dxa"/>
            <w:noWrap w:val="0"/>
            <w:vAlign w:val="center"/>
          </w:tcPr>
          <w:p w14:paraId="33DBF85D">
            <w:pPr>
              <w:jc w:val="center"/>
              <w:rPr>
                <w:highlight w:val="none"/>
              </w:rPr>
            </w:pPr>
          </w:p>
        </w:tc>
      </w:tr>
      <w:tr w14:paraId="07EEADF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trPr>
        <w:tc>
          <w:tcPr>
            <w:tcW w:w="810" w:type="dxa"/>
            <w:noWrap w:val="0"/>
            <w:vAlign w:val="center"/>
          </w:tcPr>
          <w:p w14:paraId="11AAB41C">
            <w:pPr>
              <w:jc w:val="center"/>
              <w:rPr>
                <w:highlight w:val="none"/>
              </w:rPr>
            </w:pPr>
          </w:p>
        </w:tc>
        <w:tc>
          <w:tcPr>
            <w:tcW w:w="1287" w:type="dxa"/>
            <w:noWrap w:val="0"/>
            <w:vAlign w:val="center"/>
          </w:tcPr>
          <w:p w14:paraId="3C76FA83">
            <w:pPr>
              <w:jc w:val="center"/>
              <w:rPr>
                <w:highlight w:val="none"/>
              </w:rPr>
            </w:pPr>
          </w:p>
        </w:tc>
        <w:tc>
          <w:tcPr>
            <w:tcW w:w="2340" w:type="dxa"/>
            <w:noWrap w:val="0"/>
            <w:vAlign w:val="center"/>
          </w:tcPr>
          <w:p w14:paraId="07A50051">
            <w:pPr>
              <w:jc w:val="center"/>
              <w:rPr>
                <w:highlight w:val="none"/>
              </w:rPr>
            </w:pPr>
          </w:p>
        </w:tc>
        <w:tc>
          <w:tcPr>
            <w:tcW w:w="1404" w:type="dxa"/>
            <w:noWrap w:val="0"/>
            <w:vAlign w:val="center"/>
          </w:tcPr>
          <w:p w14:paraId="028127AC">
            <w:pPr>
              <w:jc w:val="center"/>
              <w:rPr>
                <w:highlight w:val="none"/>
              </w:rPr>
            </w:pPr>
          </w:p>
        </w:tc>
        <w:tc>
          <w:tcPr>
            <w:tcW w:w="1493" w:type="dxa"/>
            <w:noWrap w:val="0"/>
            <w:vAlign w:val="center"/>
          </w:tcPr>
          <w:p w14:paraId="21679C09">
            <w:pPr>
              <w:jc w:val="center"/>
              <w:rPr>
                <w:highlight w:val="none"/>
              </w:rPr>
            </w:pPr>
          </w:p>
        </w:tc>
        <w:tc>
          <w:tcPr>
            <w:tcW w:w="1315" w:type="dxa"/>
            <w:noWrap w:val="0"/>
            <w:vAlign w:val="center"/>
          </w:tcPr>
          <w:p w14:paraId="76F24833">
            <w:pPr>
              <w:jc w:val="center"/>
              <w:rPr>
                <w:highlight w:val="none"/>
              </w:rPr>
            </w:pPr>
          </w:p>
        </w:tc>
        <w:tc>
          <w:tcPr>
            <w:tcW w:w="957" w:type="dxa"/>
            <w:noWrap w:val="0"/>
            <w:vAlign w:val="center"/>
          </w:tcPr>
          <w:p w14:paraId="3FEFF0C5">
            <w:pPr>
              <w:jc w:val="center"/>
              <w:rPr>
                <w:highlight w:val="none"/>
              </w:rPr>
            </w:pPr>
          </w:p>
        </w:tc>
      </w:tr>
      <w:tr w14:paraId="722CE69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trPr>
        <w:tc>
          <w:tcPr>
            <w:tcW w:w="810" w:type="dxa"/>
            <w:noWrap w:val="0"/>
            <w:vAlign w:val="center"/>
          </w:tcPr>
          <w:p w14:paraId="37469F4A">
            <w:pPr>
              <w:jc w:val="center"/>
              <w:rPr>
                <w:highlight w:val="none"/>
              </w:rPr>
            </w:pPr>
          </w:p>
        </w:tc>
        <w:tc>
          <w:tcPr>
            <w:tcW w:w="1287" w:type="dxa"/>
            <w:noWrap w:val="0"/>
            <w:vAlign w:val="center"/>
          </w:tcPr>
          <w:p w14:paraId="389AE15C">
            <w:pPr>
              <w:jc w:val="center"/>
              <w:rPr>
                <w:highlight w:val="none"/>
              </w:rPr>
            </w:pPr>
          </w:p>
        </w:tc>
        <w:tc>
          <w:tcPr>
            <w:tcW w:w="2340" w:type="dxa"/>
            <w:noWrap w:val="0"/>
            <w:vAlign w:val="center"/>
          </w:tcPr>
          <w:p w14:paraId="46BEC6F9">
            <w:pPr>
              <w:jc w:val="center"/>
              <w:rPr>
                <w:highlight w:val="none"/>
              </w:rPr>
            </w:pPr>
          </w:p>
        </w:tc>
        <w:tc>
          <w:tcPr>
            <w:tcW w:w="1404" w:type="dxa"/>
            <w:noWrap w:val="0"/>
            <w:vAlign w:val="center"/>
          </w:tcPr>
          <w:p w14:paraId="2EDEB0E7">
            <w:pPr>
              <w:jc w:val="center"/>
              <w:rPr>
                <w:highlight w:val="none"/>
              </w:rPr>
            </w:pPr>
          </w:p>
        </w:tc>
        <w:tc>
          <w:tcPr>
            <w:tcW w:w="1493" w:type="dxa"/>
            <w:noWrap w:val="0"/>
            <w:vAlign w:val="center"/>
          </w:tcPr>
          <w:p w14:paraId="1346D842">
            <w:pPr>
              <w:jc w:val="center"/>
              <w:rPr>
                <w:highlight w:val="none"/>
              </w:rPr>
            </w:pPr>
          </w:p>
        </w:tc>
        <w:tc>
          <w:tcPr>
            <w:tcW w:w="1315" w:type="dxa"/>
            <w:noWrap w:val="0"/>
            <w:vAlign w:val="center"/>
          </w:tcPr>
          <w:p w14:paraId="6167A8D2">
            <w:pPr>
              <w:jc w:val="center"/>
              <w:rPr>
                <w:highlight w:val="none"/>
              </w:rPr>
            </w:pPr>
          </w:p>
        </w:tc>
        <w:tc>
          <w:tcPr>
            <w:tcW w:w="957" w:type="dxa"/>
            <w:noWrap w:val="0"/>
            <w:vAlign w:val="center"/>
          </w:tcPr>
          <w:p w14:paraId="41448D99">
            <w:pPr>
              <w:jc w:val="center"/>
              <w:rPr>
                <w:highlight w:val="none"/>
              </w:rPr>
            </w:pPr>
          </w:p>
        </w:tc>
      </w:tr>
    </w:tbl>
    <w:p w14:paraId="3B004D3C">
      <w:pPr>
        <w:spacing w:line="480" w:lineRule="exact"/>
        <w:ind w:firstLine="560" w:firstLineChars="200"/>
        <w:rPr>
          <w:sz w:val="28"/>
          <w:szCs w:val="28"/>
          <w:highlight w:val="none"/>
        </w:rPr>
      </w:pPr>
      <w:r>
        <w:rPr>
          <w:rFonts w:hint="eastAsia"/>
          <w:sz w:val="28"/>
          <w:szCs w:val="28"/>
          <w:highlight w:val="none"/>
        </w:rPr>
        <w:t>我方承诺，以上信息真实可靠，如填报的股东出资额、出资比例等与实际不符，视为放弃中标资格。</w:t>
      </w:r>
    </w:p>
    <w:p w14:paraId="57A4384D">
      <w:pPr>
        <w:spacing w:line="480" w:lineRule="exact"/>
        <w:ind w:firstLine="560" w:firstLineChars="200"/>
        <w:rPr>
          <w:rFonts w:hint="eastAsia"/>
          <w:sz w:val="28"/>
          <w:szCs w:val="28"/>
          <w:highlight w:val="none"/>
        </w:rPr>
      </w:pPr>
    </w:p>
    <w:p w14:paraId="689AEC5F">
      <w:pPr>
        <w:snapToGrid w:val="0"/>
        <w:spacing w:line="440" w:lineRule="exact"/>
        <w:ind w:left="840" w:hanging="840" w:hangingChars="300"/>
        <w:rPr>
          <w:rFonts w:hint="eastAsia" w:ascii="宋体" w:hAnsi="宋体"/>
          <w:sz w:val="28"/>
          <w:szCs w:val="28"/>
          <w:highlight w:val="none"/>
        </w:rPr>
      </w:pPr>
      <w:r>
        <w:rPr>
          <w:rFonts w:hint="eastAsia" w:ascii="宋体" w:hAnsi="宋体"/>
          <w:sz w:val="28"/>
          <w:szCs w:val="28"/>
          <w:highlight w:val="none"/>
        </w:rPr>
        <w:t>备</w:t>
      </w:r>
      <w:r>
        <w:rPr>
          <w:rFonts w:ascii="宋体" w:hAnsi="宋体"/>
          <w:sz w:val="28"/>
          <w:szCs w:val="28"/>
          <w:highlight w:val="none"/>
        </w:rPr>
        <w:t>注：</w:t>
      </w:r>
    </w:p>
    <w:p w14:paraId="486E1C9B">
      <w:pPr>
        <w:spacing w:line="480" w:lineRule="exact"/>
        <w:ind w:firstLine="560" w:firstLineChars="200"/>
        <w:rPr>
          <w:sz w:val="28"/>
          <w:szCs w:val="28"/>
          <w:highlight w:val="none"/>
        </w:rPr>
      </w:pPr>
      <w:r>
        <w:rPr>
          <w:sz w:val="28"/>
          <w:szCs w:val="28"/>
          <w:highlight w:val="none"/>
        </w:rPr>
        <w:t>1.主要股东或出资人为法人的，填写法人全称及统一社会信用代码（尚未办理三证合一的填写组织机构代码）；为自然人的，填写自然人姓名和身份证号。</w:t>
      </w:r>
    </w:p>
    <w:p w14:paraId="6394E390">
      <w:pPr>
        <w:spacing w:line="480" w:lineRule="exact"/>
        <w:ind w:firstLine="560" w:firstLineChars="200"/>
        <w:rPr>
          <w:rFonts w:hint="eastAsia"/>
          <w:sz w:val="28"/>
          <w:szCs w:val="28"/>
          <w:highlight w:val="none"/>
        </w:rPr>
      </w:pPr>
      <w:r>
        <w:rPr>
          <w:rFonts w:hint="eastAsia"/>
          <w:sz w:val="28"/>
          <w:szCs w:val="28"/>
          <w:highlight w:val="none"/>
        </w:rPr>
        <w:t>2.</w:t>
      </w:r>
      <w:r>
        <w:rPr>
          <w:sz w:val="28"/>
          <w:szCs w:val="28"/>
          <w:highlight w:val="none"/>
        </w:rPr>
        <w:t>出资方式填写货币、实物、工艺产权和非专利技术、土地使用权等</w:t>
      </w:r>
      <w:r>
        <w:rPr>
          <w:rFonts w:hint="eastAsia"/>
          <w:sz w:val="28"/>
          <w:szCs w:val="28"/>
          <w:highlight w:val="none"/>
        </w:rPr>
        <w:t>。</w:t>
      </w:r>
    </w:p>
    <w:p w14:paraId="5DDEBAD0">
      <w:pPr>
        <w:spacing w:line="480" w:lineRule="exact"/>
        <w:ind w:firstLine="560" w:firstLineChars="200"/>
        <w:rPr>
          <w:sz w:val="28"/>
          <w:szCs w:val="28"/>
          <w:highlight w:val="none"/>
        </w:rPr>
      </w:pPr>
      <w:r>
        <w:rPr>
          <w:rFonts w:hint="eastAsia"/>
          <w:sz w:val="28"/>
          <w:szCs w:val="28"/>
          <w:highlight w:val="none"/>
        </w:rPr>
        <w:t>3.</w:t>
      </w:r>
      <w:r>
        <w:rPr>
          <w:sz w:val="28"/>
          <w:szCs w:val="28"/>
          <w:highlight w:val="none"/>
        </w:rPr>
        <w:t>投标供应商应按照占全部股份比例从大到小依次逐个股东填写，</w:t>
      </w:r>
      <w:r>
        <w:rPr>
          <w:rFonts w:hint="eastAsia"/>
          <w:sz w:val="28"/>
          <w:szCs w:val="28"/>
          <w:highlight w:val="none"/>
        </w:rPr>
        <w:t>股东 数量多于10个的，填写前10名，不足10个的全部填写。</w:t>
      </w:r>
    </w:p>
    <w:p w14:paraId="7D5D1AF2">
      <w:pPr>
        <w:spacing w:line="480" w:lineRule="exact"/>
        <w:ind w:left="525" w:leftChars="200" w:hanging="105" w:hangingChars="50"/>
        <w:rPr>
          <w:highlight w:val="none"/>
        </w:rPr>
      </w:pPr>
    </w:p>
    <w:p w14:paraId="31853B3D">
      <w:pPr>
        <w:spacing w:line="480" w:lineRule="exact"/>
        <w:ind w:left="525" w:leftChars="200" w:hanging="105" w:hangingChars="50"/>
        <w:rPr>
          <w:highlight w:val="none"/>
        </w:rPr>
      </w:pPr>
    </w:p>
    <w:p w14:paraId="617311E3">
      <w:pPr>
        <w:spacing w:line="480" w:lineRule="exact"/>
        <w:ind w:left="525" w:leftChars="200" w:hanging="105" w:hangingChars="50"/>
        <w:rPr>
          <w:highlight w:val="none"/>
        </w:rPr>
      </w:pPr>
    </w:p>
    <w:p w14:paraId="1784E8B1">
      <w:pPr>
        <w:spacing w:line="480" w:lineRule="exact"/>
        <w:ind w:left="525" w:leftChars="200" w:hanging="105" w:hangingChars="50"/>
        <w:rPr>
          <w:rFonts w:hint="eastAsia"/>
          <w:highlight w:val="none"/>
        </w:rPr>
      </w:pPr>
    </w:p>
    <w:p w14:paraId="547D9D61">
      <w:pPr>
        <w:jc w:val="center"/>
        <w:rPr>
          <w:sz w:val="28"/>
          <w:szCs w:val="28"/>
          <w:highlight w:val="none"/>
          <w:lang w:val="zh-CN"/>
        </w:rPr>
      </w:pPr>
      <w:r>
        <w:rPr>
          <w:rFonts w:hint="eastAsia"/>
          <w:sz w:val="28"/>
          <w:szCs w:val="28"/>
          <w:highlight w:val="none"/>
          <w:lang w:val="zh-CN"/>
        </w:rPr>
        <w:t xml:space="preserve">    </w:t>
      </w:r>
      <w:r>
        <w:rPr>
          <w:sz w:val="28"/>
          <w:szCs w:val="28"/>
          <w:highlight w:val="none"/>
          <w:lang w:val="zh-CN"/>
        </w:rPr>
        <w:t>投标供应商全称：（盖章）</w:t>
      </w:r>
    </w:p>
    <w:p w14:paraId="4463E8C2">
      <w:pPr>
        <w:jc w:val="center"/>
        <w:rPr>
          <w:sz w:val="28"/>
          <w:szCs w:val="28"/>
          <w:highlight w:val="none"/>
          <w:lang w:val="zh-CN"/>
        </w:rPr>
      </w:pPr>
    </w:p>
    <w:p w14:paraId="65CA7036">
      <w:pPr>
        <w:jc w:val="center"/>
        <w:rPr>
          <w:sz w:val="28"/>
          <w:szCs w:val="28"/>
          <w:highlight w:val="none"/>
          <w:lang w:val="zh-CN"/>
        </w:rPr>
      </w:pPr>
      <w:r>
        <w:rPr>
          <w:sz w:val="28"/>
          <w:szCs w:val="28"/>
          <w:highlight w:val="none"/>
          <w:lang w:val="zh-CN"/>
        </w:rPr>
        <w:t xml:space="preserve">              法定代表人（或授权代表）：（签字）</w:t>
      </w:r>
    </w:p>
    <w:p w14:paraId="113D9B49">
      <w:pPr>
        <w:rPr>
          <w:sz w:val="28"/>
          <w:szCs w:val="28"/>
          <w:highlight w:val="none"/>
          <w:lang w:val="zh-CN"/>
        </w:rPr>
      </w:pPr>
    </w:p>
    <w:p w14:paraId="78951368">
      <w:pPr>
        <w:ind w:firstLine="5740" w:firstLineChars="2050"/>
        <w:rPr>
          <w:rFonts w:eastAsia="黑体"/>
          <w:sz w:val="28"/>
          <w:szCs w:val="28"/>
          <w:highlight w:val="none"/>
        </w:rPr>
      </w:pPr>
      <w:r>
        <w:rPr>
          <w:rFonts w:hint="eastAsia"/>
          <w:sz w:val="28"/>
          <w:szCs w:val="28"/>
          <w:highlight w:val="none"/>
          <w:u w:val="single"/>
        </w:rPr>
        <w:t xml:space="preserve">   </w:t>
      </w:r>
      <w:r>
        <w:rPr>
          <w:sz w:val="28"/>
          <w:szCs w:val="28"/>
          <w:highlight w:val="none"/>
        </w:rPr>
        <w:t>年</w:t>
      </w:r>
      <w:r>
        <w:rPr>
          <w:rFonts w:hint="eastAsia"/>
          <w:sz w:val="28"/>
          <w:szCs w:val="28"/>
          <w:highlight w:val="none"/>
          <w:u w:val="single"/>
        </w:rPr>
        <w:t xml:space="preserve"> </w:t>
      </w:r>
      <w:r>
        <w:rPr>
          <w:sz w:val="28"/>
          <w:szCs w:val="28"/>
          <w:highlight w:val="none"/>
          <w:u w:val="single"/>
        </w:rPr>
        <w:t xml:space="preserve">  </w:t>
      </w:r>
      <w:r>
        <w:rPr>
          <w:sz w:val="28"/>
          <w:szCs w:val="28"/>
          <w:highlight w:val="none"/>
        </w:rPr>
        <w:t>月</w:t>
      </w:r>
      <w:r>
        <w:rPr>
          <w:rFonts w:hint="eastAsia"/>
          <w:sz w:val="28"/>
          <w:szCs w:val="28"/>
          <w:highlight w:val="none"/>
          <w:u w:val="single"/>
        </w:rPr>
        <w:t xml:space="preserve"> </w:t>
      </w:r>
      <w:r>
        <w:rPr>
          <w:sz w:val="28"/>
          <w:szCs w:val="28"/>
          <w:highlight w:val="none"/>
          <w:u w:val="single"/>
        </w:rPr>
        <w:t xml:space="preserve"> </w:t>
      </w:r>
      <w:r>
        <w:rPr>
          <w:rFonts w:hint="eastAsia"/>
          <w:sz w:val="28"/>
          <w:szCs w:val="28"/>
          <w:highlight w:val="none"/>
          <w:u w:val="single"/>
        </w:rPr>
        <w:t xml:space="preserve"> </w:t>
      </w:r>
      <w:r>
        <w:rPr>
          <w:sz w:val="28"/>
          <w:szCs w:val="28"/>
          <w:highlight w:val="none"/>
        </w:rPr>
        <w:t>日</w:t>
      </w:r>
    </w:p>
    <w:p w14:paraId="744EF9CA">
      <w:pPr>
        <w:spacing w:line="560" w:lineRule="exact"/>
        <w:outlineLvl w:val="3"/>
        <w:rPr>
          <w:rFonts w:hint="eastAsia" w:ascii="方正小标宋简体" w:hAnsi="宋体" w:eastAsia="方正小标宋简体"/>
          <w:sz w:val="44"/>
          <w:szCs w:val="44"/>
          <w:highlight w:val="none"/>
        </w:rPr>
      </w:pPr>
      <w:bookmarkStart w:id="912" w:name="_Toc7208"/>
      <w:bookmarkStart w:id="913" w:name="_Toc13426"/>
      <w:r>
        <w:rPr>
          <w:rFonts w:hint="eastAsia" w:ascii="方正小标宋简体" w:hAnsi="宋体" w:eastAsia="方正小标宋简体"/>
          <w:sz w:val="44"/>
          <w:szCs w:val="44"/>
          <w:highlight w:val="none"/>
        </w:rPr>
        <w:t>附录6：</w:t>
      </w:r>
      <w:bookmarkEnd w:id="912"/>
      <w:bookmarkEnd w:id="913"/>
    </w:p>
    <w:p w14:paraId="7242BD46">
      <w:pPr>
        <w:spacing w:line="560" w:lineRule="exact"/>
        <w:jc w:val="center"/>
        <w:outlineLvl w:val="9"/>
        <w:rPr>
          <w:rFonts w:ascii="方正小标宋简体" w:hAnsi="宋体" w:eastAsia="方正小标宋简体"/>
          <w:sz w:val="44"/>
          <w:szCs w:val="44"/>
          <w:highlight w:val="none"/>
        </w:rPr>
      </w:pPr>
      <w:bookmarkStart w:id="914" w:name="_Toc19812"/>
      <w:bookmarkStart w:id="915" w:name="_Toc31834"/>
      <w:r>
        <w:rPr>
          <w:rFonts w:hint="eastAsia" w:ascii="方正小标宋简体" w:hAnsi="宋体" w:eastAsia="方正小标宋简体"/>
          <w:sz w:val="44"/>
          <w:szCs w:val="44"/>
          <w:highlight w:val="none"/>
        </w:rPr>
        <w:t>未被列入违法失信名单承诺书</w:t>
      </w:r>
      <w:bookmarkEnd w:id="914"/>
      <w:bookmarkEnd w:id="915"/>
    </w:p>
    <w:p w14:paraId="52F85B11">
      <w:pPr>
        <w:spacing w:line="240" w:lineRule="exact"/>
        <w:rPr>
          <w:rFonts w:ascii="宋体" w:hAnsi="宋体"/>
          <w:sz w:val="32"/>
          <w:szCs w:val="32"/>
          <w:highlight w:val="none"/>
        </w:rPr>
      </w:pPr>
    </w:p>
    <w:p w14:paraId="4B0E1244">
      <w:pPr>
        <w:spacing w:line="520" w:lineRule="exact"/>
        <w:rPr>
          <w:rFonts w:eastAsia="楷体"/>
          <w:snapToGrid w:val="0"/>
          <w:sz w:val="28"/>
          <w:szCs w:val="28"/>
          <w:highlight w:val="none"/>
        </w:rPr>
      </w:pPr>
      <w:r>
        <w:rPr>
          <w:rFonts w:ascii="楷体_GB2312" w:hAnsi="宋体" w:eastAsia="楷体_GB2312"/>
          <w:sz w:val="28"/>
          <w:szCs w:val="28"/>
          <w:highlight w:val="none"/>
          <w:u w:val="single"/>
        </w:rPr>
        <w:t>（采购机构名称）</w:t>
      </w:r>
      <w:r>
        <w:rPr>
          <w:rFonts w:eastAsia="MS Gothic"/>
          <w:snapToGrid w:val="0"/>
          <w:sz w:val="28"/>
          <w:szCs w:val="28"/>
          <w:highlight w:val="none"/>
        </w:rPr>
        <w:t>：</w:t>
      </w:r>
    </w:p>
    <w:p w14:paraId="699EAC19">
      <w:pPr>
        <w:autoSpaceDE w:val="0"/>
        <w:autoSpaceDN w:val="0"/>
        <w:adjustRightInd w:val="0"/>
        <w:spacing w:line="360" w:lineRule="auto"/>
        <w:ind w:firstLine="560" w:firstLineChars="200"/>
        <w:rPr>
          <w:sz w:val="28"/>
          <w:szCs w:val="28"/>
          <w:highlight w:val="none"/>
          <w:lang w:val="zh-CN"/>
        </w:rPr>
      </w:pPr>
      <w:r>
        <w:rPr>
          <w:sz w:val="28"/>
          <w:szCs w:val="28"/>
          <w:highlight w:val="none"/>
          <w:lang w:val="zh-CN"/>
        </w:rPr>
        <w:t>我方</w:t>
      </w:r>
      <w:r>
        <w:rPr>
          <w:rFonts w:hint="eastAsia"/>
          <w:sz w:val="28"/>
          <w:szCs w:val="28"/>
          <w:highlight w:val="none"/>
          <w:lang w:val="zh-CN"/>
        </w:rPr>
        <w:t>参加贵单位组织的编号为</w:t>
      </w:r>
      <w:r>
        <w:rPr>
          <w:sz w:val="28"/>
          <w:szCs w:val="28"/>
          <w:highlight w:val="none"/>
          <w:lang w:val="zh-CN"/>
        </w:rPr>
        <w:t xml:space="preserve"> </w:t>
      </w:r>
      <w:r>
        <w:rPr>
          <w:sz w:val="28"/>
          <w:szCs w:val="28"/>
          <w:highlight w:val="none"/>
          <w:u w:val="single"/>
          <w:lang w:val="zh-CN"/>
        </w:rPr>
        <w:t xml:space="preserve">           </w:t>
      </w:r>
      <w:r>
        <w:rPr>
          <w:rFonts w:hint="eastAsia"/>
          <w:sz w:val="28"/>
          <w:szCs w:val="28"/>
          <w:highlight w:val="none"/>
          <w:u w:val="single"/>
          <w:lang w:val="zh-CN"/>
        </w:rPr>
        <w:t>、</w:t>
      </w:r>
      <w:r>
        <w:rPr>
          <w:sz w:val="28"/>
          <w:szCs w:val="28"/>
          <w:highlight w:val="none"/>
          <w:u w:val="single"/>
          <w:lang w:val="zh-CN"/>
        </w:rPr>
        <w:t xml:space="preserve">            </w:t>
      </w:r>
      <w:r>
        <w:rPr>
          <w:rFonts w:hint="eastAsia"/>
          <w:sz w:val="28"/>
          <w:szCs w:val="28"/>
          <w:highlight w:val="none"/>
          <w:lang w:val="zh-CN"/>
        </w:rPr>
        <w:t>项目采购活动，</w:t>
      </w:r>
      <w:r>
        <w:rPr>
          <w:rFonts w:hint="eastAsia"/>
          <w:sz w:val="28"/>
          <w:szCs w:val="28"/>
          <w:highlight w:val="none"/>
        </w:rPr>
        <w:t>在此郑重承诺如下</w:t>
      </w:r>
      <w:r>
        <w:rPr>
          <w:rFonts w:hint="eastAsia"/>
          <w:sz w:val="28"/>
          <w:szCs w:val="28"/>
          <w:highlight w:val="none"/>
          <w:lang w:val="zh-CN"/>
        </w:rPr>
        <w:t>：</w:t>
      </w:r>
    </w:p>
    <w:p w14:paraId="3A54041C">
      <w:pPr>
        <w:autoSpaceDE w:val="0"/>
        <w:autoSpaceDN w:val="0"/>
        <w:adjustRightInd w:val="0"/>
        <w:spacing w:line="360" w:lineRule="auto"/>
        <w:ind w:firstLine="560" w:firstLineChars="200"/>
        <w:rPr>
          <w:sz w:val="28"/>
          <w:szCs w:val="28"/>
          <w:highlight w:val="none"/>
          <w:lang w:val="zh-CN"/>
        </w:rPr>
      </w:pPr>
      <w:r>
        <w:rPr>
          <w:rFonts w:hint="eastAsia" w:ascii="宋体" w:hAnsi="宋体"/>
          <w:sz w:val="28"/>
          <w:szCs w:val="28"/>
          <w:highlight w:val="none"/>
        </w:rPr>
        <w:t>未被中国政府采购网（</w:t>
      </w:r>
      <w:r>
        <w:rPr>
          <w:rFonts w:ascii="宋体" w:hAnsi="宋体"/>
          <w:sz w:val="28"/>
          <w:szCs w:val="28"/>
          <w:highlight w:val="none"/>
        </w:rPr>
        <w:t>www.ccgp.gov.cn</w:t>
      </w:r>
      <w:r>
        <w:rPr>
          <w:rFonts w:hint="eastAsia" w:ascii="宋体" w:hAnsi="宋体"/>
          <w:sz w:val="28"/>
          <w:szCs w:val="28"/>
          <w:highlight w:val="none"/>
        </w:rPr>
        <w:t>）列入政府采购严重违法失信行为记录名单，未在军队采购网（</w:t>
      </w:r>
      <w:r>
        <w:rPr>
          <w:rFonts w:ascii="宋体" w:hAnsi="宋体"/>
          <w:sz w:val="28"/>
          <w:szCs w:val="28"/>
          <w:highlight w:val="none"/>
        </w:rPr>
        <w:t>www.plap.mil.cn</w:t>
      </w:r>
      <w:r>
        <w:rPr>
          <w:rFonts w:hint="eastAsia" w:ascii="宋体" w:hAnsi="宋体"/>
          <w:sz w:val="28"/>
          <w:szCs w:val="28"/>
          <w:highlight w:val="none"/>
        </w:rPr>
        <w:t>）军队采购暂停名单处罚范围内或军队采购失信名单禁入处罚期</w:t>
      </w:r>
      <w:r>
        <w:rPr>
          <w:rFonts w:hint="eastAsia" w:ascii="宋体" w:hAnsi="宋体" w:cs="宋体"/>
          <w:bCs/>
          <w:sz w:val="28"/>
          <w:szCs w:val="28"/>
          <w:highlight w:val="none"/>
        </w:rPr>
        <w:t>和处罚范围</w:t>
      </w:r>
      <w:r>
        <w:rPr>
          <w:rFonts w:hint="eastAsia" w:ascii="宋体" w:hAnsi="宋体"/>
          <w:sz w:val="28"/>
          <w:szCs w:val="28"/>
          <w:highlight w:val="none"/>
        </w:rPr>
        <w:t>内，以及未被“信用中国”（</w:t>
      </w:r>
      <w:r>
        <w:rPr>
          <w:rFonts w:ascii="宋体" w:hAnsi="宋体"/>
          <w:sz w:val="28"/>
          <w:szCs w:val="28"/>
          <w:highlight w:val="none"/>
        </w:rPr>
        <w:t>www.creditchina.gov.cn</w:t>
      </w:r>
      <w:r>
        <w:rPr>
          <w:rFonts w:hint="eastAsia" w:ascii="宋体" w:hAnsi="宋体"/>
          <w:sz w:val="28"/>
          <w:szCs w:val="28"/>
          <w:highlight w:val="none"/>
        </w:rPr>
        <w:t>）列入严重失信主体名单或国家企业信用信息公示系统（</w:t>
      </w:r>
      <w:r>
        <w:rPr>
          <w:rFonts w:ascii="宋体" w:hAnsi="宋体"/>
          <w:sz w:val="28"/>
          <w:szCs w:val="28"/>
          <w:highlight w:val="none"/>
        </w:rPr>
        <w:t>www.gsxt.gov.cn</w:t>
      </w:r>
      <w:r>
        <w:rPr>
          <w:rFonts w:hint="eastAsia" w:ascii="宋体" w:hAnsi="宋体"/>
          <w:sz w:val="28"/>
          <w:szCs w:val="28"/>
          <w:highlight w:val="none"/>
        </w:rPr>
        <w:t>）列入严重违法失信名单（处罚期内）</w:t>
      </w:r>
      <w:r>
        <w:rPr>
          <w:rFonts w:hint="eastAsia" w:ascii="宋体" w:hAnsi="宋体"/>
          <w:sz w:val="28"/>
          <w:szCs w:val="28"/>
          <w:highlight w:val="none"/>
          <w:lang w:val="zh-CN"/>
        </w:rPr>
        <w:t>。</w:t>
      </w:r>
    </w:p>
    <w:p w14:paraId="1F6A1F37">
      <w:pPr>
        <w:autoSpaceDE w:val="0"/>
        <w:autoSpaceDN w:val="0"/>
        <w:adjustRightInd w:val="0"/>
        <w:spacing w:line="360" w:lineRule="auto"/>
        <w:ind w:firstLine="560" w:firstLineChars="200"/>
        <w:rPr>
          <w:sz w:val="28"/>
          <w:szCs w:val="28"/>
          <w:highlight w:val="none"/>
          <w:lang w:val="zh-CN"/>
        </w:rPr>
      </w:pPr>
      <w:r>
        <w:rPr>
          <w:rFonts w:hint="eastAsia"/>
          <w:sz w:val="28"/>
          <w:szCs w:val="28"/>
          <w:highlight w:val="none"/>
          <w:lang w:val="zh-CN"/>
        </w:rPr>
        <w:t>违反上述承诺，愿承担一切法律责任，接受军队采购管理部门和采购机构按国家和军队规定作出的相关处罚。</w:t>
      </w:r>
    </w:p>
    <w:p w14:paraId="72C0771B">
      <w:pPr>
        <w:autoSpaceDE w:val="0"/>
        <w:autoSpaceDN w:val="0"/>
        <w:adjustRightInd w:val="0"/>
        <w:spacing w:line="360" w:lineRule="auto"/>
        <w:ind w:firstLine="560" w:firstLineChars="200"/>
        <w:rPr>
          <w:sz w:val="28"/>
          <w:szCs w:val="28"/>
          <w:highlight w:val="none"/>
          <w:lang w:val="zh-CN"/>
        </w:rPr>
      </w:pPr>
    </w:p>
    <w:p w14:paraId="79401BC1">
      <w:pPr>
        <w:autoSpaceDE w:val="0"/>
        <w:autoSpaceDN w:val="0"/>
        <w:adjustRightInd w:val="0"/>
        <w:spacing w:line="360" w:lineRule="auto"/>
        <w:ind w:firstLine="560" w:firstLineChars="200"/>
        <w:rPr>
          <w:sz w:val="28"/>
          <w:szCs w:val="28"/>
          <w:highlight w:val="none"/>
          <w:lang w:val="zh-CN"/>
        </w:rPr>
      </w:pPr>
    </w:p>
    <w:p w14:paraId="028851A8">
      <w:pPr>
        <w:autoSpaceDE w:val="0"/>
        <w:autoSpaceDN w:val="0"/>
        <w:adjustRightInd w:val="0"/>
        <w:spacing w:line="360" w:lineRule="auto"/>
        <w:ind w:firstLine="560" w:firstLineChars="200"/>
        <w:rPr>
          <w:sz w:val="28"/>
          <w:szCs w:val="28"/>
          <w:highlight w:val="none"/>
          <w:lang w:val="zh-CN"/>
        </w:rPr>
      </w:pPr>
    </w:p>
    <w:p w14:paraId="7B45317C">
      <w:pPr>
        <w:spacing w:line="360" w:lineRule="auto"/>
        <w:rPr>
          <w:rFonts w:hint="eastAsia"/>
          <w:sz w:val="28"/>
          <w:szCs w:val="28"/>
          <w:highlight w:val="none"/>
          <w:lang w:val="zh-CN"/>
        </w:rPr>
      </w:pPr>
    </w:p>
    <w:p w14:paraId="12CEC9B6">
      <w:pPr>
        <w:spacing w:line="360" w:lineRule="auto"/>
        <w:ind w:firstLine="1125" w:firstLineChars="402"/>
        <w:rPr>
          <w:sz w:val="28"/>
          <w:szCs w:val="28"/>
          <w:highlight w:val="none"/>
          <w:lang w:val="zh-CN"/>
        </w:rPr>
      </w:pPr>
      <w:r>
        <w:rPr>
          <w:sz w:val="28"/>
          <w:szCs w:val="28"/>
          <w:highlight w:val="none"/>
          <w:lang w:val="zh-CN"/>
        </w:rPr>
        <w:t xml:space="preserve">                </w:t>
      </w:r>
      <w:r>
        <w:rPr>
          <w:rFonts w:hint="eastAsia"/>
          <w:sz w:val="28"/>
          <w:szCs w:val="28"/>
          <w:highlight w:val="none"/>
          <w:lang w:val="zh-CN"/>
        </w:rPr>
        <w:t xml:space="preserve"> </w:t>
      </w:r>
      <w:r>
        <w:rPr>
          <w:sz w:val="28"/>
          <w:szCs w:val="28"/>
          <w:highlight w:val="none"/>
          <w:lang w:val="zh-CN"/>
        </w:rPr>
        <w:t xml:space="preserve"> </w:t>
      </w:r>
      <w:r>
        <w:rPr>
          <w:rFonts w:hint="eastAsia"/>
          <w:sz w:val="28"/>
          <w:szCs w:val="28"/>
          <w:highlight w:val="none"/>
          <w:lang w:val="zh-CN"/>
        </w:rPr>
        <w:t>投标供应商全称：（盖章）</w:t>
      </w:r>
    </w:p>
    <w:p w14:paraId="20FE5089">
      <w:pPr>
        <w:spacing w:line="360" w:lineRule="auto"/>
        <w:ind w:firstLine="3640" w:firstLineChars="1300"/>
        <w:rPr>
          <w:sz w:val="28"/>
          <w:szCs w:val="28"/>
          <w:highlight w:val="none"/>
          <w:lang w:val="zh-CN"/>
        </w:rPr>
      </w:pPr>
      <w:r>
        <w:rPr>
          <w:rFonts w:hint="eastAsia"/>
          <w:sz w:val="28"/>
          <w:szCs w:val="28"/>
          <w:highlight w:val="none"/>
          <w:lang w:val="zh-CN"/>
        </w:rPr>
        <w:t>法定代表人（或授权代表）：（签字）</w:t>
      </w:r>
      <w:r>
        <w:rPr>
          <w:sz w:val="28"/>
          <w:szCs w:val="28"/>
          <w:highlight w:val="none"/>
          <w:lang w:val="zh-CN"/>
        </w:rPr>
        <w:t xml:space="preserve">   </w:t>
      </w:r>
    </w:p>
    <w:p w14:paraId="7C897CCE">
      <w:pPr>
        <w:autoSpaceDE w:val="0"/>
        <w:autoSpaceDN w:val="0"/>
        <w:adjustRightInd w:val="0"/>
        <w:rPr>
          <w:highlight w:val="none"/>
        </w:rPr>
      </w:pPr>
      <w:r>
        <w:rPr>
          <w:rFonts w:hint="eastAsia"/>
          <w:sz w:val="28"/>
          <w:szCs w:val="28"/>
          <w:highlight w:val="none"/>
        </w:rPr>
        <w:t xml:space="preserve">                                           </w:t>
      </w:r>
      <w:r>
        <w:rPr>
          <w:rFonts w:hint="eastAsia"/>
          <w:sz w:val="28"/>
          <w:szCs w:val="28"/>
          <w:highlight w:val="none"/>
          <w:u w:val="single"/>
        </w:rPr>
        <w:t xml:space="preserve">   </w:t>
      </w:r>
      <w:r>
        <w:rPr>
          <w:sz w:val="28"/>
          <w:szCs w:val="28"/>
          <w:highlight w:val="none"/>
        </w:rPr>
        <w:t>年</w:t>
      </w:r>
      <w:r>
        <w:rPr>
          <w:rFonts w:hint="eastAsia"/>
          <w:sz w:val="28"/>
          <w:szCs w:val="28"/>
          <w:highlight w:val="none"/>
          <w:u w:val="single"/>
        </w:rPr>
        <w:t xml:space="preserve"> </w:t>
      </w:r>
      <w:r>
        <w:rPr>
          <w:sz w:val="28"/>
          <w:szCs w:val="28"/>
          <w:highlight w:val="none"/>
          <w:u w:val="single"/>
        </w:rPr>
        <w:t xml:space="preserve">  </w:t>
      </w:r>
      <w:r>
        <w:rPr>
          <w:sz w:val="28"/>
          <w:szCs w:val="28"/>
          <w:highlight w:val="none"/>
        </w:rPr>
        <w:t>月</w:t>
      </w:r>
      <w:r>
        <w:rPr>
          <w:rFonts w:hint="eastAsia"/>
          <w:sz w:val="28"/>
          <w:szCs w:val="28"/>
          <w:highlight w:val="none"/>
          <w:u w:val="single"/>
        </w:rPr>
        <w:t xml:space="preserve"> </w:t>
      </w:r>
      <w:r>
        <w:rPr>
          <w:sz w:val="28"/>
          <w:szCs w:val="28"/>
          <w:highlight w:val="none"/>
          <w:u w:val="single"/>
        </w:rPr>
        <w:t xml:space="preserve"> </w:t>
      </w:r>
      <w:r>
        <w:rPr>
          <w:rFonts w:hint="eastAsia"/>
          <w:sz w:val="28"/>
          <w:szCs w:val="28"/>
          <w:highlight w:val="none"/>
          <w:u w:val="single"/>
        </w:rPr>
        <w:t xml:space="preserve"> </w:t>
      </w:r>
      <w:r>
        <w:rPr>
          <w:sz w:val="28"/>
          <w:szCs w:val="28"/>
          <w:highlight w:val="none"/>
        </w:rPr>
        <w:t>日</w:t>
      </w:r>
    </w:p>
    <w:p w14:paraId="4FE1B48F">
      <w:pPr>
        <w:rPr>
          <w:rFonts w:ascii="宋体" w:hAnsi="宋体" w:cs="宋体"/>
          <w:bCs/>
          <w:sz w:val="28"/>
          <w:szCs w:val="28"/>
          <w:highlight w:val="none"/>
        </w:rPr>
      </w:pPr>
    </w:p>
    <w:p w14:paraId="7B5FF66D">
      <w:pPr>
        <w:pStyle w:val="17"/>
        <w:rPr>
          <w:rFonts w:ascii="宋体" w:hAnsi="宋体" w:cs="宋体"/>
          <w:bCs/>
          <w:sz w:val="28"/>
          <w:szCs w:val="28"/>
          <w:highlight w:val="none"/>
        </w:rPr>
      </w:pPr>
    </w:p>
    <w:p w14:paraId="0D9DC77C">
      <w:pPr>
        <w:rPr>
          <w:rFonts w:ascii="宋体" w:hAnsi="宋体" w:cs="宋体"/>
          <w:bCs/>
          <w:sz w:val="28"/>
          <w:szCs w:val="28"/>
          <w:highlight w:val="none"/>
        </w:rPr>
      </w:pPr>
    </w:p>
    <w:p w14:paraId="3005F8AC">
      <w:pPr>
        <w:pStyle w:val="17"/>
        <w:rPr>
          <w:rFonts w:ascii="宋体" w:hAnsi="宋体" w:cs="宋体"/>
          <w:bCs/>
          <w:sz w:val="28"/>
          <w:szCs w:val="28"/>
          <w:highlight w:val="none"/>
        </w:rPr>
      </w:pPr>
    </w:p>
    <w:p w14:paraId="3CC9F808">
      <w:pPr>
        <w:rPr>
          <w:rFonts w:ascii="宋体" w:hAnsi="宋体" w:cs="宋体"/>
          <w:bCs/>
          <w:sz w:val="28"/>
          <w:szCs w:val="28"/>
          <w:highlight w:val="none"/>
        </w:rPr>
      </w:pPr>
    </w:p>
    <w:p w14:paraId="176FE07B">
      <w:pPr>
        <w:rPr>
          <w:rFonts w:ascii="宋体" w:hAnsi="宋体" w:cs="宋体"/>
          <w:bCs/>
          <w:sz w:val="28"/>
          <w:szCs w:val="28"/>
          <w:highlight w:val="none"/>
        </w:rPr>
      </w:pPr>
    </w:p>
    <w:p w14:paraId="5E9BF65E">
      <w:pPr>
        <w:rPr>
          <w:rFonts w:ascii="宋体" w:hAnsi="宋体" w:cs="宋体"/>
          <w:bCs/>
          <w:sz w:val="28"/>
          <w:szCs w:val="28"/>
          <w:highlight w:val="none"/>
        </w:rPr>
      </w:pPr>
    </w:p>
    <w:p w14:paraId="5134DBCC">
      <w:pPr>
        <w:rPr>
          <w:rFonts w:ascii="宋体" w:hAnsi="宋体" w:cs="宋体"/>
          <w:bCs/>
          <w:sz w:val="28"/>
          <w:szCs w:val="28"/>
          <w:highlight w:val="none"/>
        </w:rPr>
      </w:pPr>
    </w:p>
    <w:p w14:paraId="5D506CF7">
      <w:pPr>
        <w:pStyle w:val="4"/>
        <w:keepNext w:val="0"/>
        <w:keepLines w:val="0"/>
        <w:adjustRightInd w:val="0"/>
        <w:snapToGrid w:val="0"/>
        <w:spacing w:line="560" w:lineRule="exact"/>
        <w:jc w:val="center"/>
        <w:rPr>
          <w:b w:val="0"/>
          <w:szCs w:val="44"/>
          <w:highlight w:val="none"/>
          <w:lang w:val="zh-CN"/>
        </w:rPr>
      </w:pPr>
      <w:bookmarkStart w:id="916" w:name="_Toc17832"/>
      <w:bookmarkStart w:id="917" w:name="_Toc17613"/>
      <w:bookmarkStart w:id="918" w:name="_Toc32050"/>
      <w:bookmarkStart w:id="919" w:name="_Toc30564"/>
      <w:bookmarkStart w:id="920" w:name="_Toc27900"/>
      <w:bookmarkStart w:id="921" w:name="_Toc128154366"/>
      <w:bookmarkStart w:id="922" w:name="_Toc150421246"/>
      <w:bookmarkStart w:id="923" w:name="_Toc31672"/>
      <w:bookmarkStart w:id="924" w:name="_Toc21632"/>
      <w:bookmarkStart w:id="925" w:name="_Toc26181"/>
      <w:bookmarkStart w:id="926" w:name="_Toc130888005"/>
      <w:bookmarkStart w:id="927" w:name="_Toc132186973"/>
      <w:bookmarkStart w:id="928" w:name="_Toc130661176"/>
      <w:bookmarkStart w:id="929" w:name="_Toc112768491"/>
      <w:bookmarkStart w:id="930" w:name="_Toc9692"/>
      <w:bookmarkStart w:id="931" w:name="_Toc28545"/>
      <w:bookmarkStart w:id="932" w:name="_Toc128470293"/>
      <w:bookmarkStart w:id="933" w:name="_Toc20500"/>
      <w:bookmarkStart w:id="934" w:name="_Toc112317781"/>
      <w:bookmarkStart w:id="935" w:name="_Toc132191257"/>
      <w:r>
        <w:rPr>
          <w:rFonts w:hint="eastAsia"/>
          <w:b w:val="0"/>
          <w:szCs w:val="44"/>
          <w:highlight w:val="none"/>
          <w:lang w:val="zh-CN"/>
        </w:rPr>
        <w:t>第六章</w:t>
      </w:r>
      <w:r>
        <w:rPr>
          <w:b w:val="0"/>
          <w:szCs w:val="44"/>
          <w:highlight w:val="none"/>
          <w:lang w:val="zh-CN"/>
        </w:rPr>
        <w:t xml:space="preserve"> </w:t>
      </w:r>
      <w:r>
        <w:rPr>
          <w:rFonts w:hint="eastAsia"/>
          <w:b w:val="0"/>
          <w:szCs w:val="44"/>
          <w:highlight w:val="none"/>
          <w:lang w:val="zh-CN"/>
        </w:rPr>
        <w:t>采购项目商务和技术要求</w:t>
      </w:r>
      <w:bookmarkEnd w:id="916"/>
      <w:bookmarkEnd w:id="917"/>
      <w:bookmarkEnd w:id="918"/>
      <w:bookmarkEnd w:id="919"/>
      <w:bookmarkEnd w:id="920"/>
      <w:bookmarkEnd w:id="921"/>
      <w:bookmarkEnd w:id="922"/>
      <w:bookmarkEnd w:id="923"/>
      <w:bookmarkEnd w:id="924"/>
      <w:bookmarkEnd w:id="925"/>
      <w:bookmarkEnd w:id="926"/>
      <w:bookmarkEnd w:id="927"/>
      <w:bookmarkEnd w:id="928"/>
      <w:bookmarkEnd w:id="929"/>
      <w:bookmarkEnd w:id="930"/>
      <w:bookmarkEnd w:id="931"/>
      <w:bookmarkEnd w:id="932"/>
      <w:bookmarkEnd w:id="933"/>
      <w:bookmarkEnd w:id="934"/>
      <w:bookmarkEnd w:id="935"/>
    </w:p>
    <w:p w14:paraId="157C8930">
      <w:pPr>
        <w:pStyle w:val="5"/>
        <w:bidi w:val="0"/>
        <w:spacing w:line="240" w:lineRule="auto"/>
        <w:rPr>
          <w:highlight w:val="none"/>
        </w:rPr>
      </w:pPr>
      <w:bookmarkStart w:id="936" w:name="_Toc29004"/>
      <w:bookmarkStart w:id="937" w:name="_Toc128150777"/>
      <w:bookmarkStart w:id="938" w:name="_Toc150418427"/>
      <w:bookmarkStart w:id="939" w:name="_Toc25703"/>
      <w:bookmarkStart w:id="940" w:name="_Toc189"/>
      <w:bookmarkStart w:id="941" w:name="_Toc7194"/>
      <w:bookmarkStart w:id="942" w:name="_Toc128150133"/>
      <w:bookmarkStart w:id="943" w:name="_Toc128397969"/>
      <w:bookmarkStart w:id="944" w:name="_Toc22856"/>
      <w:bookmarkStart w:id="945" w:name="_Toc12610"/>
      <w:bookmarkStart w:id="946" w:name="_Toc22387"/>
      <w:bookmarkStart w:id="947" w:name="_Toc31837"/>
      <w:bookmarkStart w:id="948" w:name="_Toc130887499"/>
      <w:bookmarkStart w:id="949" w:name="_Toc30945"/>
      <w:bookmarkStart w:id="950" w:name="_Toc19364"/>
      <w:bookmarkStart w:id="951" w:name="_Toc128151026"/>
      <w:bookmarkStart w:id="952" w:name="_Toc132190633"/>
      <w:bookmarkStart w:id="953" w:name="_Toc23924"/>
      <w:bookmarkStart w:id="954" w:name="_Toc127820563"/>
      <w:bookmarkStart w:id="955" w:name="_Toc128154368"/>
      <w:bookmarkStart w:id="956" w:name="_Toc132191259"/>
      <w:bookmarkStart w:id="957" w:name="_Toc132186975"/>
      <w:bookmarkStart w:id="958" w:name="_Toc150421248"/>
      <w:bookmarkStart w:id="959" w:name="_Toc130888007"/>
      <w:bookmarkStart w:id="960" w:name="_Toc128470295"/>
      <w:r>
        <w:rPr>
          <w:rFonts w:hint="eastAsia"/>
          <w:highlight w:val="none"/>
        </w:rPr>
        <w:t>一、商务要求</w:t>
      </w:r>
      <w:bookmarkEnd w:id="936"/>
      <w:bookmarkEnd w:id="937"/>
      <w:bookmarkEnd w:id="938"/>
      <w:bookmarkEnd w:id="939"/>
      <w:bookmarkEnd w:id="940"/>
      <w:bookmarkEnd w:id="941"/>
      <w:bookmarkEnd w:id="942"/>
      <w:bookmarkEnd w:id="943"/>
      <w:bookmarkEnd w:id="944"/>
      <w:bookmarkEnd w:id="945"/>
      <w:bookmarkEnd w:id="946"/>
      <w:bookmarkEnd w:id="947"/>
      <w:bookmarkEnd w:id="948"/>
      <w:bookmarkEnd w:id="949"/>
      <w:bookmarkEnd w:id="950"/>
      <w:bookmarkEnd w:id="951"/>
      <w:bookmarkEnd w:id="952"/>
      <w:bookmarkEnd w:id="953"/>
      <w:bookmarkEnd w:id="954"/>
    </w:p>
    <w:p w14:paraId="51ABAA47">
      <w:pPr>
        <w:pStyle w:val="114"/>
        <w:spacing w:line="560" w:lineRule="exact"/>
        <w:ind w:firstLine="560"/>
        <w:rPr>
          <w:rFonts w:hAnsi="宋体"/>
          <w:bCs/>
          <w:sz w:val="28"/>
          <w:szCs w:val="28"/>
          <w:highlight w:val="none"/>
        </w:rPr>
      </w:pPr>
      <w:r>
        <w:rPr>
          <w:rFonts w:ascii="宋体" w:hAnsi="宋体"/>
          <w:bCs/>
          <w:sz w:val="28"/>
          <w:szCs w:val="28"/>
          <w:highlight w:val="none"/>
          <w:lang w:val="zh-CN"/>
        </w:rPr>
        <w:t>★</w:t>
      </w:r>
      <w:r>
        <w:rPr>
          <w:rFonts w:hAnsi="宋体"/>
          <w:bCs/>
          <w:sz w:val="28"/>
          <w:szCs w:val="28"/>
          <w:highlight w:val="none"/>
          <w:lang w:val="zh-CN"/>
        </w:rPr>
        <w:t>（一）</w:t>
      </w:r>
      <w:r>
        <w:rPr>
          <w:rFonts w:hAnsi="宋体"/>
          <w:bCs/>
          <w:sz w:val="28"/>
          <w:szCs w:val="28"/>
          <w:highlight w:val="none"/>
        </w:rPr>
        <w:t>交货</w:t>
      </w:r>
      <w:r>
        <w:rPr>
          <w:rFonts w:hint="eastAsia" w:hAnsi="宋体"/>
          <w:bCs/>
          <w:sz w:val="28"/>
          <w:szCs w:val="28"/>
          <w:highlight w:val="none"/>
        </w:rPr>
        <w:t>时间</w:t>
      </w:r>
      <w:r>
        <w:rPr>
          <w:rFonts w:hAnsi="宋体"/>
          <w:bCs/>
          <w:sz w:val="28"/>
          <w:szCs w:val="28"/>
          <w:highlight w:val="none"/>
        </w:rPr>
        <w:t>、地点</w:t>
      </w:r>
      <w:r>
        <w:rPr>
          <w:rFonts w:hint="eastAsia" w:hAnsi="宋体"/>
          <w:bCs/>
          <w:sz w:val="28"/>
          <w:szCs w:val="28"/>
          <w:highlight w:val="none"/>
        </w:rPr>
        <w:t>和方式</w:t>
      </w:r>
    </w:p>
    <w:p w14:paraId="1DC258BF">
      <w:pPr>
        <w:pStyle w:val="114"/>
        <w:spacing w:line="560" w:lineRule="exact"/>
        <w:ind w:firstLine="560"/>
        <w:rPr>
          <w:rFonts w:hAnsi="宋体"/>
          <w:bCs/>
          <w:sz w:val="28"/>
          <w:szCs w:val="28"/>
          <w:highlight w:val="none"/>
        </w:rPr>
      </w:pPr>
      <w:r>
        <w:rPr>
          <w:rFonts w:ascii="宋体" w:hAnsi="宋体" w:cs="宋体"/>
          <w:bCs/>
          <w:sz w:val="28"/>
          <w:szCs w:val="28"/>
          <w:highlight w:val="none"/>
        </w:rPr>
        <w:t>1.</w:t>
      </w:r>
      <w:r>
        <w:rPr>
          <w:rFonts w:hint="eastAsia" w:hAnsi="宋体"/>
          <w:bCs/>
          <w:sz w:val="28"/>
          <w:szCs w:val="28"/>
          <w:highlight w:val="none"/>
        </w:rPr>
        <w:t>交货时间：合同签订之日起</w:t>
      </w:r>
      <w:r>
        <w:rPr>
          <w:rFonts w:hAnsi="宋体"/>
          <w:bCs/>
          <w:sz w:val="28"/>
          <w:szCs w:val="28"/>
          <w:highlight w:val="none"/>
          <w:u w:val="single"/>
        </w:rPr>
        <w:t xml:space="preserve"> </w:t>
      </w:r>
      <w:r>
        <w:rPr>
          <w:rFonts w:hint="eastAsia" w:hAnsi="宋体"/>
          <w:bCs/>
          <w:sz w:val="28"/>
          <w:szCs w:val="28"/>
          <w:highlight w:val="none"/>
          <w:u w:val="single"/>
          <w:lang w:val="en-US" w:eastAsia="zh-CN"/>
        </w:rPr>
        <w:t xml:space="preserve">90 </w:t>
      </w:r>
      <w:r>
        <w:rPr>
          <w:rFonts w:hint="eastAsia" w:hAnsi="宋体"/>
          <w:bCs/>
          <w:sz w:val="28"/>
          <w:szCs w:val="28"/>
          <w:highlight w:val="none"/>
        </w:rPr>
        <w:t>天内全部交货并安装调试完毕。</w:t>
      </w:r>
    </w:p>
    <w:p w14:paraId="49F763CA">
      <w:pPr>
        <w:pStyle w:val="114"/>
        <w:spacing w:line="560" w:lineRule="exact"/>
        <w:ind w:firstLine="560"/>
        <w:rPr>
          <w:rFonts w:hAnsi="宋体"/>
          <w:bCs/>
          <w:sz w:val="28"/>
          <w:szCs w:val="28"/>
          <w:highlight w:val="none"/>
        </w:rPr>
      </w:pPr>
      <w:r>
        <w:rPr>
          <w:rFonts w:ascii="宋体" w:hAnsi="宋体" w:cs="宋体"/>
          <w:bCs/>
          <w:sz w:val="28"/>
          <w:szCs w:val="28"/>
          <w:highlight w:val="none"/>
        </w:rPr>
        <w:t>2.</w:t>
      </w:r>
      <w:r>
        <w:rPr>
          <w:rFonts w:hint="eastAsia" w:hAnsi="宋体"/>
          <w:bCs/>
          <w:sz w:val="28"/>
          <w:szCs w:val="28"/>
          <w:highlight w:val="none"/>
        </w:rPr>
        <w:t>交货地点：</w:t>
      </w:r>
      <w:r>
        <w:rPr>
          <w:rFonts w:hint="eastAsia" w:ascii="Times New Roman" w:hAnsi="宋体" w:cs="Times New Roman"/>
          <w:bCs/>
          <w:sz w:val="28"/>
          <w:szCs w:val="28"/>
          <w:highlight w:val="none"/>
          <w:u w:val="single"/>
          <w:lang w:val="zh-CN" w:eastAsia="zh-CN"/>
        </w:rPr>
        <w:t>重庆市（采购人指定地点）</w:t>
      </w:r>
      <w:r>
        <w:rPr>
          <w:rFonts w:hint="eastAsia" w:hAnsi="宋体"/>
          <w:bCs/>
          <w:sz w:val="28"/>
          <w:szCs w:val="28"/>
          <w:highlight w:val="none"/>
        </w:rPr>
        <w:t>。</w:t>
      </w:r>
    </w:p>
    <w:p w14:paraId="0B7AD98E">
      <w:pPr>
        <w:pStyle w:val="114"/>
        <w:spacing w:line="560" w:lineRule="exact"/>
        <w:ind w:firstLine="560"/>
        <w:rPr>
          <w:rFonts w:hint="default" w:hAnsi="宋体" w:eastAsia="宋体"/>
          <w:bCs/>
          <w:sz w:val="28"/>
          <w:szCs w:val="28"/>
          <w:highlight w:val="none"/>
          <w:lang w:val="en-US" w:eastAsia="zh-CN"/>
        </w:rPr>
      </w:pPr>
      <w:r>
        <w:rPr>
          <w:rFonts w:ascii="宋体" w:hAnsi="宋体" w:cs="宋体"/>
          <w:bCs/>
          <w:sz w:val="28"/>
          <w:szCs w:val="28"/>
          <w:highlight w:val="none"/>
        </w:rPr>
        <w:t>3.</w:t>
      </w:r>
      <w:r>
        <w:rPr>
          <w:rFonts w:hint="eastAsia" w:hAnsi="宋体"/>
          <w:bCs/>
          <w:sz w:val="28"/>
          <w:szCs w:val="28"/>
          <w:highlight w:val="none"/>
        </w:rPr>
        <w:t>交货方式：</w:t>
      </w:r>
      <w:r>
        <w:rPr>
          <w:rFonts w:hint="eastAsia" w:hAnsi="宋体" w:cs="Times New Roman"/>
          <w:bCs/>
          <w:sz w:val="28"/>
          <w:szCs w:val="28"/>
          <w:highlight w:val="none"/>
          <w:u w:val="single"/>
          <w:lang w:val="en-US" w:eastAsia="zh-CN"/>
        </w:rPr>
        <w:t>报价</w:t>
      </w:r>
      <w:r>
        <w:rPr>
          <w:rFonts w:hint="eastAsia" w:ascii="Times New Roman" w:hAnsi="宋体" w:cs="Times New Roman"/>
          <w:bCs/>
          <w:sz w:val="28"/>
          <w:szCs w:val="28"/>
          <w:highlight w:val="none"/>
          <w:u w:val="single"/>
          <w:lang w:val="zh-CN" w:eastAsia="zh-CN"/>
        </w:rPr>
        <w:t>人自行送达采购人指定的地点并完成</w:t>
      </w:r>
      <w:r>
        <w:rPr>
          <w:rFonts w:hint="eastAsia" w:ascii="Times New Roman" w:hAnsi="宋体" w:cs="Times New Roman"/>
          <w:bCs/>
          <w:sz w:val="28"/>
          <w:szCs w:val="28"/>
          <w:highlight w:val="none"/>
          <w:u w:val="single"/>
          <w:lang w:val="en-US" w:eastAsia="zh-CN"/>
        </w:rPr>
        <w:t>全部交货和安装调试</w:t>
      </w:r>
      <w:r>
        <w:rPr>
          <w:rFonts w:hint="eastAsia" w:hAnsi="宋体"/>
          <w:bCs/>
          <w:sz w:val="28"/>
          <w:szCs w:val="28"/>
          <w:highlight w:val="none"/>
          <w:u w:val="single"/>
          <w:lang w:val="en-US" w:eastAsia="zh-CN"/>
        </w:rPr>
        <w:t xml:space="preserve"> </w:t>
      </w:r>
      <w:r>
        <w:rPr>
          <w:rFonts w:hint="eastAsia" w:hAnsi="宋体"/>
          <w:bCs/>
          <w:sz w:val="28"/>
          <w:szCs w:val="28"/>
          <w:highlight w:val="none"/>
        </w:rPr>
        <w:t>。</w:t>
      </w:r>
    </w:p>
    <w:p w14:paraId="11BAB763">
      <w:pPr>
        <w:pStyle w:val="114"/>
        <w:spacing w:line="560" w:lineRule="exact"/>
        <w:ind w:firstLine="560"/>
        <w:rPr>
          <w:rFonts w:hAnsi="宋体"/>
          <w:bCs/>
          <w:sz w:val="28"/>
          <w:szCs w:val="28"/>
          <w:highlight w:val="none"/>
        </w:rPr>
      </w:pPr>
      <w:r>
        <w:rPr>
          <w:rFonts w:ascii="宋体" w:hAnsi="宋体"/>
          <w:bCs/>
          <w:sz w:val="28"/>
          <w:szCs w:val="28"/>
          <w:highlight w:val="none"/>
          <w:lang w:val="zh-CN"/>
        </w:rPr>
        <w:t>★</w:t>
      </w:r>
      <w:r>
        <w:rPr>
          <w:rFonts w:hAnsi="宋体"/>
          <w:bCs/>
          <w:sz w:val="28"/>
          <w:szCs w:val="28"/>
          <w:highlight w:val="none"/>
          <w:lang w:val="zh-CN"/>
        </w:rPr>
        <w:t>（二）</w:t>
      </w:r>
      <w:r>
        <w:rPr>
          <w:rFonts w:hint="eastAsia" w:hAnsi="宋体"/>
          <w:bCs/>
          <w:sz w:val="28"/>
          <w:szCs w:val="28"/>
          <w:highlight w:val="none"/>
        </w:rPr>
        <w:t>产品包装和运输要求</w:t>
      </w:r>
    </w:p>
    <w:p w14:paraId="12955534">
      <w:pPr>
        <w:pStyle w:val="114"/>
        <w:spacing w:line="560" w:lineRule="exact"/>
        <w:ind w:firstLine="560"/>
        <w:rPr>
          <w:rFonts w:hAnsi="宋体"/>
          <w:bCs/>
          <w:sz w:val="28"/>
          <w:szCs w:val="28"/>
          <w:highlight w:val="none"/>
        </w:rPr>
      </w:pPr>
      <w:r>
        <w:rPr>
          <w:rFonts w:hint="eastAsia" w:ascii="宋体" w:hAnsi="宋体" w:cs="宋体"/>
          <w:sz w:val="28"/>
          <w:szCs w:val="28"/>
          <w:highlight w:val="none"/>
        </w:rPr>
        <w:t>中标人负责设备的包装和运输。包装必须坚固，能适用远距离的海运、空运及气候的变化，并能适应中国境内铁路、公路运输。</w:t>
      </w:r>
    </w:p>
    <w:p w14:paraId="649944F6">
      <w:pPr>
        <w:pStyle w:val="114"/>
        <w:spacing w:line="560" w:lineRule="exact"/>
        <w:ind w:firstLine="560"/>
        <w:rPr>
          <w:rFonts w:hAnsi="宋体"/>
          <w:bCs/>
          <w:sz w:val="28"/>
          <w:szCs w:val="28"/>
          <w:highlight w:val="none"/>
        </w:rPr>
      </w:pPr>
      <w:r>
        <w:rPr>
          <w:rFonts w:ascii="宋体" w:hAnsi="宋体"/>
          <w:bCs/>
          <w:sz w:val="28"/>
          <w:szCs w:val="28"/>
          <w:highlight w:val="none"/>
          <w:lang w:val="zh-CN"/>
        </w:rPr>
        <w:t>★</w:t>
      </w:r>
      <w:r>
        <w:rPr>
          <w:rFonts w:hint="eastAsia" w:hAnsi="宋体"/>
          <w:bCs/>
          <w:sz w:val="28"/>
          <w:szCs w:val="28"/>
          <w:highlight w:val="none"/>
        </w:rPr>
        <w:t>（三）售后服务</w:t>
      </w:r>
    </w:p>
    <w:p w14:paraId="7D24B569">
      <w:pPr>
        <w:tabs>
          <w:tab w:val="left" w:pos="0"/>
        </w:tabs>
        <w:autoSpaceDE w:val="0"/>
        <w:autoSpaceDN w:val="0"/>
        <w:adjustRightInd w:val="0"/>
        <w:spacing w:line="560" w:lineRule="exact"/>
        <w:ind w:firstLine="560" w:firstLineChars="200"/>
        <w:rPr>
          <w:rFonts w:ascii="宋体" w:hAnsi="宋体"/>
          <w:bCs/>
          <w:sz w:val="28"/>
          <w:szCs w:val="28"/>
          <w:highlight w:val="none"/>
        </w:rPr>
      </w:pPr>
      <w:r>
        <w:rPr>
          <w:rFonts w:ascii="宋体" w:hAnsi="宋体"/>
          <w:bCs/>
          <w:sz w:val="28"/>
          <w:szCs w:val="28"/>
          <w:highlight w:val="none"/>
          <w:lang w:val="zh-CN"/>
        </w:rPr>
        <w:t>1.质量保证期：</w:t>
      </w:r>
      <w:r>
        <w:rPr>
          <w:rFonts w:hint="eastAsia" w:ascii="宋体" w:hAnsi="宋体"/>
          <w:bCs/>
          <w:sz w:val="28"/>
          <w:szCs w:val="28"/>
          <w:highlight w:val="none"/>
        </w:rPr>
        <w:t>自交货验收完毕之日算起，所有产品质保</w:t>
      </w:r>
      <w:r>
        <w:rPr>
          <w:rFonts w:hint="eastAsia" w:ascii="宋体" w:hAnsi="宋体"/>
          <w:bCs/>
          <w:sz w:val="28"/>
          <w:szCs w:val="28"/>
          <w:highlight w:val="none"/>
          <w:u w:val="single"/>
        </w:rPr>
        <w:t xml:space="preserve"> </w:t>
      </w:r>
      <w:r>
        <w:rPr>
          <w:rFonts w:hint="eastAsia" w:ascii="宋体" w:hAnsi="宋体"/>
          <w:bCs/>
          <w:sz w:val="28"/>
          <w:szCs w:val="28"/>
          <w:highlight w:val="none"/>
          <w:u w:val="single"/>
          <w:lang w:val="en-US" w:eastAsia="zh-CN"/>
        </w:rPr>
        <w:t>3</w:t>
      </w:r>
      <w:r>
        <w:rPr>
          <w:rFonts w:hint="eastAsia" w:ascii="宋体" w:hAnsi="宋体"/>
          <w:bCs/>
          <w:sz w:val="28"/>
          <w:szCs w:val="28"/>
          <w:highlight w:val="none"/>
          <w:u w:val="single"/>
        </w:rPr>
        <w:t xml:space="preserve"> </w:t>
      </w:r>
      <w:r>
        <w:rPr>
          <w:rFonts w:hint="eastAsia" w:ascii="宋体" w:hAnsi="宋体"/>
          <w:bCs/>
          <w:sz w:val="28"/>
          <w:szCs w:val="28"/>
          <w:highlight w:val="none"/>
        </w:rPr>
        <w:t>年。投标供应商对提供的物资在质保期内，因产品质量而导致的缺陷，应当免费提供包修、包换、包退服务，因此导致的损失采购单位有权向中标供应商追偿。超出质保期后，投标供应商应当提供上门维修服务，仅收取成本费。</w:t>
      </w:r>
    </w:p>
    <w:p w14:paraId="1468A0C3">
      <w:pPr>
        <w:tabs>
          <w:tab w:val="left" w:pos="0"/>
        </w:tabs>
        <w:autoSpaceDE w:val="0"/>
        <w:autoSpaceDN w:val="0"/>
        <w:adjustRightInd w:val="0"/>
        <w:spacing w:line="560" w:lineRule="exact"/>
        <w:ind w:firstLine="560" w:firstLineChars="200"/>
        <w:rPr>
          <w:rFonts w:ascii="宋体" w:hAnsi="宋体" w:cs="宋体"/>
          <w:color w:val="auto"/>
          <w:kern w:val="0"/>
          <w:sz w:val="28"/>
          <w:szCs w:val="28"/>
          <w:highlight w:val="none"/>
        </w:rPr>
      </w:pPr>
      <w:r>
        <w:rPr>
          <w:rFonts w:hint="eastAsia" w:ascii="宋体" w:hAnsi="宋体"/>
          <w:bCs/>
          <w:sz w:val="28"/>
          <w:szCs w:val="28"/>
          <w:highlight w:val="none"/>
        </w:rPr>
        <w:t>2</w:t>
      </w:r>
      <w:r>
        <w:rPr>
          <w:rFonts w:ascii="宋体" w:hAnsi="宋体"/>
          <w:bCs/>
          <w:sz w:val="28"/>
          <w:szCs w:val="28"/>
          <w:highlight w:val="none"/>
          <w:lang w:val="zh-CN"/>
        </w:rPr>
        <w:t>.其他服务要求：</w:t>
      </w:r>
      <w:r>
        <w:rPr>
          <w:rFonts w:hint="eastAsia" w:ascii="宋体" w:hAnsi="宋体" w:cs="宋体"/>
          <w:kern w:val="0"/>
          <w:sz w:val="28"/>
          <w:szCs w:val="28"/>
          <w:highlight w:val="none"/>
        </w:rPr>
        <w:t>（1）免费保修期外，提供终身维修保障等技术服务保障承诺（因产品或配件停产等导致设备无法维修的原因除外）。提供耗材及主要零配件目录（含报价），配件供应时间≥</w:t>
      </w:r>
      <w:r>
        <w:rPr>
          <w:rFonts w:hint="eastAsia" w:ascii="宋体" w:hAnsi="宋体" w:cs="宋体"/>
          <w:kern w:val="0"/>
          <w:sz w:val="28"/>
          <w:szCs w:val="28"/>
          <w:highlight w:val="none"/>
          <w:u w:val="single"/>
        </w:rPr>
        <w:t xml:space="preserve"> </w:t>
      </w:r>
      <w:r>
        <w:rPr>
          <w:rFonts w:hint="eastAsia" w:ascii="宋体" w:hAnsi="宋体" w:cs="宋体"/>
          <w:kern w:val="0"/>
          <w:sz w:val="28"/>
          <w:szCs w:val="28"/>
          <w:highlight w:val="none"/>
          <w:u w:val="single"/>
          <w:lang w:val="en-US" w:eastAsia="zh-CN"/>
        </w:rPr>
        <w:t>10</w:t>
      </w:r>
      <w:r>
        <w:rPr>
          <w:rFonts w:hint="eastAsia" w:ascii="宋体" w:hAnsi="宋体"/>
          <w:bCs/>
          <w:sz w:val="28"/>
          <w:szCs w:val="28"/>
          <w:highlight w:val="none"/>
          <w:u w:val="single"/>
        </w:rPr>
        <w:t xml:space="preserve"> </w:t>
      </w:r>
      <w:r>
        <w:rPr>
          <w:rFonts w:hint="eastAsia" w:ascii="宋体" w:hAnsi="宋体" w:cs="宋体"/>
          <w:kern w:val="0"/>
          <w:sz w:val="28"/>
          <w:szCs w:val="28"/>
          <w:highlight w:val="none"/>
        </w:rPr>
        <w:t>年。</w:t>
      </w:r>
    </w:p>
    <w:p w14:paraId="1286888C">
      <w:pPr>
        <w:snapToGrid w:val="0"/>
        <w:spacing w:line="560" w:lineRule="exact"/>
        <w:ind w:firstLine="560" w:firstLineChars="200"/>
        <w:rPr>
          <w:rFonts w:ascii="宋体" w:hAnsi="宋体" w:cs="宋体"/>
          <w:sz w:val="28"/>
          <w:szCs w:val="28"/>
          <w:highlight w:val="none"/>
          <w:u w:val="single"/>
          <w:lang w:val="zh-CN"/>
        </w:rPr>
      </w:pPr>
      <w:r>
        <w:rPr>
          <w:rFonts w:hint="eastAsia" w:ascii="宋体" w:hAnsi="宋体" w:cs="宋体"/>
          <w:kern w:val="0"/>
          <w:sz w:val="28"/>
          <w:szCs w:val="28"/>
          <w:highlight w:val="none"/>
        </w:rPr>
        <w:t>（2）</w:t>
      </w:r>
      <w:r>
        <w:rPr>
          <w:rFonts w:hint="eastAsia" w:ascii="宋体" w:hAnsi="宋体" w:cs="宋体"/>
          <w:sz w:val="28"/>
          <w:szCs w:val="28"/>
          <w:highlight w:val="none"/>
          <w:lang w:val="en-US" w:eastAsia="zh-CN"/>
        </w:rPr>
        <w:t>报价</w:t>
      </w:r>
      <w:r>
        <w:rPr>
          <w:rFonts w:hint="eastAsia" w:ascii="宋体" w:hAnsi="宋体" w:cs="宋体"/>
          <w:sz w:val="28"/>
          <w:szCs w:val="28"/>
          <w:highlight w:val="none"/>
        </w:rPr>
        <w:t>供应商须承诺，对售后服务需求提供现场技术响应，维修到达现场时间≤</w:t>
      </w:r>
      <w:r>
        <w:rPr>
          <w:rFonts w:ascii="宋体" w:hAnsi="宋体"/>
          <w:bCs/>
          <w:sz w:val="28"/>
          <w:szCs w:val="28"/>
          <w:highlight w:val="none"/>
          <w:u w:val="single"/>
        </w:rPr>
        <w:t xml:space="preserve"> </w:t>
      </w:r>
      <w:r>
        <w:rPr>
          <w:rFonts w:hint="eastAsia" w:ascii="宋体" w:hAnsi="宋体"/>
          <w:bCs/>
          <w:sz w:val="28"/>
          <w:szCs w:val="28"/>
          <w:highlight w:val="none"/>
          <w:u w:val="single"/>
          <w:lang w:val="en-US" w:eastAsia="zh-CN"/>
        </w:rPr>
        <w:t>6</w:t>
      </w:r>
      <w:r>
        <w:rPr>
          <w:rFonts w:ascii="宋体" w:hAnsi="宋体"/>
          <w:bCs/>
          <w:sz w:val="28"/>
          <w:szCs w:val="28"/>
          <w:highlight w:val="none"/>
          <w:u w:val="single"/>
        </w:rPr>
        <w:t xml:space="preserve"> </w:t>
      </w:r>
      <w:r>
        <w:rPr>
          <w:rFonts w:hint="eastAsia" w:ascii="宋体" w:hAnsi="宋体" w:cs="宋体"/>
          <w:sz w:val="28"/>
          <w:szCs w:val="28"/>
          <w:highlight w:val="none"/>
        </w:rPr>
        <w:t>小时内（本地）；维修到达现场时间≤</w:t>
      </w:r>
      <w:r>
        <w:rPr>
          <w:rFonts w:ascii="宋体" w:hAnsi="宋体"/>
          <w:bCs/>
          <w:sz w:val="28"/>
          <w:szCs w:val="28"/>
          <w:highlight w:val="none"/>
          <w:u w:val="single"/>
        </w:rPr>
        <w:t xml:space="preserve"> </w:t>
      </w:r>
      <w:r>
        <w:rPr>
          <w:rFonts w:hint="eastAsia" w:ascii="宋体" w:hAnsi="宋体"/>
          <w:bCs/>
          <w:sz w:val="28"/>
          <w:szCs w:val="28"/>
          <w:highlight w:val="none"/>
          <w:u w:val="single"/>
          <w:lang w:val="en-US" w:eastAsia="zh-CN"/>
        </w:rPr>
        <w:t>24</w:t>
      </w:r>
      <w:r>
        <w:rPr>
          <w:rFonts w:ascii="宋体" w:hAnsi="宋体"/>
          <w:bCs/>
          <w:sz w:val="28"/>
          <w:szCs w:val="28"/>
          <w:highlight w:val="none"/>
          <w:u w:val="single"/>
        </w:rPr>
        <w:t xml:space="preserve"> </w:t>
      </w:r>
      <w:r>
        <w:rPr>
          <w:rFonts w:hint="eastAsia" w:ascii="宋体" w:hAnsi="宋体" w:cs="宋体"/>
          <w:sz w:val="28"/>
          <w:szCs w:val="28"/>
          <w:highlight w:val="none"/>
        </w:rPr>
        <w:t>小时内（外地）</w:t>
      </w:r>
      <w:r>
        <w:rPr>
          <w:rFonts w:hint="eastAsia" w:ascii="宋体" w:hAnsi="宋体" w:cs="宋体"/>
          <w:sz w:val="28"/>
          <w:szCs w:val="28"/>
          <w:highlight w:val="none"/>
          <w:lang w:val="zh-CN"/>
        </w:rPr>
        <w:t>。</w:t>
      </w:r>
    </w:p>
    <w:p w14:paraId="7F5E7C3B">
      <w:pPr>
        <w:tabs>
          <w:tab w:val="left" w:pos="0"/>
        </w:tabs>
        <w:autoSpaceDE w:val="0"/>
        <w:autoSpaceDN w:val="0"/>
        <w:adjustRightInd w:val="0"/>
        <w:spacing w:line="560" w:lineRule="exact"/>
        <w:ind w:firstLine="560" w:firstLineChars="200"/>
        <w:rPr>
          <w:rFonts w:ascii="宋体" w:hAnsi="宋体" w:cs="宋体"/>
          <w:sz w:val="28"/>
          <w:szCs w:val="28"/>
          <w:highlight w:val="none"/>
        </w:rPr>
      </w:pPr>
      <w:r>
        <w:rPr>
          <w:rFonts w:hint="eastAsia" w:ascii="宋体" w:hAnsi="宋体" w:cs="宋体"/>
          <w:kern w:val="0"/>
          <w:sz w:val="28"/>
          <w:szCs w:val="28"/>
          <w:highlight w:val="none"/>
        </w:rPr>
        <w:t>（3）</w:t>
      </w:r>
      <w:r>
        <w:rPr>
          <w:rFonts w:hint="eastAsia" w:ascii="宋体" w:hAnsi="宋体" w:cs="宋体"/>
          <w:sz w:val="28"/>
          <w:szCs w:val="28"/>
          <w:highlight w:val="none"/>
        </w:rPr>
        <w:t>软件升级：终身免费升级（如本设备涉及软件功能）</w:t>
      </w:r>
    </w:p>
    <w:p w14:paraId="728C89AD">
      <w:pPr>
        <w:tabs>
          <w:tab w:val="left" w:pos="0"/>
        </w:tabs>
        <w:autoSpaceDE w:val="0"/>
        <w:autoSpaceDN w:val="0"/>
        <w:adjustRightInd w:val="0"/>
        <w:spacing w:line="560" w:lineRule="exact"/>
        <w:ind w:firstLine="560" w:firstLineChars="200"/>
        <w:rPr>
          <w:rFonts w:hint="eastAsia" w:ascii="宋体" w:hAnsi="宋体" w:cs="宋体"/>
          <w:sz w:val="28"/>
          <w:szCs w:val="28"/>
          <w:highlight w:val="none"/>
        </w:rPr>
        <w:sectPr>
          <w:headerReference r:id="rId23" w:type="default"/>
          <w:pgSz w:w="11906" w:h="16838"/>
          <w:pgMar w:top="1418" w:right="1134" w:bottom="1418" w:left="1418" w:header="851" w:footer="992" w:gutter="0"/>
          <w:pgNumType w:fmt="decimal"/>
          <w:cols w:space="720" w:num="1"/>
          <w:docGrid w:linePitch="312" w:charSpace="0"/>
        </w:sectPr>
      </w:pPr>
      <w:r>
        <w:rPr>
          <w:rFonts w:hint="eastAsia" w:ascii="宋体" w:hAnsi="宋体" w:cs="宋体"/>
          <w:kern w:val="0"/>
          <w:sz w:val="28"/>
          <w:szCs w:val="28"/>
          <w:highlight w:val="none"/>
        </w:rPr>
        <w:t>（4）</w:t>
      </w:r>
      <w:r>
        <w:rPr>
          <w:rFonts w:hint="eastAsia" w:ascii="宋体" w:hAnsi="宋体" w:cs="宋体"/>
          <w:sz w:val="28"/>
          <w:szCs w:val="28"/>
          <w:highlight w:val="none"/>
        </w:rPr>
        <w:t>凡涉及与我院HIS、LIS、PACS、电生理系统、病理信息系统等系统连接的设备，要求具有标准数字接口，若投标产品没有匹配的接口，由中标</w:t>
      </w:r>
    </w:p>
    <w:p w14:paraId="417B312E">
      <w:pPr>
        <w:tabs>
          <w:tab w:val="left" w:pos="0"/>
        </w:tabs>
        <w:autoSpaceDE w:val="0"/>
        <w:autoSpaceDN w:val="0"/>
        <w:adjustRightInd w:val="0"/>
        <w:spacing w:line="560" w:lineRule="exact"/>
        <w:ind w:firstLine="560" w:firstLineChars="200"/>
        <w:rPr>
          <w:rFonts w:ascii="宋体" w:hAnsi="宋体" w:cs="宋体"/>
          <w:sz w:val="28"/>
          <w:szCs w:val="28"/>
          <w:highlight w:val="none"/>
        </w:rPr>
      </w:pPr>
      <w:r>
        <w:rPr>
          <w:rFonts w:hint="eastAsia" w:ascii="宋体" w:hAnsi="宋体" w:cs="宋体"/>
          <w:sz w:val="28"/>
          <w:szCs w:val="28"/>
          <w:highlight w:val="none"/>
        </w:rPr>
        <w:t>供应商负责改造并承担相应费用（如涉及）。</w:t>
      </w:r>
    </w:p>
    <w:p w14:paraId="7E025058">
      <w:pPr>
        <w:tabs>
          <w:tab w:val="left" w:pos="0"/>
        </w:tabs>
        <w:autoSpaceDE w:val="0"/>
        <w:autoSpaceDN w:val="0"/>
        <w:adjustRightInd w:val="0"/>
        <w:spacing w:line="560" w:lineRule="exact"/>
        <w:ind w:firstLine="560" w:firstLineChars="200"/>
        <w:rPr>
          <w:rFonts w:ascii="宋体" w:hAnsi="宋体" w:cs="宋体"/>
          <w:sz w:val="28"/>
          <w:szCs w:val="28"/>
          <w:highlight w:val="none"/>
        </w:rPr>
      </w:pPr>
      <w:r>
        <w:rPr>
          <w:rFonts w:hint="eastAsia" w:ascii="宋体" w:hAnsi="宋体" w:cs="宋体"/>
          <w:kern w:val="0"/>
          <w:sz w:val="28"/>
          <w:szCs w:val="28"/>
          <w:highlight w:val="none"/>
        </w:rPr>
        <w:t>（5）</w:t>
      </w:r>
      <w:r>
        <w:rPr>
          <w:rFonts w:hint="eastAsia" w:ascii="宋体" w:hAnsi="宋体" w:cs="宋体"/>
          <w:sz w:val="28"/>
          <w:szCs w:val="28"/>
          <w:highlight w:val="none"/>
        </w:rPr>
        <w:t>安装、培训及验收：</w:t>
      </w:r>
    </w:p>
    <w:p w14:paraId="74497EBE">
      <w:pPr>
        <w:tabs>
          <w:tab w:val="left" w:pos="0"/>
        </w:tabs>
        <w:autoSpaceDE w:val="0"/>
        <w:autoSpaceDN w:val="0"/>
        <w:adjustRightInd w:val="0"/>
        <w:spacing w:line="560" w:lineRule="exact"/>
        <w:ind w:firstLine="560" w:firstLineChars="200"/>
        <w:rPr>
          <w:rFonts w:ascii="宋体" w:hAnsi="宋体" w:cs="宋体"/>
          <w:sz w:val="28"/>
          <w:szCs w:val="28"/>
          <w:highlight w:val="none"/>
        </w:rPr>
      </w:pPr>
      <w:r>
        <w:rPr>
          <w:rFonts w:hint="eastAsia" w:ascii="宋体" w:hAnsi="宋体" w:cs="宋体"/>
          <w:sz w:val="28"/>
          <w:szCs w:val="28"/>
          <w:highlight w:val="none"/>
        </w:rPr>
        <w:t>（1）安装、培训：供应商免费送货上门，免费安装培训。按合同规定的时间内发货到甲方指定地点，并完成安装、调试与技术培训，交付甲方验收。免费提供视频培训或现场培训，内容包括仪器的基本原理、操作应用及仪器的维护保养知识，直到用户能正常使用和维护仪器。</w:t>
      </w:r>
    </w:p>
    <w:p w14:paraId="23F05AF3">
      <w:pPr>
        <w:tabs>
          <w:tab w:val="left" w:pos="0"/>
        </w:tabs>
        <w:autoSpaceDE w:val="0"/>
        <w:autoSpaceDN w:val="0"/>
        <w:adjustRightInd w:val="0"/>
        <w:spacing w:line="560" w:lineRule="exact"/>
        <w:ind w:firstLine="560" w:firstLineChars="200"/>
        <w:rPr>
          <w:rFonts w:ascii="宋体" w:hAnsi="宋体" w:cs="宋体"/>
          <w:sz w:val="28"/>
          <w:szCs w:val="28"/>
          <w:highlight w:val="none"/>
        </w:rPr>
      </w:pPr>
      <w:r>
        <w:rPr>
          <w:rFonts w:hint="eastAsia" w:ascii="宋体" w:hAnsi="宋体" w:cs="宋体"/>
          <w:sz w:val="28"/>
          <w:szCs w:val="28"/>
          <w:highlight w:val="none"/>
        </w:rPr>
        <w:t>（2）产品质量检验验收：</w:t>
      </w:r>
    </w:p>
    <w:p w14:paraId="66D69078">
      <w:pPr>
        <w:spacing w:line="560" w:lineRule="exact"/>
        <w:ind w:firstLine="560" w:firstLineChars="200"/>
        <w:rPr>
          <w:rFonts w:ascii="宋体" w:hAnsi="宋体" w:cs="宋体"/>
          <w:sz w:val="28"/>
          <w:szCs w:val="28"/>
          <w:highlight w:val="none"/>
        </w:rPr>
      </w:pPr>
      <w:r>
        <w:rPr>
          <w:rFonts w:hint="eastAsia" w:ascii="宋体" w:hAnsi="宋体" w:cs="宋体"/>
          <w:sz w:val="28"/>
          <w:szCs w:val="28"/>
          <w:highlight w:val="none"/>
        </w:rPr>
        <w:t>①产品出厂前，</w:t>
      </w:r>
      <w:r>
        <w:rPr>
          <w:rFonts w:hint="eastAsia" w:ascii="宋体" w:hAnsi="宋体" w:cs="宋体"/>
          <w:sz w:val="28"/>
          <w:szCs w:val="28"/>
          <w:highlight w:val="none"/>
          <w:lang w:val="en-US" w:eastAsia="zh-CN"/>
        </w:rPr>
        <w:t>成交</w:t>
      </w:r>
      <w:r>
        <w:rPr>
          <w:rFonts w:hint="eastAsia" w:ascii="宋体" w:hAnsi="宋体" w:cs="宋体"/>
          <w:sz w:val="28"/>
          <w:szCs w:val="28"/>
          <w:highlight w:val="none"/>
        </w:rPr>
        <w:t>供应商应当进行产品自检，验收合格后方可出厂。</w:t>
      </w:r>
    </w:p>
    <w:p w14:paraId="56BBD8C8">
      <w:pPr>
        <w:spacing w:line="560" w:lineRule="exact"/>
        <w:ind w:firstLine="560" w:firstLineChars="200"/>
        <w:rPr>
          <w:rFonts w:ascii="宋体" w:hAnsi="宋体" w:cs="宋体"/>
          <w:sz w:val="28"/>
          <w:szCs w:val="28"/>
          <w:highlight w:val="none"/>
        </w:rPr>
      </w:pPr>
      <w:r>
        <w:rPr>
          <w:rFonts w:hint="eastAsia" w:ascii="宋体" w:hAnsi="宋体" w:cs="宋体"/>
          <w:sz w:val="28"/>
          <w:szCs w:val="28"/>
          <w:highlight w:val="none"/>
        </w:rPr>
        <w:t>②产品出厂验收不合格，合同甲方有权拒收货物和解除采购合同，由此造成的损失，由中标供应商承担。出厂验收过程中，中标供应商可有1次整改机会，若第一次检验未通过，合同甲方将书面通知中标供应商限期整改，整改后进行第二次检验，检验合格后方可出厂。若第二次检验仍未通过的，合同甲方有权取消或解除采购合同，由此造成的损失，由中标供应商承担。</w:t>
      </w:r>
    </w:p>
    <w:p w14:paraId="56A5A5B5">
      <w:pPr>
        <w:spacing w:line="560" w:lineRule="exact"/>
        <w:ind w:firstLine="560" w:firstLineChars="200"/>
        <w:rPr>
          <w:rFonts w:ascii="宋体" w:hAnsi="宋体" w:cs="宋体"/>
          <w:sz w:val="28"/>
          <w:szCs w:val="28"/>
          <w:highlight w:val="none"/>
        </w:rPr>
      </w:pPr>
      <w:r>
        <w:rPr>
          <w:rFonts w:hint="eastAsia" w:ascii="宋体" w:hAnsi="宋体" w:cs="宋体"/>
          <w:sz w:val="28"/>
          <w:szCs w:val="28"/>
          <w:highlight w:val="none"/>
        </w:rPr>
        <w:t>③货物到达现场后，</w:t>
      </w:r>
      <w:r>
        <w:rPr>
          <w:rFonts w:hint="eastAsia" w:ascii="宋体" w:hAnsi="宋体" w:cs="宋体"/>
          <w:sz w:val="28"/>
          <w:szCs w:val="28"/>
          <w:highlight w:val="none"/>
          <w:lang w:val="en-US" w:eastAsia="zh-CN"/>
        </w:rPr>
        <w:t>成交</w:t>
      </w:r>
      <w:r>
        <w:rPr>
          <w:rFonts w:hint="eastAsia" w:ascii="宋体" w:hAnsi="宋体" w:cs="宋体"/>
          <w:sz w:val="28"/>
          <w:szCs w:val="28"/>
          <w:highlight w:val="none"/>
        </w:rPr>
        <w:t>供应商应及时通知采购人，向项目使用方申请验收；验收小组由采购人按规定组建。</w:t>
      </w:r>
    </w:p>
    <w:p w14:paraId="0D58CF11">
      <w:pPr>
        <w:spacing w:line="560" w:lineRule="exact"/>
        <w:ind w:firstLine="560" w:firstLineChars="200"/>
        <w:rPr>
          <w:rFonts w:ascii="宋体" w:hAnsi="宋体" w:cs="宋体"/>
          <w:sz w:val="28"/>
          <w:szCs w:val="28"/>
          <w:highlight w:val="none"/>
        </w:rPr>
      </w:pPr>
      <w:r>
        <w:rPr>
          <w:rFonts w:hint="eastAsia" w:ascii="宋体" w:hAnsi="宋体" w:cs="宋体"/>
          <w:sz w:val="28"/>
          <w:szCs w:val="28"/>
          <w:highlight w:val="none"/>
        </w:rPr>
        <w:t>④</w:t>
      </w:r>
      <w:r>
        <w:rPr>
          <w:rFonts w:hint="eastAsia" w:ascii="宋体" w:hAnsi="宋体" w:cs="宋体"/>
          <w:sz w:val="28"/>
          <w:szCs w:val="28"/>
          <w:highlight w:val="none"/>
          <w:lang w:val="en-US" w:eastAsia="zh-CN"/>
        </w:rPr>
        <w:t>成交</w:t>
      </w:r>
      <w:r>
        <w:rPr>
          <w:rFonts w:hint="eastAsia" w:ascii="宋体" w:hAnsi="宋体" w:cs="宋体"/>
          <w:sz w:val="28"/>
          <w:szCs w:val="28"/>
          <w:highlight w:val="none"/>
        </w:rPr>
        <w:t>供应商应提供包括但不限于产品说明书、维护手册、维修手册、软件光盘、故障代码表、备件清单、零部件、维修密码等在内的材料和信息。</w:t>
      </w:r>
    </w:p>
    <w:p w14:paraId="0F6DBFE1">
      <w:pPr>
        <w:pStyle w:val="17"/>
        <w:spacing w:line="560" w:lineRule="exact"/>
        <w:ind w:firstLine="560" w:firstLineChars="200"/>
        <w:rPr>
          <w:rFonts w:ascii="宋体" w:hAnsi="宋体" w:cs="宋体"/>
          <w:sz w:val="28"/>
          <w:szCs w:val="28"/>
          <w:highlight w:val="none"/>
        </w:rPr>
      </w:pPr>
      <w:r>
        <w:rPr>
          <w:rFonts w:hint="eastAsia" w:ascii="宋体" w:hAnsi="宋体" w:cs="宋体"/>
          <w:sz w:val="28"/>
          <w:szCs w:val="28"/>
          <w:highlight w:val="none"/>
        </w:rPr>
        <w:t>⑤验收标准按国际标准或国家标准或经双方协商认可的标准、合同要求及技术协议执行。</w:t>
      </w:r>
    </w:p>
    <w:p w14:paraId="6BFE16E5">
      <w:pPr>
        <w:spacing w:line="560" w:lineRule="exact"/>
        <w:ind w:firstLine="560" w:firstLineChars="200"/>
        <w:rPr>
          <w:rFonts w:ascii="宋体" w:hAnsi="宋体" w:cs="宋体"/>
          <w:sz w:val="28"/>
          <w:szCs w:val="28"/>
          <w:highlight w:val="none"/>
        </w:rPr>
      </w:pPr>
      <w:r>
        <w:rPr>
          <w:rFonts w:hint="eastAsia" w:ascii="宋体" w:hAnsi="宋体" w:cs="宋体"/>
          <w:sz w:val="28"/>
          <w:szCs w:val="28"/>
          <w:highlight w:val="none"/>
        </w:rPr>
        <w:t>⑥验收合格后，由验收小组和</w:t>
      </w:r>
      <w:r>
        <w:rPr>
          <w:rFonts w:hint="eastAsia" w:ascii="宋体" w:hAnsi="宋体" w:cs="宋体"/>
          <w:sz w:val="28"/>
          <w:szCs w:val="28"/>
          <w:highlight w:val="none"/>
          <w:lang w:val="en-US" w:eastAsia="zh-CN"/>
        </w:rPr>
        <w:t>成交</w:t>
      </w:r>
      <w:r>
        <w:rPr>
          <w:rFonts w:hint="eastAsia" w:ascii="宋体" w:hAnsi="宋体" w:cs="宋体"/>
          <w:sz w:val="28"/>
          <w:szCs w:val="28"/>
          <w:highlight w:val="none"/>
        </w:rPr>
        <w:t>供应商在验收报告上共同签字确认。验收不合格的，合同甲方不得办理价款支付手续，并有权取消采购合同，由此造成的损失，由中标供应商承担。</w:t>
      </w:r>
    </w:p>
    <w:p w14:paraId="310154A0">
      <w:pPr>
        <w:pStyle w:val="17"/>
        <w:spacing w:line="560" w:lineRule="exact"/>
        <w:ind w:firstLine="560" w:firstLineChars="200"/>
        <w:rPr>
          <w:rFonts w:ascii="宋体" w:hAnsi="宋体" w:cs="宋体"/>
          <w:sz w:val="28"/>
          <w:szCs w:val="28"/>
          <w:highlight w:val="none"/>
        </w:rPr>
      </w:pPr>
      <w:r>
        <w:rPr>
          <w:rFonts w:hint="eastAsia" w:ascii="宋体" w:hAnsi="宋体" w:cs="宋体"/>
          <w:sz w:val="28"/>
          <w:szCs w:val="28"/>
          <w:highlight w:val="none"/>
        </w:rPr>
        <w:t>⑦使用方在产品使用过程中，发现产品性能指标未达到要求的，</w:t>
      </w:r>
      <w:r>
        <w:rPr>
          <w:rFonts w:hint="eastAsia" w:ascii="宋体" w:hAnsi="宋体" w:cs="宋体"/>
          <w:sz w:val="28"/>
          <w:szCs w:val="28"/>
          <w:highlight w:val="none"/>
          <w:lang w:val="en-US" w:eastAsia="zh-CN"/>
        </w:rPr>
        <w:t>成交</w:t>
      </w:r>
      <w:r>
        <w:rPr>
          <w:rFonts w:hint="eastAsia" w:ascii="宋体" w:hAnsi="宋体" w:cs="宋体"/>
          <w:sz w:val="28"/>
          <w:szCs w:val="28"/>
          <w:highlight w:val="none"/>
        </w:rPr>
        <w:t>供应商按照需求方明确的整改期限（不超过1个月），可有1次整改机会，在规定期限内未整改完毕的，由此造成的损失，由</w:t>
      </w:r>
      <w:r>
        <w:rPr>
          <w:rFonts w:hint="eastAsia" w:ascii="宋体" w:hAnsi="宋体" w:cs="宋体"/>
          <w:sz w:val="28"/>
          <w:szCs w:val="28"/>
          <w:highlight w:val="none"/>
          <w:lang w:val="en-US" w:eastAsia="zh-CN"/>
        </w:rPr>
        <w:t>成交</w:t>
      </w:r>
      <w:r>
        <w:rPr>
          <w:rFonts w:hint="eastAsia" w:ascii="宋体" w:hAnsi="宋体" w:cs="宋体"/>
          <w:sz w:val="28"/>
          <w:szCs w:val="28"/>
          <w:highlight w:val="none"/>
        </w:rPr>
        <w:t>供应商承担。</w:t>
      </w:r>
    </w:p>
    <w:p w14:paraId="4C64915E">
      <w:pPr>
        <w:tabs>
          <w:tab w:val="left" w:pos="0"/>
        </w:tabs>
        <w:autoSpaceDE w:val="0"/>
        <w:autoSpaceDN w:val="0"/>
        <w:adjustRightInd w:val="0"/>
        <w:spacing w:line="560" w:lineRule="exact"/>
        <w:ind w:firstLine="560" w:firstLineChars="200"/>
        <w:rPr>
          <w:rFonts w:ascii="宋体" w:hAnsi="宋体" w:cs="宋体"/>
          <w:sz w:val="28"/>
          <w:szCs w:val="28"/>
          <w:highlight w:val="none"/>
        </w:rPr>
      </w:pPr>
      <w:r>
        <w:rPr>
          <w:rFonts w:hint="eastAsia" w:ascii="宋体" w:hAnsi="宋体" w:cs="宋体"/>
          <w:kern w:val="0"/>
          <w:sz w:val="28"/>
          <w:szCs w:val="28"/>
          <w:highlight w:val="none"/>
        </w:rPr>
        <w:t>（6）若</w:t>
      </w:r>
      <w:r>
        <w:rPr>
          <w:rFonts w:hint="eastAsia" w:ascii="宋体" w:hAnsi="宋体" w:cs="宋体"/>
          <w:sz w:val="28"/>
          <w:szCs w:val="28"/>
          <w:highlight w:val="none"/>
        </w:rPr>
        <w:t>此次招标设备需配套使用耗材（试剂），耗材（试剂）需要一并进行报价，纳入计算经济分（如有）。</w:t>
      </w:r>
    </w:p>
    <w:p w14:paraId="5EB96EBD">
      <w:pPr>
        <w:tabs>
          <w:tab w:val="left" w:pos="0"/>
        </w:tabs>
        <w:autoSpaceDE w:val="0"/>
        <w:autoSpaceDN w:val="0"/>
        <w:adjustRightInd w:val="0"/>
        <w:spacing w:line="560" w:lineRule="exact"/>
        <w:ind w:firstLine="560" w:firstLineChars="200"/>
        <w:rPr>
          <w:rFonts w:hint="eastAsia" w:ascii="宋体" w:hAnsi="宋体" w:cs="宋体"/>
          <w:sz w:val="28"/>
          <w:szCs w:val="28"/>
          <w:highlight w:val="none"/>
        </w:rPr>
      </w:pPr>
      <w:r>
        <w:rPr>
          <w:rFonts w:hint="eastAsia" w:ascii="宋体" w:hAnsi="宋体" w:cs="宋体"/>
          <w:kern w:val="0"/>
          <w:sz w:val="28"/>
          <w:szCs w:val="28"/>
          <w:highlight w:val="none"/>
        </w:rPr>
        <w:t>（7）若</w:t>
      </w:r>
      <w:r>
        <w:rPr>
          <w:rFonts w:hint="eastAsia" w:ascii="宋体" w:hAnsi="宋体" w:cs="宋体"/>
          <w:sz w:val="28"/>
          <w:szCs w:val="28"/>
          <w:highlight w:val="none"/>
          <w:lang w:val="en-US" w:eastAsia="zh-CN"/>
        </w:rPr>
        <w:t>成交</w:t>
      </w:r>
      <w:r>
        <w:rPr>
          <w:rFonts w:hint="eastAsia" w:ascii="宋体" w:hAnsi="宋体" w:cs="宋体"/>
          <w:sz w:val="28"/>
          <w:szCs w:val="28"/>
          <w:highlight w:val="none"/>
        </w:rPr>
        <w:t>供应商在中标后将本次招标设备所需配套使用耗材（试剂）在采购单位驻地药交所平台挂网，且本次报价不高于挂网价。否则不予签订设备采购合同（如有）。</w:t>
      </w:r>
    </w:p>
    <w:p w14:paraId="491F9BAB">
      <w:pPr>
        <w:tabs>
          <w:tab w:val="left" w:pos="0"/>
        </w:tabs>
        <w:autoSpaceDE w:val="0"/>
        <w:autoSpaceDN w:val="0"/>
        <w:adjustRightInd w:val="0"/>
        <w:spacing w:line="560" w:lineRule="exact"/>
        <w:ind w:firstLine="560"/>
        <w:rPr>
          <w:rFonts w:ascii="宋体" w:hAnsi="宋体"/>
          <w:bCs/>
          <w:sz w:val="28"/>
          <w:szCs w:val="28"/>
          <w:highlight w:val="none"/>
          <w:lang w:val="zh-CN"/>
        </w:rPr>
      </w:pPr>
      <w:r>
        <w:rPr>
          <w:rFonts w:hint="eastAsia" w:ascii="宋体" w:hAnsi="宋体" w:eastAsia="宋体" w:cs="宋体"/>
          <w:kern w:val="0"/>
          <w:sz w:val="28"/>
          <w:szCs w:val="28"/>
          <w:highlight w:val="none"/>
          <w:lang w:val="en-US" w:eastAsia="zh-CN" w:bidi="ar-SA"/>
        </w:rPr>
        <w:t>（</w:t>
      </w:r>
      <w:r>
        <w:rPr>
          <w:rFonts w:hint="eastAsia" w:ascii="宋体" w:hAnsi="宋体" w:cs="宋体"/>
          <w:kern w:val="0"/>
          <w:sz w:val="28"/>
          <w:szCs w:val="28"/>
          <w:highlight w:val="none"/>
          <w:lang w:val="en-US" w:eastAsia="zh-CN" w:bidi="ar-SA"/>
        </w:rPr>
        <w:t>8</w:t>
      </w:r>
      <w:r>
        <w:rPr>
          <w:rFonts w:hint="eastAsia" w:ascii="宋体" w:hAnsi="宋体" w:eastAsia="宋体" w:cs="宋体"/>
          <w:kern w:val="0"/>
          <w:sz w:val="28"/>
          <w:szCs w:val="28"/>
          <w:highlight w:val="none"/>
          <w:lang w:val="en-US" w:eastAsia="zh-CN" w:bidi="ar-SA"/>
        </w:rPr>
        <w:t>）</w:t>
      </w:r>
      <w:r>
        <w:rPr>
          <w:rFonts w:hint="eastAsia" w:ascii="宋体" w:hAnsi="宋体" w:eastAsia="宋体" w:cs="宋体"/>
          <w:sz w:val="28"/>
          <w:szCs w:val="28"/>
          <w:highlight w:val="none"/>
        </w:rPr>
        <w:t>本次投标中未提供产品授权委托书（国产产品），</w:t>
      </w:r>
      <w:r>
        <w:rPr>
          <w:rFonts w:hint="eastAsia" w:ascii="宋体" w:hAnsi="宋体" w:eastAsia="宋体" w:cs="宋体"/>
          <w:sz w:val="28"/>
          <w:szCs w:val="28"/>
          <w:highlight w:val="none"/>
          <w:lang w:val="zh-CN"/>
        </w:rPr>
        <w:t>为保证售后服务质量，中标人须在合同签订前提供生产厂家对所投产品的授权委托书，如无法提供则做废标处理</w:t>
      </w:r>
      <w:r>
        <w:rPr>
          <w:rFonts w:hint="eastAsia" w:ascii="宋体" w:hAnsi="宋体" w:eastAsia="宋体" w:cs="宋体"/>
          <w:sz w:val="28"/>
          <w:szCs w:val="28"/>
          <w:highlight w:val="none"/>
        </w:rPr>
        <w:t>,经核查发现违规问题，将按照相关规定进行处罚</w:t>
      </w:r>
      <w:r>
        <w:rPr>
          <w:rFonts w:hint="eastAsia" w:ascii="宋体" w:hAnsi="宋体" w:eastAsia="宋体" w:cs="宋体"/>
          <w:sz w:val="28"/>
          <w:szCs w:val="28"/>
          <w:highlight w:val="none"/>
          <w:lang w:val="zh-CN"/>
        </w:rPr>
        <w:t>（书面承诺）。</w:t>
      </w:r>
    </w:p>
    <w:p w14:paraId="293F2EF3">
      <w:pPr>
        <w:pStyle w:val="114"/>
        <w:spacing w:line="560" w:lineRule="exact"/>
        <w:ind w:firstLine="560"/>
        <w:rPr>
          <w:bCs/>
          <w:sz w:val="28"/>
          <w:szCs w:val="28"/>
          <w:highlight w:val="none"/>
        </w:rPr>
      </w:pPr>
      <w:r>
        <w:rPr>
          <w:rFonts w:ascii="宋体" w:hAnsi="宋体"/>
          <w:bCs/>
          <w:sz w:val="28"/>
          <w:szCs w:val="28"/>
          <w:highlight w:val="none"/>
          <w:lang w:val="zh-CN"/>
        </w:rPr>
        <w:t>★</w:t>
      </w:r>
      <w:r>
        <w:rPr>
          <w:rFonts w:hAnsi="宋体"/>
          <w:bCs/>
          <w:sz w:val="28"/>
          <w:szCs w:val="28"/>
          <w:highlight w:val="none"/>
          <w:lang w:val="zh-CN"/>
        </w:rPr>
        <w:t>（</w:t>
      </w:r>
      <w:r>
        <w:rPr>
          <w:rFonts w:hint="eastAsia" w:hAnsi="宋体"/>
          <w:bCs/>
          <w:sz w:val="28"/>
          <w:szCs w:val="28"/>
          <w:highlight w:val="none"/>
        </w:rPr>
        <w:t>四</w:t>
      </w:r>
      <w:r>
        <w:rPr>
          <w:rFonts w:hAnsi="宋体"/>
          <w:bCs/>
          <w:sz w:val="28"/>
          <w:szCs w:val="28"/>
          <w:highlight w:val="none"/>
          <w:lang w:val="zh-CN"/>
        </w:rPr>
        <w:t>）</w:t>
      </w:r>
      <w:r>
        <w:rPr>
          <w:rFonts w:hint="eastAsia" w:hAnsi="宋体"/>
          <w:bCs/>
          <w:sz w:val="28"/>
          <w:szCs w:val="28"/>
          <w:highlight w:val="none"/>
        </w:rPr>
        <w:t>知识产权</w:t>
      </w:r>
      <w:r>
        <w:rPr>
          <w:rFonts w:hAnsi="宋体"/>
          <w:bCs/>
          <w:sz w:val="28"/>
          <w:szCs w:val="28"/>
          <w:highlight w:val="none"/>
        </w:rPr>
        <w:t>和保密要求</w:t>
      </w:r>
    </w:p>
    <w:p w14:paraId="71FFC239">
      <w:pPr>
        <w:pStyle w:val="114"/>
        <w:spacing w:line="560" w:lineRule="exact"/>
        <w:ind w:firstLine="560"/>
        <w:rPr>
          <w:bCs/>
          <w:sz w:val="28"/>
          <w:szCs w:val="28"/>
          <w:highlight w:val="none"/>
          <w:lang w:val="zh-CN"/>
        </w:rPr>
      </w:pPr>
      <w:r>
        <w:rPr>
          <w:rFonts w:hint="eastAsia"/>
          <w:bCs/>
          <w:sz w:val="28"/>
          <w:szCs w:val="28"/>
          <w:highlight w:val="none"/>
          <w:lang w:val="zh-CN"/>
        </w:rPr>
        <w:t>投标供应商应当保证采购单位在使用该物资或其任何一部分时，不受第三方侵权指控。同时，投标供应商不得向第三方泄露采购机构提供的技术文件等</w:t>
      </w:r>
      <w:r>
        <w:rPr>
          <w:rFonts w:hint="eastAsia" w:ascii="宋体" w:hAnsi="宋体"/>
          <w:bCs/>
          <w:sz w:val="28"/>
          <w:szCs w:val="28"/>
          <w:highlight w:val="none"/>
        </w:rPr>
        <w:t>材料</w:t>
      </w:r>
      <w:r>
        <w:rPr>
          <w:rFonts w:hint="eastAsia"/>
          <w:bCs/>
          <w:sz w:val="28"/>
          <w:szCs w:val="28"/>
          <w:highlight w:val="none"/>
          <w:lang w:val="zh-CN"/>
        </w:rPr>
        <w:t>。</w:t>
      </w:r>
    </w:p>
    <w:p w14:paraId="3FE36F01">
      <w:pPr>
        <w:pStyle w:val="114"/>
        <w:spacing w:line="560" w:lineRule="exact"/>
        <w:ind w:firstLine="560"/>
        <w:rPr>
          <w:bCs/>
          <w:sz w:val="28"/>
          <w:szCs w:val="28"/>
          <w:highlight w:val="none"/>
          <w:lang w:val="zh-CN"/>
        </w:rPr>
      </w:pPr>
      <w:r>
        <w:rPr>
          <w:rFonts w:hint="eastAsia"/>
          <w:bCs/>
          <w:sz w:val="28"/>
          <w:szCs w:val="28"/>
          <w:highlight w:val="none"/>
          <w:lang w:val="zh-CN"/>
        </w:rPr>
        <w:t>基于项目合同履行形成的知识产权和其他权益，其权属归采购单位所有，法律另有规定的除外。</w:t>
      </w:r>
    </w:p>
    <w:p w14:paraId="417AD4D0">
      <w:pPr>
        <w:pStyle w:val="114"/>
        <w:spacing w:line="560" w:lineRule="exact"/>
        <w:ind w:firstLine="560"/>
        <w:rPr>
          <w:rFonts w:ascii="宋体" w:hAnsi="宋体"/>
          <w:bCs/>
          <w:sz w:val="28"/>
          <w:szCs w:val="28"/>
          <w:highlight w:val="none"/>
          <w:lang w:val="zh-CN"/>
        </w:rPr>
      </w:pPr>
      <w:r>
        <w:rPr>
          <w:rFonts w:hint="eastAsia" w:ascii="宋体" w:hAnsi="宋体"/>
          <w:bCs/>
          <w:sz w:val="28"/>
          <w:szCs w:val="28"/>
          <w:highlight w:val="none"/>
          <w:lang w:val="zh-CN"/>
        </w:rPr>
        <w:t>★</w:t>
      </w:r>
      <w:r>
        <w:rPr>
          <w:rFonts w:ascii="宋体" w:hAnsi="宋体"/>
          <w:bCs/>
          <w:sz w:val="28"/>
          <w:szCs w:val="28"/>
          <w:highlight w:val="none"/>
          <w:lang w:val="zh-CN"/>
        </w:rPr>
        <w:t>（</w:t>
      </w:r>
      <w:r>
        <w:rPr>
          <w:rFonts w:hint="eastAsia" w:ascii="宋体" w:hAnsi="宋体"/>
          <w:bCs/>
          <w:sz w:val="28"/>
          <w:szCs w:val="28"/>
          <w:highlight w:val="none"/>
          <w:lang w:val="zh-CN"/>
        </w:rPr>
        <w:t>五</w:t>
      </w:r>
      <w:r>
        <w:rPr>
          <w:rFonts w:ascii="宋体" w:hAnsi="宋体"/>
          <w:bCs/>
          <w:sz w:val="28"/>
          <w:szCs w:val="28"/>
          <w:highlight w:val="none"/>
          <w:lang w:val="zh-CN"/>
        </w:rPr>
        <w:t>）</w:t>
      </w:r>
      <w:r>
        <w:rPr>
          <w:rFonts w:hint="eastAsia" w:ascii="宋体" w:hAnsi="宋体"/>
          <w:bCs/>
          <w:sz w:val="28"/>
          <w:szCs w:val="28"/>
          <w:highlight w:val="none"/>
          <w:lang w:val="zh-CN"/>
        </w:rPr>
        <w:t>物资编目编码、打码贴签</w:t>
      </w:r>
      <w:r>
        <w:rPr>
          <w:rFonts w:ascii="宋体" w:hAnsi="宋体"/>
          <w:bCs/>
          <w:sz w:val="28"/>
          <w:szCs w:val="28"/>
          <w:highlight w:val="none"/>
          <w:lang w:val="zh-CN"/>
        </w:rPr>
        <w:t>要求</w:t>
      </w:r>
    </w:p>
    <w:p w14:paraId="724A88F1">
      <w:pPr>
        <w:pStyle w:val="114"/>
        <w:spacing w:line="560" w:lineRule="exact"/>
        <w:ind w:firstLine="560"/>
        <w:rPr>
          <w:rFonts w:ascii="宋体" w:hAnsi="宋体"/>
          <w:bCs/>
          <w:sz w:val="28"/>
          <w:szCs w:val="28"/>
          <w:highlight w:val="none"/>
          <w:lang w:val="zh-CN"/>
        </w:rPr>
      </w:pPr>
      <w:r>
        <w:rPr>
          <w:rFonts w:hint="eastAsia" w:ascii="宋体" w:hAnsi="宋体"/>
          <w:bCs/>
          <w:sz w:val="28"/>
          <w:szCs w:val="28"/>
          <w:highlight w:val="none"/>
          <w:lang w:val="zh-CN"/>
        </w:rPr>
        <w:t>本项目对物资的编目编码、打码贴签要求，投标供应商应当予以明确响应，相关费用包含在报价中。</w:t>
      </w:r>
    </w:p>
    <w:p w14:paraId="2DCF94DA">
      <w:pPr>
        <w:pStyle w:val="114"/>
        <w:spacing w:line="560" w:lineRule="atLeast"/>
        <w:ind w:firstLine="560"/>
        <w:rPr>
          <w:rFonts w:ascii="宋体" w:hAnsi="宋体"/>
          <w:bCs/>
          <w:sz w:val="28"/>
          <w:szCs w:val="28"/>
          <w:highlight w:val="none"/>
          <w:lang w:val="zh-CN"/>
        </w:rPr>
      </w:pPr>
      <w:r>
        <w:rPr>
          <w:rFonts w:hint="eastAsia" w:ascii="宋体" w:hAnsi="宋体"/>
          <w:bCs/>
          <w:sz w:val="28"/>
          <w:szCs w:val="28"/>
          <w:highlight w:val="none"/>
          <w:lang w:val="zh-CN"/>
        </w:rPr>
        <w:t>★（</w:t>
      </w:r>
      <w:r>
        <w:rPr>
          <w:rFonts w:hint="eastAsia" w:ascii="宋体" w:hAnsi="宋体"/>
          <w:bCs/>
          <w:sz w:val="28"/>
          <w:szCs w:val="28"/>
          <w:highlight w:val="none"/>
        </w:rPr>
        <w:t>六</w:t>
      </w:r>
      <w:r>
        <w:rPr>
          <w:rFonts w:hint="eastAsia" w:ascii="宋体" w:hAnsi="宋体"/>
          <w:bCs/>
          <w:sz w:val="28"/>
          <w:szCs w:val="28"/>
          <w:highlight w:val="none"/>
          <w:lang w:val="zh-CN"/>
        </w:rPr>
        <w:t>）付款及结算方式</w:t>
      </w:r>
    </w:p>
    <w:p w14:paraId="364AB679">
      <w:pPr>
        <w:pStyle w:val="114"/>
        <w:spacing w:line="560" w:lineRule="exact"/>
        <w:ind w:firstLine="560"/>
        <w:rPr>
          <w:bCs/>
          <w:sz w:val="28"/>
          <w:szCs w:val="28"/>
          <w:highlight w:val="none"/>
          <w:lang w:val="zh-CN"/>
        </w:rPr>
      </w:pPr>
      <w:r>
        <w:rPr>
          <w:rFonts w:hint="eastAsia" w:ascii="宋体" w:hAnsi="宋体"/>
          <w:bCs/>
          <w:sz w:val="28"/>
          <w:szCs w:val="28"/>
          <w:highlight w:val="none"/>
          <w:lang w:val="zh-CN"/>
        </w:rPr>
        <w:t>本项目不预付货款，</w:t>
      </w:r>
      <w:r>
        <w:rPr>
          <w:rFonts w:hint="eastAsia"/>
          <w:bCs/>
          <w:sz w:val="28"/>
          <w:szCs w:val="28"/>
          <w:highlight w:val="none"/>
          <w:lang w:val="zh-CN"/>
        </w:rPr>
        <w:t>物资运达指定地点验收合格后，中标供应商收集发运接收单、发票、验收报告等</w:t>
      </w:r>
      <w:r>
        <w:rPr>
          <w:rFonts w:hint="eastAsia" w:ascii="宋体" w:hAnsi="宋体"/>
          <w:bCs/>
          <w:sz w:val="28"/>
          <w:szCs w:val="28"/>
          <w:highlight w:val="none"/>
        </w:rPr>
        <w:t>材料</w:t>
      </w:r>
      <w:r>
        <w:rPr>
          <w:rFonts w:hint="eastAsia"/>
          <w:bCs/>
          <w:sz w:val="28"/>
          <w:szCs w:val="28"/>
          <w:highlight w:val="none"/>
          <w:lang w:val="zh-CN"/>
        </w:rPr>
        <w:t>，提交采购单位办理结算手续，采购单位办理结算手续后按照合同金额的</w:t>
      </w:r>
      <w:r>
        <w:rPr>
          <w:rFonts w:hint="eastAsia"/>
          <w:bCs/>
          <w:sz w:val="28"/>
          <w:szCs w:val="28"/>
          <w:highlight w:val="none"/>
          <w:u w:val="single"/>
          <w:lang w:val="zh-CN"/>
        </w:rPr>
        <w:t xml:space="preserve"> </w:t>
      </w:r>
      <w:r>
        <w:rPr>
          <w:rFonts w:hint="eastAsia"/>
          <w:bCs/>
          <w:sz w:val="28"/>
          <w:szCs w:val="28"/>
          <w:highlight w:val="none"/>
          <w:u w:val="single"/>
          <w:lang w:val="en-US" w:eastAsia="zh-CN"/>
        </w:rPr>
        <w:t xml:space="preserve"> 95%</w:t>
      </w:r>
      <w:r>
        <w:rPr>
          <w:rFonts w:hint="eastAsia"/>
          <w:bCs/>
          <w:sz w:val="28"/>
          <w:szCs w:val="28"/>
          <w:highlight w:val="none"/>
          <w:u w:val="single"/>
          <w:lang w:val="zh-CN"/>
        </w:rPr>
        <w:t xml:space="preserve">  </w:t>
      </w:r>
      <w:r>
        <w:rPr>
          <w:rFonts w:hint="eastAsia"/>
          <w:bCs/>
          <w:sz w:val="28"/>
          <w:szCs w:val="28"/>
          <w:highlight w:val="none"/>
          <w:lang w:val="zh-CN"/>
        </w:rPr>
        <w:t>向乙方支付货款。</w:t>
      </w:r>
    </w:p>
    <w:p w14:paraId="0EE55684">
      <w:pPr>
        <w:pStyle w:val="114"/>
        <w:spacing w:line="560" w:lineRule="exact"/>
        <w:ind w:firstLine="560"/>
        <w:rPr>
          <w:rFonts w:ascii="宋体" w:hAnsi="宋体"/>
          <w:bCs/>
          <w:sz w:val="28"/>
          <w:szCs w:val="28"/>
          <w:highlight w:val="none"/>
          <w:lang w:val="zh-CN"/>
        </w:rPr>
      </w:pPr>
      <w:r>
        <w:rPr>
          <w:rFonts w:ascii="宋体" w:hAnsi="宋体"/>
          <w:bCs/>
          <w:sz w:val="28"/>
          <w:szCs w:val="28"/>
          <w:highlight w:val="none"/>
          <w:lang w:val="zh-CN"/>
        </w:rPr>
        <w:t>★</w:t>
      </w:r>
      <w:r>
        <w:rPr>
          <w:rFonts w:hint="eastAsia" w:ascii="宋体" w:hAnsi="宋体"/>
          <w:bCs/>
          <w:sz w:val="28"/>
          <w:szCs w:val="28"/>
          <w:highlight w:val="none"/>
          <w:lang w:val="zh-CN"/>
        </w:rPr>
        <w:t>（七）履约保证金和质量保证金</w:t>
      </w:r>
    </w:p>
    <w:p w14:paraId="144F7DBA">
      <w:pPr>
        <w:snapToGrid w:val="0"/>
        <w:spacing w:line="560" w:lineRule="exact"/>
        <w:ind w:firstLine="560" w:firstLineChars="200"/>
        <w:rPr>
          <w:rFonts w:ascii="宋体" w:hAnsi="宋体"/>
          <w:bCs/>
          <w:snapToGrid w:val="0"/>
          <w:sz w:val="28"/>
          <w:szCs w:val="28"/>
          <w:highlight w:val="none"/>
        </w:rPr>
      </w:pPr>
      <w:r>
        <w:rPr>
          <w:rFonts w:hint="eastAsia" w:ascii="宋体" w:hAnsi="宋体"/>
          <w:bCs/>
          <w:snapToGrid w:val="0"/>
          <w:sz w:val="28"/>
          <w:szCs w:val="28"/>
          <w:highlight w:val="none"/>
        </w:rPr>
        <w:t>本项目不收取履约保证金。合同履行货物验收合格后，</w:t>
      </w:r>
      <w:r>
        <w:rPr>
          <w:rFonts w:hint="eastAsia" w:ascii="宋体" w:hAnsi="宋体" w:cs="宋体"/>
          <w:sz w:val="28"/>
          <w:szCs w:val="28"/>
          <w:highlight w:val="none"/>
          <w:lang w:val="zh-CN"/>
        </w:rPr>
        <w:t>预留质量保证金为合同总金额的5%</w:t>
      </w:r>
      <w:r>
        <w:rPr>
          <w:rFonts w:hint="eastAsia" w:ascii="宋体" w:hAnsi="宋体"/>
          <w:bCs/>
          <w:snapToGrid w:val="0"/>
          <w:sz w:val="28"/>
          <w:szCs w:val="28"/>
          <w:highlight w:val="none"/>
        </w:rPr>
        <w:t>，</w:t>
      </w:r>
      <w:r>
        <w:rPr>
          <w:rFonts w:hint="eastAsia" w:ascii="宋体" w:hAnsi="宋体" w:cs="宋体"/>
          <w:sz w:val="28"/>
          <w:szCs w:val="28"/>
          <w:highlight w:val="none"/>
          <w:lang w:val="zh-CN"/>
        </w:rPr>
        <w:t>乙方交付验收合格的货物正常运行满一年后</w:t>
      </w:r>
      <w:r>
        <w:rPr>
          <w:rFonts w:hint="eastAsia" w:ascii="宋体" w:hAnsi="宋体"/>
          <w:bCs/>
          <w:snapToGrid w:val="0"/>
          <w:sz w:val="28"/>
          <w:szCs w:val="28"/>
          <w:highlight w:val="none"/>
        </w:rPr>
        <w:t>全额无息退还。</w:t>
      </w:r>
    </w:p>
    <w:p w14:paraId="2EF42A9A">
      <w:pPr>
        <w:pStyle w:val="114"/>
        <w:spacing w:line="560" w:lineRule="exact"/>
        <w:ind w:firstLine="560"/>
        <w:rPr>
          <w:rFonts w:ascii="宋体" w:hAnsi="宋体" w:cs="宋体"/>
          <w:sz w:val="28"/>
          <w:szCs w:val="28"/>
          <w:highlight w:val="none"/>
          <w:lang w:val="zh-CN"/>
        </w:rPr>
      </w:pPr>
      <w:r>
        <w:rPr>
          <w:rFonts w:hint="eastAsia" w:ascii="宋体" w:hAnsi="宋体" w:cs="宋体"/>
          <w:sz w:val="28"/>
          <w:szCs w:val="28"/>
          <w:highlight w:val="none"/>
          <w:lang w:val="zh-CN"/>
        </w:rPr>
        <w:t>★</w:t>
      </w:r>
      <w:r>
        <w:rPr>
          <w:rFonts w:hint="eastAsia" w:ascii="宋体" w:hAnsi="宋体"/>
          <w:bCs/>
          <w:snapToGrid w:val="0"/>
          <w:sz w:val="28"/>
          <w:szCs w:val="28"/>
          <w:highlight w:val="none"/>
        </w:rPr>
        <w:t>（八）</w:t>
      </w:r>
      <w:r>
        <w:rPr>
          <w:rFonts w:hint="eastAsia" w:ascii="宋体" w:hAnsi="宋体" w:cs="宋体"/>
          <w:sz w:val="28"/>
          <w:szCs w:val="28"/>
          <w:highlight w:val="none"/>
          <w:lang w:val="zh-CN"/>
        </w:rPr>
        <w:t>价格复核要求</w:t>
      </w:r>
    </w:p>
    <w:p w14:paraId="70D64630">
      <w:pPr>
        <w:pStyle w:val="114"/>
        <w:spacing w:line="560" w:lineRule="exact"/>
        <w:ind w:firstLine="560"/>
        <w:rPr>
          <w:rFonts w:ascii="宋体" w:hAnsi="宋体" w:cs="宋体"/>
          <w:sz w:val="28"/>
          <w:szCs w:val="28"/>
          <w:highlight w:val="none"/>
          <w:lang w:val="zh-CN"/>
        </w:rPr>
      </w:pPr>
      <w:r>
        <w:rPr>
          <w:rFonts w:hint="eastAsia" w:ascii="宋体" w:hAnsi="宋体" w:cs="宋体"/>
          <w:sz w:val="28"/>
          <w:szCs w:val="28"/>
          <w:highlight w:val="none"/>
        </w:rPr>
        <w:t>1.</w:t>
      </w:r>
      <w:r>
        <w:rPr>
          <w:rFonts w:hint="eastAsia" w:ascii="宋体" w:hAnsi="宋体" w:cs="宋体"/>
          <w:sz w:val="28"/>
          <w:szCs w:val="28"/>
          <w:highlight w:val="none"/>
          <w:lang w:val="zh-CN"/>
        </w:rPr>
        <w:t>本项目成交价格需经价格复核，最终成交价格以复核结果为准。价格复核过程中，如需提供有关证明材料，投标供应商应在收到通知之日起，3个工作日内提供真实、完整、有效的支撑材料。超过时限仍未提供的，采购人有权作废标处理，同时对其进行处罚；如投标供应商提供虚假材料，一经查实，采购人一律视作虚假投标进行处理。</w:t>
      </w:r>
    </w:p>
    <w:p w14:paraId="53D173A4">
      <w:pPr>
        <w:pStyle w:val="114"/>
        <w:spacing w:line="560" w:lineRule="exact"/>
        <w:ind w:firstLine="560"/>
        <w:rPr>
          <w:rFonts w:ascii="宋体" w:hAnsi="宋体"/>
          <w:bCs/>
          <w:snapToGrid w:val="0"/>
          <w:sz w:val="28"/>
          <w:szCs w:val="28"/>
          <w:highlight w:val="none"/>
        </w:rPr>
      </w:pPr>
      <w:r>
        <w:rPr>
          <w:rFonts w:hint="eastAsia" w:ascii="宋体" w:hAnsi="宋体" w:cs="宋体"/>
          <w:sz w:val="28"/>
          <w:szCs w:val="28"/>
          <w:highlight w:val="none"/>
        </w:rPr>
        <w:t>2.</w:t>
      </w:r>
      <w:r>
        <w:rPr>
          <w:rFonts w:hint="eastAsia" w:ascii="宋体" w:hAnsi="宋体" w:cs="宋体"/>
          <w:sz w:val="28"/>
          <w:szCs w:val="28"/>
          <w:highlight w:val="none"/>
          <w:lang w:val="zh-CN"/>
        </w:rPr>
        <w:t>如成交产品为特殊定制类或国内市场无销售记录，采购人可根据项目情况，先签订采购合同，待验收合格后开展价格复核。</w:t>
      </w:r>
    </w:p>
    <w:p w14:paraId="2FA116D5">
      <w:pPr>
        <w:pStyle w:val="114"/>
        <w:spacing w:line="560" w:lineRule="exact"/>
        <w:ind w:left="0" w:firstLine="560" w:firstLineChars="200"/>
        <w:rPr>
          <w:rFonts w:hint="eastAsia" w:ascii="宋体" w:hAnsi="宋体" w:eastAsia="宋体" w:cs="宋体"/>
          <w:sz w:val="28"/>
          <w:szCs w:val="28"/>
          <w:highlight w:val="none"/>
          <w:lang w:val="zh-CN" w:eastAsia="zh-CN"/>
        </w:rPr>
      </w:pPr>
    </w:p>
    <w:p w14:paraId="4D3B8C29">
      <w:pPr>
        <w:rPr>
          <w:rFonts w:hint="eastAsia" w:ascii="宋体" w:hAnsi="宋体" w:eastAsia="宋体" w:cs="宋体"/>
          <w:sz w:val="28"/>
          <w:szCs w:val="28"/>
          <w:highlight w:val="none"/>
          <w:lang w:val="zh-CN" w:eastAsia="zh-CN"/>
        </w:rPr>
      </w:pPr>
      <w:r>
        <w:rPr>
          <w:rFonts w:hint="eastAsia" w:ascii="宋体" w:hAnsi="宋体" w:eastAsia="宋体" w:cs="宋体"/>
          <w:sz w:val="28"/>
          <w:szCs w:val="28"/>
          <w:highlight w:val="none"/>
          <w:lang w:val="zh-CN" w:eastAsia="zh-CN"/>
        </w:rPr>
        <w:br w:type="page"/>
      </w:r>
    </w:p>
    <w:p w14:paraId="3A7186A7">
      <w:pPr>
        <w:pStyle w:val="5"/>
        <w:spacing w:before="0" w:after="0" w:line="560" w:lineRule="exact"/>
        <w:rPr>
          <w:rFonts w:hint="eastAsia" w:ascii="黑体" w:hAnsi="黑体" w:cs="黑体"/>
          <w:b w:val="0"/>
          <w:sz w:val="28"/>
          <w:szCs w:val="28"/>
          <w:highlight w:val="none"/>
        </w:rPr>
      </w:pPr>
      <w:bookmarkStart w:id="961" w:name="_Toc714"/>
      <w:bookmarkStart w:id="962" w:name="_Toc6735"/>
      <w:bookmarkStart w:id="963" w:name="_Toc17169"/>
      <w:bookmarkStart w:id="964" w:name="_Toc28174"/>
      <w:bookmarkStart w:id="965" w:name="_Toc18749"/>
      <w:bookmarkStart w:id="966" w:name="_Toc22362"/>
      <w:r>
        <w:rPr>
          <w:rFonts w:hint="eastAsia" w:ascii="黑体" w:hAnsi="黑体" w:cs="黑体"/>
          <w:b w:val="0"/>
          <w:sz w:val="28"/>
          <w:szCs w:val="28"/>
          <w:highlight w:val="none"/>
        </w:rPr>
        <w:t>二、技术要求</w:t>
      </w:r>
      <w:bookmarkEnd w:id="955"/>
      <w:bookmarkEnd w:id="956"/>
      <w:bookmarkEnd w:id="957"/>
      <w:bookmarkEnd w:id="958"/>
      <w:bookmarkEnd w:id="959"/>
      <w:bookmarkEnd w:id="960"/>
      <w:bookmarkEnd w:id="961"/>
      <w:bookmarkEnd w:id="962"/>
      <w:bookmarkEnd w:id="963"/>
      <w:bookmarkEnd w:id="964"/>
      <w:bookmarkEnd w:id="965"/>
      <w:bookmarkEnd w:id="966"/>
    </w:p>
    <w:p w14:paraId="537FC3D5">
      <w:pPr>
        <w:pStyle w:val="5"/>
        <w:keepNext/>
        <w:keepLines/>
        <w:spacing w:before="157" w:beforeLines="50" w:after="157" w:afterLines="50" w:line="560" w:lineRule="exact"/>
        <w:rPr>
          <w:rFonts w:hint="eastAsia" w:ascii="黑体" w:hAnsi="黑体" w:eastAsia="黑体" w:cs="黑体"/>
          <w:b w:val="0"/>
          <w:sz w:val="28"/>
          <w:szCs w:val="28"/>
          <w:highlight w:val="none"/>
          <w:lang w:val="en-US" w:eastAsia="zh-CN"/>
        </w:rPr>
      </w:pPr>
      <w:bookmarkStart w:id="967" w:name="_Toc11028"/>
      <w:bookmarkStart w:id="968" w:name="_Toc1995"/>
      <w:bookmarkStart w:id="969" w:name="_Toc19754"/>
      <w:bookmarkStart w:id="970" w:name="_Toc24630"/>
      <w:bookmarkStart w:id="971" w:name="_Toc9273"/>
      <w:bookmarkStart w:id="972" w:name="_Toc27260"/>
      <w:bookmarkStart w:id="973" w:name="_Toc3150"/>
      <w:bookmarkStart w:id="974" w:name="_Toc6288"/>
      <w:bookmarkStart w:id="975" w:name="_Toc8947"/>
      <w:bookmarkStart w:id="976" w:name="_Toc27137"/>
      <w:r>
        <w:rPr>
          <w:rFonts w:hint="eastAsia" w:ascii="黑体" w:hAnsi="黑体" w:cs="黑体"/>
          <w:b w:val="0"/>
          <w:sz w:val="28"/>
          <w:szCs w:val="28"/>
          <w:highlight w:val="none"/>
          <w:lang w:val="en-US" w:eastAsia="zh-CN"/>
        </w:rPr>
        <w:t>（</w:t>
      </w:r>
      <w:r>
        <w:rPr>
          <w:rFonts w:hint="eastAsia" w:ascii="黑体" w:hAnsi="黑体" w:eastAsia="黑体" w:cs="黑体"/>
          <w:b w:val="0"/>
          <w:sz w:val="28"/>
          <w:szCs w:val="28"/>
          <w:highlight w:val="none"/>
          <w:lang w:val="en-US" w:eastAsia="zh-CN"/>
        </w:rPr>
        <w:t>一</w:t>
      </w:r>
      <w:r>
        <w:rPr>
          <w:rFonts w:hint="eastAsia" w:ascii="黑体" w:hAnsi="黑体" w:cs="黑体"/>
          <w:b w:val="0"/>
          <w:sz w:val="28"/>
          <w:szCs w:val="28"/>
          <w:highlight w:val="none"/>
          <w:lang w:val="en-US" w:eastAsia="zh-CN"/>
        </w:rPr>
        <w:t>）</w:t>
      </w:r>
      <w:r>
        <w:rPr>
          <w:rFonts w:hint="eastAsia" w:ascii="黑体" w:hAnsi="黑体" w:eastAsia="黑体" w:cs="黑体"/>
          <w:b w:val="0"/>
          <w:sz w:val="28"/>
          <w:szCs w:val="28"/>
          <w:highlight w:val="none"/>
          <w:lang w:val="en-US" w:eastAsia="zh-CN"/>
        </w:rPr>
        <w:t>货物一览表</w:t>
      </w:r>
      <w:bookmarkEnd w:id="967"/>
      <w:bookmarkEnd w:id="968"/>
      <w:bookmarkEnd w:id="969"/>
      <w:bookmarkEnd w:id="970"/>
      <w:bookmarkEnd w:id="971"/>
      <w:bookmarkEnd w:id="972"/>
      <w:bookmarkEnd w:id="973"/>
      <w:bookmarkEnd w:id="974"/>
      <w:bookmarkEnd w:id="975"/>
      <w:bookmarkEnd w:id="976"/>
    </w:p>
    <w:tbl>
      <w:tblPr>
        <w:tblStyle w:val="42"/>
        <w:tblW w:w="0" w:type="auto"/>
        <w:tblInd w:w="108" w:type="dxa"/>
        <w:tblLayout w:type="fixed"/>
        <w:tblCellMar>
          <w:top w:w="0" w:type="dxa"/>
          <w:left w:w="108" w:type="dxa"/>
          <w:bottom w:w="0" w:type="dxa"/>
          <w:right w:w="108" w:type="dxa"/>
        </w:tblCellMar>
      </w:tblPr>
      <w:tblGrid>
        <w:gridCol w:w="813"/>
        <w:gridCol w:w="2619"/>
        <w:gridCol w:w="1166"/>
        <w:gridCol w:w="1054"/>
        <w:gridCol w:w="2409"/>
        <w:gridCol w:w="1300"/>
      </w:tblGrid>
      <w:tr w14:paraId="4E0CA338">
        <w:tblPrEx>
          <w:tblCellMar>
            <w:top w:w="0" w:type="dxa"/>
            <w:left w:w="108" w:type="dxa"/>
            <w:bottom w:w="0" w:type="dxa"/>
            <w:right w:w="108" w:type="dxa"/>
          </w:tblCellMar>
        </w:tblPrEx>
        <w:trPr>
          <w:trHeight w:val="540" w:hRule="atLeast"/>
        </w:trPr>
        <w:tc>
          <w:tcPr>
            <w:tcW w:w="813" w:type="dxa"/>
            <w:tcBorders>
              <w:top w:val="single" w:color="auto" w:sz="4" w:space="0"/>
              <w:left w:val="single" w:color="auto" w:sz="4" w:space="0"/>
              <w:bottom w:val="single" w:color="auto" w:sz="4" w:space="0"/>
              <w:right w:val="single" w:color="auto" w:sz="4" w:space="0"/>
            </w:tcBorders>
            <w:noWrap w:val="0"/>
            <w:vAlign w:val="center"/>
          </w:tcPr>
          <w:p w14:paraId="72935EA8">
            <w:pPr>
              <w:widowControl/>
              <w:jc w:val="center"/>
              <w:rPr>
                <w:highlight w:val="none"/>
              </w:rPr>
            </w:pPr>
            <w:bookmarkStart w:id="977" w:name="_Toc285612596"/>
            <w:bookmarkStart w:id="978" w:name="_Toc22402"/>
            <w:bookmarkStart w:id="979" w:name="_Toc24099"/>
            <w:bookmarkStart w:id="980" w:name="_Toc9667"/>
            <w:bookmarkStart w:id="981" w:name="_Toc3692"/>
            <w:bookmarkStart w:id="982" w:name="_Toc21754"/>
            <w:bookmarkStart w:id="983" w:name="_Toc7059"/>
            <w:r>
              <w:rPr>
                <w:highlight w:val="none"/>
              </w:rPr>
              <w:t>包号</w:t>
            </w:r>
          </w:p>
        </w:tc>
        <w:tc>
          <w:tcPr>
            <w:tcW w:w="2619" w:type="dxa"/>
            <w:tcBorders>
              <w:top w:val="single" w:color="auto" w:sz="4" w:space="0"/>
              <w:left w:val="nil"/>
              <w:bottom w:val="single" w:color="auto" w:sz="4" w:space="0"/>
              <w:right w:val="single" w:color="auto" w:sz="4" w:space="0"/>
            </w:tcBorders>
            <w:noWrap w:val="0"/>
            <w:vAlign w:val="center"/>
          </w:tcPr>
          <w:p w14:paraId="7E4291D1">
            <w:pPr>
              <w:widowControl/>
              <w:jc w:val="center"/>
              <w:rPr>
                <w:highlight w:val="none"/>
              </w:rPr>
            </w:pPr>
            <w:r>
              <w:rPr>
                <w:rFonts w:hint="eastAsia"/>
                <w:highlight w:val="none"/>
              </w:rPr>
              <w:t>货物</w:t>
            </w:r>
            <w:r>
              <w:rPr>
                <w:highlight w:val="none"/>
              </w:rPr>
              <w:t>名称</w:t>
            </w:r>
          </w:p>
        </w:tc>
        <w:tc>
          <w:tcPr>
            <w:tcW w:w="1166" w:type="dxa"/>
            <w:tcBorders>
              <w:top w:val="single" w:color="auto" w:sz="4" w:space="0"/>
              <w:left w:val="single" w:color="auto" w:sz="4" w:space="0"/>
              <w:bottom w:val="single" w:color="auto" w:sz="4" w:space="0"/>
              <w:right w:val="single" w:color="auto" w:sz="4" w:space="0"/>
            </w:tcBorders>
            <w:noWrap w:val="0"/>
            <w:vAlign w:val="center"/>
          </w:tcPr>
          <w:p w14:paraId="71269210">
            <w:pPr>
              <w:widowControl/>
              <w:jc w:val="center"/>
              <w:rPr>
                <w:rFonts w:ascii="Times New Roman" w:hAnsi="Times New Roman" w:cs="Times New Roman"/>
                <w:highlight w:val="none"/>
              </w:rPr>
            </w:pPr>
            <w:r>
              <w:rPr>
                <w:rFonts w:ascii="Times New Roman" w:hAnsi="Times New Roman" w:cs="Times New Roman"/>
                <w:highlight w:val="none"/>
              </w:rPr>
              <w:t>计量单位</w:t>
            </w:r>
          </w:p>
        </w:tc>
        <w:tc>
          <w:tcPr>
            <w:tcW w:w="1054" w:type="dxa"/>
            <w:tcBorders>
              <w:top w:val="single" w:color="auto" w:sz="4" w:space="0"/>
              <w:left w:val="nil"/>
              <w:bottom w:val="single" w:color="auto" w:sz="4" w:space="0"/>
              <w:right w:val="single" w:color="auto" w:sz="4" w:space="0"/>
            </w:tcBorders>
            <w:noWrap w:val="0"/>
            <w:vAlign w:val="center"/>
          </w:tcPr>
          <w:p w14:paraId="7FDF0FFE">
            <w:pPr>
              <w:widowControl/>
              <w:jc w:val="center"/>
              <w:rPr>
                <w:rFonts w:ascii="Times New Roman" w:hAnsi="Times New Roman" w:cs="Times New Roman"/>
                <w:highlight w:val="none"/>
              </w:rPr>
            </w:pPr>
            <w:r>
              <w:rPr>
                <w:rFonts w:ascii="Times New Roman" w:hAnsi="Times New Roman" w:cs="Times New Roman"/>
                <w:highlight w:val="none"/>
              </w:rPr>
              <w:t>数量</w:t>
            </w:r>
          </w:p>
        </w:tc>
        <w:tc>
          <w:tcPr>
            <w:tcW w:w="2409" w:type="dxa"/>
            <w:tcBorders>
              <w:top w:val="single" w:color="auto" w:sz="4" w:space="0"/>
              <w:left w:val="nil"/>
              <w:bottom w:val="single" w:color="auto" w:sz="4" w:space="0"/>
              <w:right w:val="single" w:color="auto" w:sz="4" w:space="0"/>
            </w:tcBorders>
            <w:noWrap w:val="0"/>
            <w:vAlign w:val="center"/>
          </w:tcPr>
          <w:p w14:paraId="44430240">
            <w:pPr>
              <w:widowControl/>
              <w:jc w:val="center"/>
              <w:rPr>
                <w:rFonts w:ascii="Times New Roman" w:hAnsi="Times New Roman" w:cs="Times New Roman"/>
                <w:highlight w:val="none"/>
              </w:rPr>
            </w:pPr>
            <w:r>
              <w:rPr>
                <w:rFonts w:hint="eastAsia" w:ascii="Times New Roman" w:hAnsi="Times New Roman" w:cs="Times New Roman"/>
                <w:highlight w:val="none"/>
              </w:rPr>
              <w:t>交货时间</w:t>
            </w:r>
          </w:p>
        </w:tc>
        <w:tc>
          <w:tcPr>
            <w:tcW w:w="1300" w:type="dxa"/>
            <w:tcBorders>
              <w:top w:val="single" w:color="auto" w:sz="4" w:space="0"/>
              <w:left w:val="nil"/>
              <w:bottom w:val="single" w:color="auto" w:sz="4" w:space="0"/>
              <w:right w:val="single" w:color="auto" w:sz="4" w:space="0"/>
            </w:tcBorders>
            <w:noWrap w:val="0"/>
            <w:vAlign w:val="center"/>
          </w:tcPr>
          <w:p w14:paraId="78BD31A3">
            <w:pPr>
              <w:widowControl/>
              <w:jc w:val="center"/>
              <w:rPr>
                <w:rFonts w:ascii="Times New Roman" w:hAnsi="Times New Roman" w:cs="Times New Roman"/>
                <w:highlight w:val="none"/>
              </w:rPr>
            </w:pPr>
            <w:r>
              <w:rPr>
                <w:rFonts w:hint="eastAsia" w:ascii="Times New Roman" w:hAnsi="Times New Roman" w:cs="Times New Roman"/>
                <w:highlight w:val="none"/>
              </w:rPr>
              <w:t>备注</w:t>
            </w:r>
          </w:p>
        </w:tc>
      </w:tr>
      <w:tr w14:paraId="13130440">
        <w:tblPrEx>
          <w:tblCellMar>
            <w:top w:w="0" w:type="dxa"/>
            <w:left w:w="108" w:type="dxa"/>
            <w:bottom w:w="0" w:type="dxa"/>
            <w:right w:w="108" w:type="dxa"/>
          </w:tblCellMar>
        </w:tblPrEx>
        <w:trPr>
          <w:trHeight w:val="678" w:hRule="atLeast"/>
        </w:trPr>
        <w:tc>
          <w:tcPr>
            <w:tcW w:w="813" w:type="dxa"/>
            <w:tcBorders>
              <w:top w:val="single" w:color="auto" w:sz="4" w:space="0"/>
              <w:left w:val="single" w:color="auto" w:sz="4" w:space="0"/>
              <w:bottom w:val="single" w:color="auto" w:sz="4" w:space="0"/>
              <w:right w:val="single" w:color="auto" w:sz="4" w:space="0"/>
            </w:tcBorders>
            <w:noWrap w:val="0"/>
            <w:vAlign w:val="center"/>
          </w:tcPr>
          <w:p w14:paraId="798CA7AD">
            <w:pPr>
              <w:widowControl/>
              <w:jc w:val="center"/>
              <w:rPr>
                <w:rFonts w:hint="eastAsia" w:eastAsia="宋体"/>
                <w:highlight w:val="none"/>
                <w:lang w:val="en-US" w:eastAsia="zh-CN"/>
              </w:rPr>
            </w:pPr>
            <w:r>
              <w:rPr>
                <w:rFonts w:hint="eastAsia"/>
                <w:highlight w:val="none"/>
                <w:lang w:val="en-US" w:eastAsia="zh-CN"/>
              </w:rPr>
              <w:t>1</w:t>
            </w:r>
          </w:p>
        </w:tc>
        <w:tc>
          <w:tcPr>
            <w:tcW w:w="2619" w:type="dxa"/>
            <w:tcBorders>
              <w:top w:val="single" w:color="auto" w:sz="4" w:space="0"/>
              <w:left w:val="nil"/>
              <w:bottom w:val="single" w:color="auto" w:sz="4" w:space="0"/>
              <w:right w:val="single" w:color="auto" w:sz="4" w:space="0"/>
            </w:tcBorders>
            <w:noWrap w:val="0"/>
            <w:vAlign w:val="center"/>
          </w:tcPr>
          <w:p w14:paraId="32F8B79E">
            <w:pPr>
              <w:widowControl/>
              <w:jc w:val="center"/>
              <w:rPr>
                <w:highlight w:val="none"/>
              </w:rPr>
            </w:pPr>
            <w:r>
              <w:rPr>
                <w:rFonts w:hint="eastAsia"/>
                <w:sz w:val="21"/>
                <w:szCs w:val="21"/>
                <w:highlight w:val="none"/>
                <w:lang w:val="en-US" w:eastAsia="zh-CN"/>
              </w:rPr>
              <w:t>细胞能量代谢系统</w:t>
            </w:r>
          </w:p>
        </w:tc>
        <w:tc>
          <w:tcPr>
            <w:tcW w:w="1166" w:type="dxa"/>
            <w:tcBorders>
              <w:top w:val="single" w:color="auto" w:sz="4" w:space="0"/>
              <w:left w:val="single" w:color="auto" w:sz="4" w:space="0"/>
              <w:bottom w:val="single" w:color="auto" w:sz="4" w:space="0"/>
              <w:right w:val="single" w:color="auto" w:sz="4" w:space="0"/>
            </w:tcBorders>
            <w:noWrap w:val="0"/>
            <w:vAlign w:val="center"/>
          </w:tcPr>
          <w:p w14:paraId="70A375A8">
            <w:pPr>
              <w:widowControl/>
              <w:jc w:val="center"/>
              <w:rPr>
                <w:rFonts w:hint="default" w:eastAsia="宋体"/>
                <w:highlight w:val="none"/>
                <w:lang w:val="en-US" w:eastAsia="zh-CN"/>
              </w:rPr>
            </w:pPr>
            <w:r>
              <w:rPr>
                <w:rFonts w:hint="eastAsia"/>
                <w:sz w:val="20"/>
                <w:szCs w:val="20"/>
                <w:highlight w:val="none"/>
                <w:lang w:eastAsia="zh-CN"/>
              </w:rPr>
              <w:t>台</w:t>
            </w:r>
          </w:p>
        </w:tc>
        <w:tc>
          <w:tcPr>
            <w:tcW w:w="1054" w:type="dxa"/>
            <w:tcBorders>
              <w:top w:val="single" w:color="auto" w:sz="4" w:space="0"/>
              <w:left w:val="nil"/>
              <w:bottom w:val="single" w:color="auto" w:sz="4" w:space="0"/>
              <w:right w:val="single" w:color="auto" w:sz="4" w:space="0"/>
            </w:tcBorders>
            <w:noWrap w:val="0"/>
            <w:vAlign w:val="center"/>
          </w:tcPr>
          <w:p w14:paraId="7496E6F4">
            <w:pPr>
              <w:widowControl/>
              <w:jc w:val="center"/>
              <w:rPr>
                <w:rFonts w:hint="default" w:eastAsia="宋体"/>
                <w:highlight w:val="none"/>
                <w:lang w:val="en-US" w:eastAsia="zh-CN"/>
              </w:rPr>
            </w:pPr>
            <w:r>
              <w:rPr>
                <w:rFonts w:hint="eastAsia"/>
                <w:highlight w:val="none"/>
                <w:lang w:val="en-US" w:eastAsia="zh-CN"/>
              </w:rPr>
              <w:t>1</w:t>
            </w:r>
          </w:p>
        </w:tc>
        <w:tc>
          <w:tcPr>
            <w:tcW w:w="2409" w:type="dxa"/>
            <w:tcBorders>
              <w:top w:val="single" w:color="auto" w:sz="4" w:space="0"/>
              <w:left w:val="nil"/>
              <w:bottom w:val="single" w:color="auto" w:sz="4" w:space="0"/>
              <w:right w:val="single" w:color="auto" w:sz="4" w:space="0"/>
            </w:tcBorders>
            <w:noWrap w:val="0"/>
            <w:vAlign w:val="center"/>
          </w:tcPr>
          <w:p w14:paraId="3005548C">
            <w:pPr>
              <w:widowControl/>
              <w:jc w:val="center"/>
              <w:rPr>
                <w:rFonts w:hint="default" w:eastAsia="宋体"/>
                <w:highlight w:val="none"/>
                <w:lang w:val="en-US" w:eastAsia="zh-CN"/>
              </w:rPr>
            </w:pPr>
            <w:r>
              <w:rPr>
                <w:rFonts w:hint="default" w:eastAsia="宋体"/>
                <w:highlight w:val="none"/>
                <w:lang w:val="en-US" w:eastAsia="zh-CN"/>
              </w:rPr>
              <w:t>合同签订</w:t>
            </w:r>
            <w:r>
              <w:rPr>
                <w:rFonts w:hint="eastAsia"/>
                <w:highlight w:val="none"/>
                <w:lang w:val="en-US" w:eastAsia="zh-CN"/>
              </w:rPr>
              <w:t>后</w:t>
            </w:r>
            <w:r>
              <w:rPr>
                <w:rFonts w:hint="default" w:eastAsia="宋体"/>
                <w:highlight w:val="none"/>
                <w:lang w:val="en-US" w:eastAsia="zh-CN"/>
              </w:rPr>
              <w:t xml:space="preserve"> </w:t>
            </w:r>
            <w:r>
              <w:rPr>
                <w:rFonts w:hint="eastAsia"/>
                <w:highlight w:val="none"/>
                <w:lang w:val="en-US" w:eastAsia="zh-CN"/>
              </w:rPr>
              <w:t>90</w:t>
            </w:r>
            <w:r>
              <w:rPr>
                <w:rFonts w:hint="default" w:eastAsia="宋体"/>
                <w:highlight w:val="none"/>
                <w:lang w:val="en-US" w:eastAsia="zh-CN"/>
              </w:rPr>
              <w:t>天内全部交货并安装调试完毕</w:t>
            </w:r>
          </w:p>
        </w:tc>
        <w:tc>
          <w:tcPr>
            <w:tcW w:w="1300" w:type="dxa"/>
            <w:tcBorders>
              <w:top w:val="single" w:color="auto" w:sz="4" w:space="0"/>
              <w:left w:val="nil"/>
              <w:bottom w:val="single" w:color="auto" w:sz="4" w:space="0"/>
              <w:right w:val="single" w:color="auto" w:sz="4" w:space="0"/>
            </w:tcBorders>
            <w:noWrap w:val="0"/>
            <w:vAlign w:val="center"/>
          </w:tcPr>
          <w:p w14:paraId="71680669">
            <w:pPr>
              <w:widowControl/>
              <w:jc w:val="center"/>
              <w:rPr>
                <w:rFonts w:hint="default" w:eastAsia="宋体"/>
                <w:highlight w:val="none"/>
                <w:lang w:val="en-US" w:eastAsia="zh-CN"/>
              </w:rPr>
            </w:pPr>
            <w:r>
              <w:rPr>
                <w:rFonts w:hint="eastAsia"/>
                <w:highlight w:val="none"/>
                <w:lang w:val="en-US" w:eastAsia="zh-CN"/>
              </w:rPr>
              <w:t>/</w:t>
            </w:r>
          </w:p>
        </w:tc>
      </w:tr>
      <w:bookmarkEnd w:id="977"/>
    </w:tbl>
    <w:p w14:paraId="4AE455BD">
      <w:pPr>
        <w:pStyle w:val="5"/>
        <w:keepNext/>
        <w:keepLines/>
        <w:pageBreakBefore w:val="0"/>
        <w:widowControl w:val="0"/>
        <w:numPr>
          <w:ilvl w:val="0"/>
          <w:numId w:val="3"/>
        </w:numPr>
        <w:kinsoku/>
        <w:wordWrap/>
        <w:overflowPunct/>
        <w:topLinePunct w:val="0"/>
        <w:autoSpaceDE/>
        <w:autoSpaceDN/>
        <w:bidi w:val="0"/>
        <w:adjustRightInd/>
        <w:snapToGrid/>
        <w:spacing w:before="157" w:beforeLines="50" w:after="157" w:afterLines="50" w:line="560" w:lineRule="exact"/>
        <w:textAlignment w:val="auto"/>
        <w:rPr>
          <w:rFonts w:hint="eastAsia" w:ascii="黑体" w:hAnsi="黑体" w:eastAsia="黑体" w:cs="黑体"/>
          <w:b w:val="0"/>
          <w:bCs/>
          <w:sz w:val="28"/>
          <w:szCs w:val="28"/>
          <w:highlight w:val="none"/>
        </w:rPr>
      </w:pPr>
      <w:bookmarkStart w:id="984" w:name="_Toc13003"/>
      <w:bookmarkStart w:id="985" w:name="_Toc3572"/>
      <w:bookmarkStart w:id="986" w:name="_Toc29357"/>
      <w:bookmarkStart w:id="987" w:name="_Toc18495"/>
      <w:bookmarkStart w:id="988" w:name="_Toc2792"/>
      <w:bookmarkStart w:id="989" w:name="_Toc28469"/>
      <w:bookmarkStart w:id="990" w:name="_Toc30841"/>
      <w:r>
        <w:rPr>
          <w:rFonts w:hint="eastAsia" w:ascii="黑体" w:hAnsi="黑体" w:eastAsia="黑体" w:cs="黑体"/>
          <w:b w:val="0"/>
          <w:bCs/>
          <w:sz w:val="28"/>
          <w:szCs w:val="28"/>
          <w:highlight w:val="none"/>
        </w:rPr>
        <w:t>技术要求</w:t>
      </w:r>
      <w:bookmarkEnd w:id="978"/>
      <w:bookmarkEnd w:id="979"/>
      <w:bookmarkEnd w:id="980"/>
      <w:bookmarkEnd w:id="981"/>
      <w:bookmarkEnd w:id="982"/>
      <w:bookmarkEnd w:id="983"/>
      <w:bookmarkEnd w:id="984"/>
      <w:bookmarkEnd w:id="985"/>
      <w:bookmarkEnd w:id="986"/>
      <w:bookmarkEnd w:id="987"/>
      <w:bookmarkEnd w:id="988"/>
      <w:bookmarkEnd w:id="989"/>
      <w:bookmarkEnd w:id="990"/>
    </w:p>
    <w:p w14:paraId="229FF24C">
      <w:pPr>
        <w:pStyle w:val="156"/>
        <w:spacing w:line="560" w:lineRule="exact"/>
        <w:ind w:firstLine="281" w:firstLineChars="100"/>
        <w:rPr>
          <w:rFonts w:hint="default" w:ascii="仿宋_GB2312" w:hAnsi="仿宋_GB2312" w:eastAsia="仿宋_GB2312" w:cs="仿宋_GB2312"/>
          <w:b/>
          <w:bCs/>
          <w:sz w:val="28"/>
          <w:szCs w:val="28"/>
          <w:highlight w:val="none"/>
          <w:lang w:val="en-US" w:eastAsia="zh-CN"/>
        </w:rPr>
      </w:pPr>
      <w:r>
        <w:rPr>
          <w:rFonts w:hint="eastAsia" w:ascii="仿宋_GB2312" w:hAnsi="仿宋_GB2312" w:eastAsia="仿宋_GB2312" w:cs="仿宋_GB2312"/>
          <w:b/>
          <w:bCs/>
          <w:sz w:val="28"/>
          <w:szCs w:val="28"/>
          <w:highlight w:val="none"/>
          <w:lang w:val="en-US" w:eastAsia="zh-CN"/>
        </w:rPr>
        <w:t>细胞能量代谢系统</w:t>
      </w:r>
    </w:p>
    <w:tbl>
      <w:tblPr>
        <w:tblStyle w:val="4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90"/>
        <w:gridCol w:w="6096"/>
        <w:gridCol w:w="1733"/>
      </w:tblGrid>
      <w:tr w14:paraId="026B50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4" w:hRule="atLeast"/>
          <w:jc w:val="center"/>
        </w:trPr>
        <w:tc>
          <w:tcPr>
            <w:tcW w:w="1590" w:type="dxa"/>
            <w:noWrap w:val="0"/>
            <w:vAlign w:val="center"/>
          </w:tcPr>
          <w:p w14:paraId="2F67326D">
            <w:pPr>
              <w:spacing w:line="300" w:lineRule="exact"/>
              <w:jc w:val="center"/>
              <w:rPr>
                <w:rFonts w:ascii="宋体" w:hAnsi="宋体" w:cs="华文中宋"/>
                <w:b/>
                <w:bCs/>
                <w:szCs w:val="21"/>
                <w:highlight w:val="none"/>
              </w:rPr>
            </w:pPr>
            <w:r>
              <w:rPr>
                <w:rFonts w:hint="eastAsia" w:ascii="宋体" w:hAnsi="宋体" w:cs="华文中宋"/>
                <w:b/>
                <w:bCs/>
                <w:szCs w:val="21"/>
                <w:highlight w:val="none"/>
              </w:rPr>
              <w:t>产品用途及使用范围</w:t>
            </w:r>
          </w:p>
        </w:tc>
        <w:tc>
          <w:tcPr>
            <w:tcW w:w="7829" w:type="dxa"/>
            <w:gridSpan w:val="2"/>
            <w:noWrap w:val="0"/>
            <w:vAlign w:val="center"/>
          </w:tcPr>
          <w:p w14:paraId="06E9B206">
            <w:pPr>
              <w:jc w:val="left"/>
              <w:rPr>
                <w:rFonts w:hint="eastAsia"/>
                <w:sz w:val="21"/>
                <w:szCs w:val="21"/>
                <w:highlight w:val="none"/>
                <w:lang w:val="en-US" w:eastAsia="zh-CN"/>
              </w:rPr>
            </w:pPr>
            <w:r>
              <w:rPr>
                <w:rFonts w:hint="eastAsia" w:ascii="宋体" w:hAnsi="宋体" w:eastAsia="宋体"/>
                <w:kern w:val="0"/>
                <w:sz w:val="21"/>
                <w:szCs w:val="21"/>
                <w:highlight w:val="none"/>
                <w:lang w:val="zh-CN" w:bidi="zh-CN"/>
              </w:rPr>
              <w:t>主要用于实时、同时检测有氧呼吸、糖酵解作用下细胞能量代谢的状态和动态，并同时完成进行活体细胞内线粒体耗氧速率和糖酵解产酸速率的实时、定量、全自动测定和分析</w:t>
            </w:r>
          </w:p>
        </w:tc>
      </w:tr>
      <w:tr w14:paraId="26475A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4" w:hRule="atLeast"/>
          <w:jc w:val="center"/>
        </w:trPr>
        <w:tc>
          <w:tcPr>
            <w:tcW w:w="1590" w:type="dxa"/>
            <w:noWrap w:val="0"/>
            <w:vAlign w:val="center"/>
          </w:tcPr>
          <w:p w14:paraId="03CDFF63">
            <w:pPr>
              <w:spacing w:line="300" w:lineRule="exact"/>
              <w:jc w:val="center"/>
              <w:rPr>
                <w:rFonts w:ascii="宋体" w:hAnsi="宋体" w:cs="华文中宋"/>
                <w:b/>
                <w:bCs/>
                <w:szCs w:val="21"/>
                <w:highlight w:val="none"/>
              </w:rPr>
            </w:pPr>
            <w:r>
              <w:rPr>
                <w:rFonts w:hint="eastAsia" w:ascii="宋体" w:hAnsi="宋体" w:cs="华文中宋"/>
                <w:b/>
                <w:bCs/>
                <w:szCs w:val="21"/>
                <w:highlight w:val="none"/>
              </w:rPr>
              <w:t>安装场地</w:t>
            </w:r>
          </w:p>
        </w:tc>
        <w:tc>
          <w:tcPr>
            <w:tcW w:w="7829" w:type="dxa"/>
            <w:gridSpan w:val="2"/>
            <w:noWrap w:val="0"/>
            <w:vAlign w:val="center"/>
          </w:tcPr>
          <w:p w14:paraId="334497D3">
            <w:pPr>
              <w:jc w:val="left"/>
              <w:rPr>
                <w:rFonts w:hint="eastAsia"/>
                <w:sz w:val="21"/>
                <w:szCs w:val="21"/>
                <w:highlight w:val="none"/>
                <w:lang w:val="en-US" w:eastAsia="zh-CN"/>
              </w:rPr>
            </w:pPr>
            <w:r>
              <w:rPr>
                <w:rFonts w:hint="eastAsia" w:ascii="宋体" w:hAnsi="宋体" w:eastAsia="宋体"/>
                <w:kern w:val="0"/>
                <w:sz w:val="21"/>
                <w:szCs w:val="21"/>
                <w:highlight w:val="none"/>
                <w:lang w:bidi="zh-CN"/>
              </w:rPr>
              <w:t>门诊10楼心内科实验室</w:t>
            </w:r>
          </w:p>
        </w:tc>
      </w:tr>
      <w:tr w14:paraId="0CABD3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4" w:hRule="atLeast"/>
          <w:jc w:val="center"/>
        </w:trPr>
        <w:tc>
          <w:tcPr>
            <w:tcW w:w="1590" w:type="dxa"/>
            <w:noWrap w:val="0"/>
            <w:vAlign w:val="center"/>
          </w:tcPr>
          <w:p w14:paraId="30394717">
            <w:pPr>
              <w:spacing w:line="300" w:lineRule="exact"/>
              <w:jc w:val="center"/>
              <w:rPr>
                <w:rFonts w:ascii="宋体" w:hAnsi="宋体" w:cs="华文中宋"/>
                <w:b/>
                <w:bCs/>
                <w:szCs w:val="21"/>
                <w:highlight w:val="none"/>
              </w:rPr>
            </w:pPr>
            <w:r>
              <w:rPr>
                <w:rFonts w:hint="eastAsia" w:ascii="宋体" w:hAnsi="宋体" w:cs="华文中宋"/>
                <w:b/>
                <w:bCs/>
                <w:szCs w:val="21"/>
                <w:highlight w:val="none"/>
              </w:rPr>
              <w:t>使用环境</w:t>
            </w:r>
          </w:p>
        </w:tc>
        <w:tc>
          <w:tcPr>
            <w:tcW w:w="7829" w:type="dxa"/>
            <w:gridSpan w:val="2"/>
            <w:noWrap w:val="0"/>
            <w:vAlign w:val="center"/>
          </w:tcPr>
          <w:p w14:paraId="3A24EA49">
            <w:pPr>
              <w:jc w:val="left"/>
              <w:rPr>
                <w:rFonts w:hint="eastAsia"/>
                <w:sz w:val="21"/>
                <w:szCs w:val="21"/>
                <w:highlight w:val="none"/>
                <w:lang w:val="en-US" w:eastAsia="zh-CN"/>
              </w:rPr>
            </w:pPr>
            <w:r>
              <w:rPr>
                <w:rFonts w:hint="eastAsia" w:ascii="宋体" w:hAnsi="宋体" w:eastAsia="宋体"/>
                <w:kern w:val="0"/>
                <w:sz w:val="21"/>
                <w:szCs w:val="21"/>
                <w:highlight w:val="none"/>
                <w:lang w:bidi="zh-CN"/>
              </w:rPr>
              <w:t>无特殊要求</w:t>
            </w:r>
          </w:p>
        </w:tc>
      </w:tr>
      <w:tr w14:paraId="255071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9" w:hRule="atLeast"/>
          <w:jc w:val="center"/>
        </w:trPr>
        <w:tc>
          <w:tcPr>
            <w:tcW w:w="9419" w:type="dxa"/>
            <w:gridSpan w:val="3"/>
            <w:noWrap w:val="0"/>
            <w:vAlign w:val="center"/>
          </w:tcPr>
          <w:p w14:paraId="5B52887F">
            <w:pPr>
              <w:spacing w:line="300" w:lineRule="exact"/>
              <w:jc w:val="center"/>
              <w:rPr>
                <w:rFonts w:ascii="宋体" w:hAnsi="宋体"/>
                <w:b/>
                <w:szCs w:val="21"/>
                <w:highlight w:val="none"/>
              </w:rPr>
            </w:pPr>
            <w:r>
              <w:rPr>
                <w:rFonts w:hint="eastAsia" w:ascii="宋体" w:hAnsi="宋体" w:cs="华文中宋"/>
                <w:b/>
                <w:bCs/>
                <w:szCs w:val="21"/>
                <w:highlight w:val="none"/>
              </w:rPr>
              <w:t>技术参数要求</w:t>
            </w:r>
          </w:p>
        </w:tc>
      </w:tr>
      <w:tr w14:paraId="7EFF5B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1" w:hRule="atLeast"/>
          <w:jc w:val="center"/>
        </w:trPr>
        <w:tc>
          <w:tcPr>
            <w:tcW w:w="1590" w:type="dxa"/>
            <w:noWrap w:val="0"/>
            <w:vAlign w:val="center"/>
          </w:tcPr>
          <w:p w14:paraId="4DD9C3C7">
            <w:pPr>
              <w:jc w:val="center"/>
              <w:rPr>
                <w:rFonts w:hint="eastAsia" w:ascii="宋体" w:hAnsi="宋体" w:eastAsia="宋体" w:cs="华文中宋"/>
                <w:b/>
                <w:bCs/>
                <w:szCs w:val="21"/>
                <w:highlight w:val="none"/>
                <w:lang w:eastAsia="zh-CN"/>
              </w:rPr>
            </w:pPr>
            <w:r>
              <w:rPr>
                <w:rFonts w:hint="eastAsia" w:ascii="宋体" w:hAnsi="宋体" w:eastAsia="宋体" w:cs="华文中宋"/>
                <w:b/>
                <w:bCs/>
                <w:szCs w:val="21"/>
                <w:highlight w:val="none"/>
                <w:lang w:eastAsia="zh-CN"/>
              </w:rPr>
              <w:t>主要配置或模块名称</w:t>
            </w:r>
          </w:p>
        </w:tc>
        <w:tc>
          <w:tcPr>
            <w:tcW w:w="6096" w:type="dxa"/>
            <w:noWrap w:val="0"/>
            <w:vAlign w:val="center"/>
          </w:tcPr>
          <w:p w14:paraId="1C2D83A6">
            <w:pPr>
              <w:jc w:val="center"/>
              <w:rPr>
                <w:rFonts w:hint="eastAsia" w:ascii="宋体" w:hAnsi="宋体" w:eastAsia="宋体" w:cs="华文中宋"/>
                <w:b/>
                <w:bCs/>
                <w:kern w:val="2"/>
                <w:sz w:val="21"/>
                <w:szCs w:val="21"/>
                <w:highlight w:val="none"/>
                <w:lang w:val="en-US" w:eastAsia="zh-CN" w:bidi="ar-SA"/>
              </w:rPr>
            </w:pPr>
            <w:r>
              <w:rPr>
                <w:rFonts w:hint="eastAsia" w:ascii="宋体" w:hAnsi="宋体" w:cs="华文中宋"/>
                <w:b/>
                <w:bCs/>
                <w:szCs w:val="21"/>
                <w:highlight w:val="none"/>
              </w:rPr>
              <w:t>具体性能与参数要求</w:t>
            </w:r>
          </w:p>
        </w:tc>
        <w:tc>
          <w:tcPr>
            <w:tcW w:w="1733" w:type="dxa"/>
            <w:noWrap w:val="0"/>
            <w:vAlign w:val="center"/>
          </w:tcPr>
          <w:p w14:paraId="2A93B901">
            <w:pPr>
              <w:jc w:val="center"/>
              <w:rPr>
                <w:rFonts w:hint="eastAsia" w:ascii="宋体" w:hAnsi="宋体" w:cs="华文中宋"/>
                <w:szCs w:val="21"/>
                <w:highlight w:val="none"/>
              </w:rPr>
            </w:pPr>
            <w:r>
              <w:rPr>
                <w:rFonts w:hint="eastAsia" w:ascii="宋体" w:hAnsi="宋体" w:cs="华文中宋"/>
                <w:b/>
                <w:bCs/>
                <w:szCs w:val="21"/>
                <w:highlight w:val="none"/>
                <w:lang w:val="zh-CN"/>
              </w:rPr>
              <w:t>可量化指标正偏离认定情况</w:t>
            </w:r>
          </w:p>
        </w:tc>
      </w:tr>
      <w:tr w14:paraId="79A6BD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2" w:hRule="atLeast"/>
          <w:jc w:val="center"/>
        </w:trPr>
        <w:tc>
          <w:tcPr>
            <w:tcW w:w="1590" w:type="dxa"/>
            <w:noWrap w:val="0"/>
            <w:vAlign w:val="center"/>
          </w:tcPr>
          <w:p w14:paraId="467D3813">
            <w:pPr>
              <w:spacing w:line="360" w:lineRule="atLeast"/>
              <w:jc w:val="center"/>
              <w:rPr>
                <w:rFonts w:hint="default"/>
                <w:sz w:val="21"/>
                <w:szCs w:val="21"/>
                <w:highlight w:val="none"/>
                <w:lang w:val="en-US" w:eastAsia="zh-CN"/>
              </w:rPr>
            </w:pPr>
            <w:r>
              <w:rPr>
                <w:rFonts w:hint="eastAsia" w:ascii="宋体" w:hAnsi="宋体" w:cs="宋体"/>
                <w:kern w:val="2"/>
                <w:sz w:val="21"/>
                <w:szCs w:val="21"/>
                <w:highlight w:val="none"/>
                <w:lang w:val="en-US" w:eastAsia="zh-CN" w:bidi="ar-SA"/>
              </w:rPr>
              <w:t>主要功能</w:t>
            </w:r>
          </w:p>
        </w:tc>
        <w:tc>
          <w:tcPr>
            <w:tcW w:w="6096" w:type="dxa"/>
            <w:noWrap w:val="0"/>
            <w:vAlign w:val="center"/>
          </w:tcPr>
          <w:p w14:paraId="1B92C45C">
            <w:pPr>
              <w:jc w:val="both"/>
              <w:rPr>
                <w:rFonts w:hint="eastAsia"/>
                <w:sz w:val="21"/>
                <w:szCs w:val="21"/>
                <w:highlight w:val="none"/>
                <w:lang w:val="en-US" w:eastAsia="zh-CN"/>
              </w:rPr>
            </w:pPr>
            <w:r>
              <w:rPr>
                <w:rFonts w:hint="eastAsia" w:ascii="宋体" w:hAnsi="宋体" w:eastAsia="宋体"/>
                <w:kern w:val="0"/>
                <w:sz w:val="21"/>
                <w:szCs w:val="21"/>
                <w:highlight w:val="none"/>
                <w:lang w:val="zh-CN" w:bidi="zh-CN"/>
              </w:rPr>
              <w:t>★</w:t>
            </w:r>
            <w:r>
              <w:rPr>
                <w:rFonts w:hint="eastAsia" w:ascii="宋体" w:hAnsi="宋体"/>
                <w:kern w:val="0"/>
                <w:sz w:val="21"/>
                <w:szCs w:val="21"/>
                <w:highlight w:val="none"/>
                <w:lang w:val="en-US" w:bidi="zh-CN"/>
              </w:rPr>
              <w:t>1.可进行有氧呼吸基础代谢率、有氧呼吸极限呼吸率、有氧呼吸储备能力、质子漏水平、糖酵解水平、糖酵解能力最大值、糖酵解能力储备值、glycoATP产生速率、mitoatp产生速率、总ATP生成速率、糖酵解质子流出速率、补偿性糖酵解等指标的检测；</w:t>
            </w:r>
          </w:p>
        </w:tc>
        <w:tc>
          <w:tcPr>
            <w:tcW w:w="1733" w:type="dxa"/>
            <w:noWrap w:val="0"/>
            <w:vAlign w:val="center"/>
          </w:tcPr>
          <w:p w14:paraId="02E0AA0D">
            <w:pPr>
              <w:spacing w:line="360" w:lineRule="atLeast"/>
              <w:jc w:val="center"/>
              <w:rPr>
                <w:rFonts w:hint="default"/>
                <w:sz w:val="21"/>
                <w:szCs w:val="21"/>
                <w:highlight w:val="none"/>
                <w:lang w:val="en-US" w:eastAsia="zh-CN"/>
              </w:rPr>
            </w:pPr>
          </w:p>
        </w:tc>
      </w:tr>
      <w:tr w14:paraId="3CB7F3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76" w:hRule="atLeast"/>
          <w:jc w:val="center"/>
        </w:trPr>
        <w:tc>
          <w:tcPr>
            <w:tcW w:w="1590" w:type="dxa"/>
            <w:noWrap w:val="0"/>
            <w:vAlign w:val="center"/>
          </w:tcPr>
          <w:p w14:paraId="4792FF16">
            <w:pPr>
              <w:spacing w:line="360" w:lineRule="atLeast"/>
              <w:jc w:val="center"/>
              <w:rPr>
                <w:rFonts w:hint="eastAsia"/>
                <w:sz w:val="21"/>
                <w:szCs w:val="21"/>
                <w:highlight w:val="none"/>
                <w:lang w:val="en-US" w:eastAsia="zh-CN"/>
              </w:rPr>
            </w:pPr>
            <w:r>
              <w:rPr>
                <w:rFonts w:hint="eastAsia" w:ascii="宋体" w:hAnsi="宋体" w:cs="宋体"/>
                <w:kern w:val="2"/>
                <w:sz w:val="21"/>
                <w:szCs w:val="21"/>
                <w:highlight w:val="none"/>
                <w:lang w:val="en-US" w:eastAsia="zh-CN" w:bidi="ar-SA"/>
              </w:rPr>
              <w:t>检测数量</w:t>
            </w:r>
          </w:p>
        </w:tc>
        <w:tc>
          <w:tcPr>
            <w:tcW w:w="6096" w:type="dxa"/>
            <w:noWrap w:val="0"/>
            <w:vAlign w:val="center"/>
          </w:tcPr>
          <w:p w14:paraId="4DB86652">
            <w:pPr>
              <w:spacing w:line="360" w:lineRule="atLeast"/>
              <w:rPr>
                <w:rFonts w:hint="eastAsia"/>
                <w:sz w:val="21"/>
                <w:szCs w:val="21"/>
                <w:highlight w:val="none"/>
                <w:lang w:val="en-US" w:eastAsia="zh-CN"/>
              </w:rPr>
            </w:pPr>
            <w:r>
              <w:rPr>
                <w:rFonts w:hint="eastAsia" w:ascii="宋体" w:hAnsi="宋体" w:cs="宋体"/>
                <w:color w:val="000000"/>
                <w:sz w:val="21"/>
                <w:szCs w:val="21"/>
                <w:highlight w:val="none"/>
                <w:u w:val="none"/>
              </w:rPr>
              <w:t>▲</w:t>
            </w:r>
            <w:r>
              <w:rPr>
                <w:rFonts w:hint="eastAsia" w:ascii="宋体" w:hAnsi="宋体" w:cs="宋体"/>
                <w:color w:val="000000"/>
                <w:sz w:val="21"/>
                <w:szCs w:val="21"/>
                <w:highlight w:val="none"/>
                <w:u w:val="none"/>
                <w:lang w:val="en-US" w:eastAsia="zh-CN"/>
              </w:rPr>
              <w:t>2.</w:t>
            </w:r>
            <w:r>
              <w:rPr>
                <w:rFonts w:hint="eastAsia" w:ascii="宋体" w:hAnsi="宋体" w:cs="宋体"/>
                <w:color w:val="000000"/>
                <w:sz w:val="21"/>
                <w:szCs w:val="21"/>
                <w:highlight w:val="none"/>
                <w:u w:val="none"/>
                <w:lang w:eastAsia="zh-CN"/>
              </w:rPr>
              <w:t>具备≥</w:t>
            </w:r>
            <w:r>
              <w:rPr>
                <w:rFonts w:hint="eastAsia" w:ascii="宋体" w:hAnsi="宋体" w:cs="宋体"/>
                <w:color w:val="000000"/>
                <w:sz w:val="21"/>
                <w:szCs w:val="21"/>
                <w:highlight w:val="none"/>
                <w:u w:val="none"/>
                <w:lang w:val="en-US" w:eastAsia="zh-CN"/>
              </w:rPr>
              <w:t>6个独立的光电二极管检测器，同时对所有样品孔进行数据采集；一次实验可满足</w:t>
            </w:r>
            <w:r>
              <w:rPr>
                <w:rFonts w:hint="eastAsia" w:ascii="宋体" w:hAnsi="宋体" w:cs="宋体"/>
                <w:color w:val="000000"/>
                <w:sz w:val="21"/>
                <w:szCs w:val="21"/>
                <w:highlight w:val="none"/>
                <w:u w:val="none"/>
                <w:lang w:eastAsia="zh-CN"/>
              </w:rPr>
              <w:t>≥</w:t>
            </w:r>
            <w:r>
              <w:rPr>
                <w:rFonts w:hint="eastAsia" w:ascii="宋体" w:hAnsi="宋体" w:cs="宋体"/>
                <w:color w:val="000000"/>
                <w:sz w:val="21"/>
                <w:szCs w:val="21"/>
                <w:highlight w:val="none"/>
                <w:u w:val="none"/>
                <w:lang w:val="en-US" w:eastAsia="zh-CN"/>
              </w:rPr>
              <w:t>6个样品的平行、同时检测；</w:t>
            </w:r>
          </w:p>
        </w:tc>
        <w:tc>
          <w:tcPr>
            <w:tcW w:w="1733" w:type="dxa"/>
            <w:noWrap w:val="0"/>
            <w:vAlign w:val="center"/>
          </w:tcPr>
          <w:p w14:paraId="0805F85A">
            <w:pPr>
              <w:spacing w:line="360" w:lineRule="atLeast"/>
              <w:jc w:val="center"/>
              <w:rPr>
                <w:rFonts w:hint="eastAsia"/>
                <w:sz w:val="21"/>
                <w:szCs w:val="21"/>
                <w:highlight w:val="none"/>
                <w:lang w:val="zh-CN" w:eastAsia="zh-CN"/>
              </w:rPr>
            </w:pPr>
            <w:r>
              <w:rPr>
                <w:rFonts w:hint="eastAsia" w:ascii="宋体" w:hAnsi="宋体" w:cs="宋体"/>
                <w:kern w:val="2"/>
                <w:sz w:val="21"/>
                <w:szCs w:val="21"/>
                <w:highlight w:val="none"/>
                <w:lang w:val="en-US" w:eastAsia="zh-CN" w:bidi="ar-SA"/>
              </w:rPr>
              <w:t>检测器数量和可检测样品数越多越好</w:t>
            </w:r>
          </w:p>
        </w:tc>
      </w:tr>
      <w:tr w14:paraId="381285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3" w:hRule="atLeast"/>
          <w:jc w:val="center"/>
        </w:trPr>
        <w:tc>
          <w:tcPr>
            <w:tcW w:w="1590" w:type="dxa"/>
            <w:noWrap w:val="0"/>
            <w:vAlign w:val="center"/>
          </w:tcPr>
          <w:p w14:paraId="3699D2D6">
            <w:pPr>
              <w:spacing w:line="360" w:lineRule="atLeast"/>
              <w:jc w:val="center"/>
              <w:rPr>
                <w:rFonts w:hint="eastAsia"/>
                <w:sz w:val="21"/>
                <w:szCs w:val="21"/>
                <w:highlight w:val="none"/>
                <w:lang w:val="en-US" w:eastAsia="zh-CN"/>
              </w:rPr>
            </w:pPr>
            <w:r>
              <w:rPr>
                <w:rFonts w:hint="eastAsia" w:ascii="宋体" w:hAnsi="宋体" w:cs="宋体"/>
                <w:kern w:val="2"/>
                <w:sz w:val="21"/>
                <w:szCs w:val="21"/>
                <w:highlight w:val="none"/>
                <w:lang w:val="en-US" w:eastAsia="zh-CN" w:bidi="ar-SA"/>
              </w:rPr>
              <w:t>检测参数</w:t>
            </w:r>
          </w:p>
        </w:tc>
        <w:tc>
          <w:tcPr>
            <w:tcW w:w="6096" w:type="dxa"/>
            <w:noWrap w:val="0"/>
            <w:vAlign w:val="center"/>
          </w:tcPr>
          <w:p w14:paraId="158392F3">
            <w:pPr>
              <w:rPr>
                <w:rFonts w:hint="eastAsia"/>
                <w:sz w:val="21"/>
                <w:szCs w:val="21"/>
                <w:highlight w:val="none"/>
                <w:lang w:val="en-US" w:eastAsia="zh-CN"/>
              </w:rPr>
            </w:pPr>
            <w:r>
              <w:rPr>
                <w:rFonts w:hint="eastAsia" w:ascii="宋体" w:hAnsi="宋体" w:cs="宋体"/>
                <w:color w:val="000000"/>
                <w:sz w:val="21"/>
                <w:szCs w:val="21"/>
                <w:highlight w:val="none"/>
                <w:u w:val="none"/>
              </w:rPr>
              <w:t>▲</w:t>
            </w:r>
            <w:r>
              <w:rPr>
                <w:rFonts w:hint="eastAsia" w:ascii="宋体" w:hAnsi="宋体" w:cs="宋体"/>
                <w:color w:val="000000"/>
                <w:sz w:val="21"/>
                <w:szCs w:val="21"/>
                <w:highlight w:val="none"/>
                <w:u w:val="none"/>
                <w:lang w:val="en-US" w:eastAsia="zh-CN"/>
              </w:rPr>
              <w:t>3.实时多因子参数检测：所有样品孔同时检测，每个样品孔中同时分析O</w:t>
            </w:r>
            <w:r>
              <w:rPr>
                <w:rFonts w:hint="eastAsia" w:ascii="宋体" w:hAnsi="宋体" w:cs="宋体"/>
                <w:color w:val="000000"/>
                <w:sz w:val="21"/>
                <w:szCs w:val="21"/>
                <w:highlight w:val="none"/>
                <w:u w:val="none"/>
                <w:vertAlign w:val="subscript"/>
                <w:lang w:val="en-US" w:eastAsia="zh-CN"/>
              </w:rPr>
              <w:t>2</w:t>
            </w:r>
            <w:r>
              <w:rPr>
                <w:rFonts w:hint="eastAsia" w:ascii="宋体" w:hAnsi="宋体" w:cs="宋体"/>
                <w:color w:val="000000"/>
                <w:sz w:val="21"/>
                <w:szCs w:val="21"/>
                <w:highlight w:val="none"/>
                <w:u w:val="none"/>
                <w:vertAlign w:val="baseline"/>
                <w:lang w:val="en-US" w:eastAsia="zh-CN"/>
              </w:rPr>
              <w:t>与H</w:t>
            </w:r>
            <w:r>
              <w:rPr>
                <w:rFonts w:hint="eastAsia" w:ascii="宋体" w:hAnsi="宋体" w:cs="宋体"/>
                <w:color w:val="000000"/>
                <w:sz w:val="21"/>
                <w:szCs w:val="21"/>
                <w:highlight w:val="none"/>
                <w:u w:val="none"/>
                <w:vertAlign w:val="superscript"/>
                <w:lang w:val="en-US" w:eastAsia="zh-CN"/>
              </w:rPr>
              <w:t>+</w:t>
            </w:r>
            <w:r>
              <w:rPr>
                <w:rFonts w:hint="eastAsia" w:ascii="宋体" w:hAnsi="宋体" w:cs="宋体"/>
                <w:color w:val="000000"/>
                <w:sz w:val="21"/>
                <w:szCs w:val="21"/>
                <w:highlight w:val="none"/>
                <w:u w:val="none"/>
                <w:vertAlign w:val="baseline"/>
                <w:lang w:val="en-US" w:eastAsia="zh-CN"/>
              </w:rPr>
              <w:t>，</w:t>
            </w:r>
            <w:r>
              <w:rPr>
                <w:rFonts w:hint="eastAsia" w:ascii="宋体" w:hAnsi="宋体" w:cs="宋体"/>
                <w:color w:val="000000"/>
                <w:sz w:val="21"/>
                <w:szCs w:val="21"/>
                <w:highlight w:val="none"/>
                <w:u w:val="none"/>
                <w:lang w:val="en-US" w:eastAsia="zh-CN"/>
              </w:rPr>
              <w:t>同时检测0CR与ECAR值，侦测有氧与无氧代谢途径;</w:t>
            </w:r>
          </w:p>
        </w:tc>
        <w:tc>
          <w:tcPr>
            <w:tcW w:w="1733" w:type="dxa"/>
            <w:noWrap w:val="0"/>
            <w:vAlign w:val="center"/>
          </w:tcPr>
          <w:p w14:paraId="69D4F603">
            <w:pPr>
              <w:spacing w:line="360" w:lineRule="atLeast"/>
              <w:jc w:val="center"/>
              <w:rPr>
                <w:rFonts w:hint="eastAsia"/>
                <w:sz w:val="21"/>
                <w:szCs w:val="21"/>
                <w:highlight w:val="none"/>
                <w:lang w:val="zh-CN" w:eastAsia="zh-CN"/>
              </w:rPr>
            </w:pPr>
          </w:p>
        </w:tc>
      </w:tr>
      <w:tr w14:paraId="376845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jc w:val="center"/>
        </w:trPr>
        <w:tc>
          <w:tcPr>
            <w:tcW w:w="1590" w:type="dxa"/>
            <w:noWrap w:val="0"/>
            <w:vAlign w:val="center"/>
          </w:tcPr>
          <w:p w14:paraId="74AF9280">
            <w:pPr>
              <w:spacing w:line="360" w:lineRule="atLeast"/>
              <w:jc w:val="center"/>
              <w:rPr>
                <w:rFonts w:hint="eastAsia"/>
                <w:sz w:val="21"/>
                <w:szCs w:val="21"/>
                <w:highlight w:val="none"/>
                <w:lang w:val="en-US" w:eastAsia="zh-CN"/>
              </w:rPr>
            </w:pPr>
            <w:r>
              <w:rPr>
                <w:rFonts w:hint="eastAsia" w:ascii="宋体" w:hAnsi="宋体" w:cs="宋体"/>
                <w:kern w:val="2"/>
                <w:sz w:val="21"/>
                <w:szCs w:val="21"/>
                <w:highlight w:val="none"/>
                <w:lang w:val="en-US" w:eastAsia="zh-CN" w:bidi="ar-SA"/>
              </w:rPr>
              <w:t>探针类型</w:t>
            </w:r>
          </w:p>
        </w:tc>
        <w:tc>
          <w:tcPr>
            <w:tcW w:w="6096" w:type="dxa"/>
            <w:noWrap w:val="0"/>
            <w:vAlign w:val="center"/>
          </w:tcPr>
          <w:p w14:paraId="7943708C">
            <w:pPr>
              <w:rPr>
                <w:rFonts w:hint="eastAsia"/>
                <w:sz w:val="21"/>
                <w:szCs w:val="21"/>
                <w:highlight w:val="none"/>
                <w:lang w:val="en-US" w:eastAsia="zh-CN"/>
              </w:rPr>
            </w:pPr>
            <w:r>
              <w:rPr>
                <w:rFonts w:hint="eastAsia" w:ascii="宋体" w:hAnsi="宋体" w:cs="宋体"/>
                <w:color w:val="000000"/>
                <w:sz w:val="21"/>
                <w:szCs w:val="21"/>
                <w:highlight w:val="none"/>
                <w:u w:val="none"/>
                <w:lang w:val="en-US" w:eastAsia="zh-CN"/>
              </w:rPr>
              <w:t>▲4.探针类型:固态荧光探针。无需对细胞进行染色标记，对细胞不造成损伤，最大限度降低探针对细胞状态的影响；</w:t>
            </w:r>
          </w:p>
        </w:tc>
        <w:tc>
          <w:tcPr>
            <w:tcW w:w="1733" w:type="dxa"/>
            <w:noWrap w:val="0"/>
            <w:vAlign w:val="center"/>
          </w:tcPr>
          <w:p w14:paraId="048BF524">
            <w:pPr>
              <w:spacing w:line="360" w:lineRule="atLeast"/>
              <w:jc w:val="center"/>
              <w:rPr>
                <w:rFonts w:hint="eastAsia"/>
                <w:sz w:val="21"/>
                <w:szCs w:val="21"/>
                <w:highlight w:val="none"/>
                <w:lang w:val="zh-CN" w:eastAsia="zh-CN"/>
              </w:rPr>
            </w:pPr>
          </w:p>
        </w:tc>
      </w:tr>
      <w:tr w14:paraId="47E549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7" w:hRule="atLeast"/>
          <w:jc w:val="center"/>
        </w:trPr>
        <w:tc>
          <w:tcPr>
            <w:tcW w:w="1590" w:type="dxa"/>
            <w:noWrap w:val="0"/>
            <w:vAlign w:val="center"/>
          </w:tcPr>
          <w:p w14:paraId="22E27085">
            <w:pPr>
              <w:spacing w:line="360" w:lineRule="atLeast"/>
              <w:jc w:val="center"/>
              <w:rPr>
                <w:rFonts w:hint="eastAsia"/>
                <w:sz w:val="21"/>
                <w:szCs w:val="21"/>
                <w:highlight w:val="none"/>
                <w:lang w:val="en-US" w:eastAsia="zh-CN"/>
              </w:rPr>
            </w:pPr>
            <w:r>
              <w:rPr>
                <w:rFonts w:hint="eastAsia" w:ascii="宋体" w:hAnsi="宋体" w:cs="宋体"/>
                <w:kern w:val="2"/>
                <w:sz w:val="21"/>
                <w:szCs w:val="21"/>
                <w:highlight w:val="none"/>
                <w:lang w:val="en-US" w:eastAsia="zh-CN" w:bidi="ar-SA"/>
              </w:rPr>
              <w:t>自动加药</w:t>
            </w:r>
          </w:p>
        </w:tc>
        <w:tc>
          <w:tcPr>
            <w:tcW w:w="6096" w:type="dxa"/>
            <w:noWrap w:val="0"/>
            <w:vAlign w:val="center"/>
          </w:tcPr>
          <w:p w14:paraId="350E720E">
            <w:pPr>
              <w:jc w:val="left"/>
              <w:rPr>
                <w:rFonts w:hint="eastAsia"/>
                <w:sz w:val="21"/>
                <w:szCs w:val="21"/>
                <w:highlight w:val="none"/>
                <w:lang w:val="en-US" w:eastAsia="zh-CN"/>
              </w:rPr>
            </w:pPr>
            <w:r>
              <w:rPr>
                <w:rFonts w:hint="eastAsia" w:ascii="宋体" w:hAnsi="宋体" w:cs="宋体"/>
                <w:color w:val="000000"/>
                <w:sz w:val="21"/>
                <w:szCs w:val="21"/>
                <w:highlight w:val="none"/>
                <w:u w:val="none"/>
                <w:lang w:val="en-US" w:eastAsia="zh-CN"/>
              </w:rPr>
              <w:t>▲5.全自动加药口:具有自动化药物注入功能，可通过气体驱动药物传递，并自动混匀。每个样品孔配有</w:t>
            </w:r>
            <w:r>
              <w:rPr>
                <w:rFonts w:hint="eastAsia" w:ascii="宋体" w:hAnsi="宋体" w:cs="宋体"/>
                <w:color w:val="000000"/>
                <w:sz w:val="21"/>
                <w:szCs w:val="21"/>
                <w:highlight w:val="none"/>
                <w:u w:val="none"/>
                <w:lang w:eastAsia="zh-CN"/>
              </w:rPr>
              <w:t>≥</w:t>
            </w:r>
            <w:r>
              <w:rPr>
                <w:rFonts w:hint="eastAsia" w:ascii="宋体" w:hAnsi="宋体" w:cs="宋体"/>
                <w:color w:val="000000"/>
                <w:sz w:val="21"/>
                <w:szCs w:val="21"/>
                <w:highlight w:val="none"/>
                <w:u w:val="none"/>
                <w:lang w:val="en-US" w:eastAsia="zh-CN"/>
              </w:rPr>
              <w:t>3个全自动加药口，可在实验进程中定时、定量自动加入≥3种不同的研究介质或化合物；</w:t>
            </w:r>
          </w:p>
        </w:tc>
        <w:tc>
          <w:tcPr>
            <w:tcW w:w="1733" w:type="dxa"/>
            <w:noWrap w:val="0"/>
            <w:vAlign w:val="center"/>
          </w:tcPr>
          <w:p w14:paraId="60E8995E">
            <w:pPr>
              <w:spacing w:line="360" w:lineRule="atLeast"/>
              <w:jc w:val="center"/>
              <w:rPr>
                <w:rFonts w:hint="eastAsia"/>
                <w:sz w:val="21"/>
                <w:szCs w:val="21"/>
                <w:highlight w:val="none"/>
                <w:lang w:val="zh-CN" w:eastAsia="zh-CN"/>
              </w:rPr>
            </w:pPr>
            <w:r>
              <w:rPr>
                <w:rFonts w:hint="eastAsia" w:ascii="宋体" w:hAnsi="宋体" w:cs="宋体"/>
                <w:kern w:val="2"/>
                <w:sz w:val="21"/>
                <w:szCs w:val="21"/>
                <w:highlight w:val="none"/>
                <w:lang w:val="en-US" w:eastAsia="zh-CN" w:bidi="ar-SA"/>
              </w:rPr>
              <w:t>每个样品孔加药口数量越多越好</w:t>
            </w:r>
          </w:p>
        </w:tc>
      </w:tr>
      <w:tr w14:paraId="5E8FAE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7" w:hRule="atLeast"/>
          <w:jc w:val="center"/>
        </w:trPr>
        <w:tc>
          <w:tcPr>
            <w:tcW w:w="1590" w:type="dxa"/>
            <w:noWrap w:val="0"/>
            <w:vAlign w:val="center"/>
          </w:tcPr>
          <w:p w14:paraId="6D3EB43F">
            <w:pPr>
              <w:spacing w:line="360" w:lineRule="atLeast"/>
              <w:jc w:val="center"/>
              <w:rPr>
                <w:rFonts w:hint="eastAsia"/>
                <w:sz w:val="21"/>
                <w:szCs w:val="21"/>
                <w:highlight w:val="none"/>
                <w:lang w:val="en-US" w:eastAsia="zh-CN"/>
              </w:rPr>
            </w:pPr>
            <w:r>
              <w:rPr>
                <w:rFonts w:hint="eastAsia" w:ascii="宋体" w:hAnsi="宋体" w:cs="宋体"/>
                <w:kern w:val="2"/>
                <w:sz w:val="21"/>
                <w:szCs w:val="21"/>
                <w:highlight w:val="none"/>
                <w:lang w:val="en-US" w:eastAsia="zh-CN" w:bidi="ar-SA"/>
              </w:rPr>
              <w:t>数据采集</w:t>
            </w:r>
          </w:p>
        </w:tc>
        <w:tc>
          <w:tcPr>
            <w:tcW w:w="6096" w:type="dxa"/>
            <w:noWrap w:val="0"/>
            <w:vAlign w:val="center"/>
          </w:tcPr>
          <w:p w14:paraId="0D9F17EE">
            <w:pPr>
              <w:widowControl/>
              <w:jc w:val="left"/>
              <w:rPr>
                <w:rFonts w:hint="eastAsia"/>
                <w:sz w:val="21"/>
                <w:szCs w:val="21"/>
                <w:highlight w:val="none"/>
                <w:lang w:val="en-US" w:eastAsia="zh-CN"/>
              </w:rPr>
            </w:pPr>
            <w:r>
              <w:rPr>
                <w:rFonts w:hint="eastAsia" w:ascii="宋体" w:hAnsi="宋体" w:cs="宋体"/>
                <w:color w:val="000000"/>
                <w:sz w:val="21"/>
                <w:szCs w:val="21"/>
                <w:highlight w:val="none"/>
                <w:u w:val="none"/>
                <w:lang w:val="en-US" w:eastAsia="zh-CN"/>
              </w:rPr>
              <w:t>6.数据采集:可同时检测线粒体功能与无氧代谢，即时反应细胞生理状态变化，单次检测时间间隔≤20秒；</w:t>
            </w:r>
          </w:p>
        </w:tc>
        <w:tc>
          <w:tcPr>
            <w:tcW w:w="1733" w:type="dxa"/>
            <w:noWrap w:val="0"/>
            <w:vAlign w:val="center"/>
          </w:tcPr>
          <w:p w14:paraId="42F01D9D">
            <w:pPr>
              <w:spacing w:line="360" w:lineRule="atLeast"/>
              <w:jc w:val="center"/>
              <w:rPr>
                <w:rFonts w:hint="eastAsia"/>
                <w:sz w:val="21"/>
                <w:szCs w:val="21"/>
                <w:highlight w:val="none"/>
                <w:lang w:val="zh-CN" w:eastAsia="zh-CN"/>
              </w:rPr>
            </w:pPr>
            <w:r>
              <w:rPr>
                <w:rFonts w:hint="eastAsia" w:ascii="宋体" w:hAnsi="宋体" w:cs="宋体"/>
                <w:kern w:val="2"/>
                <w:sz w:val="21"/>
                <w:szCs w:val="21"/>
                <w:highlight w:val="none"/>
                <w:lang w:val="en-US" w:eastAsia="zh-CN" w:bidi="ar-SA"/>
              </w:rPr>
              <w:t>单次检测时间间隔越短越好</w:t>
            </w:r>
          </w:p>
        </w:tc>
      </w:tr>
      <w:tr w14:paraId="0D62CC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3" w:hRule="atLeast"/>
          <w:jc w:val="center"/>
        </w:trPr>
        <w:tc>
          <w:tcPr>
            <w:tcW w:w="1590" w:type="dxa"/>
            <w:noWrap w:val="0"/>
            <w:vAlign w:val="center"/>
          </w:tcPr>
          <w:p w14:paraId="67E9260C">
            <w:pPr>
              <w:spacing w:line="360" w:lineRule="atLeast"/>
              <w:jc w:val="center"/>
              <w:rPr>
                <w:rFonts w:hint="eastAsia"/>
                <w:sz w:val="21"/>
                <w:szCs w:val="21"/>
                <w:highlight w:val="none"/>
                <w:lang w:val="en-US" w:eastAsia="zh-CN"/>
              </w:rPr>
            </w:pPr>
            <w:r>
              <w:rPr>
                <w:rFonts w:hint="eastAsia" w:ascii="宋体" w:hAnsi="宋体" w:cs="宋体"/>
                <w:kern w:val="2"/>
                <w:sz w:val="21"/>
                <w:szCs w:val="21"/>
                <w:highlight w:val="none"/>
                <w:lang w:val="en-US" w:eastAsia="zh-CN" w:bidi="ar-SA"/>
              </w:rPr>
              <w:t>底物反应</w:t>
            </w:r>
          </w:p>
        </w:tc>
        <w:tc>
          <w:tcPr>
            <w:tcW w:w="6096" w:type="dxa"/>
            <w:noWrap w:val="0"/>
            <w:vAlign w:val="center"/>
          </w:tcPr>
          <w:p w14:paraId="266CBBE6">
            <w:pPr>
              <w:widowControl/>
              <w:jc w:val="left"/>
              <w:rPr>
                <w:rFonts w:hint="eastAsia"/>
                <w:sz w:val="21"/>
                <w:szCs w:val="21"/>
                <w:highlight w:val="none"/>
                <w:lang w:val="en-US" w:eastAsia="zh-CN"/>
              </w:rPr>
            </w:pPr>
            <w:r>
              <w:rPr>
                <w:rFonts w:hint="eastAsia" w:ascii="宋体" w:hAnsi="宋体" w:cs="宋体"/>
                <w:color w:val="000000"/>
                <w:sz w:val="21"/>
                <w:szCs w:val="21"/>
                <w:highlight w:val="none"/>
                <w:u w:val="none"/>
                <w:lang w:val="en-US" w:eastAsia="zh-CN"/>
              </w:rPr>
              <w:t>7.无需样品提取或标记，实时检测活细胞对底物、抑制剂及其他化合物的反应；</w:t>
            </w:r>
          </w:p>
        </w:tc>
        <w:tc>
          <w:tcPr>
            <w:tcW w:w="1733" w:type="dxa"/>
            <w:noWrap w:val="0"/>
            <w:vAlign w:val="center"/>
          </w:tcPr>
          <w:p w14:paraId="34B2CAC3">
            <w:pPr>
              <w:spacing w:line="360" w:lineRule="atLeast"/>
              <w:jc w:val="center"/>
              <w:rPr>
                <w:rFonts w:hint="eastAsia"/>
                <w:sz w:val="21"/>
                <w:szCs w:val="21"/>
                <w:highlight w:val="none"/>
                <w:lang w:val="zh-CN" w:eastAsia="zh-CN"/>
              </w:rPr>
            </w:pPr>
          </w:p>
        </w:tc>
      </w:tr>
      <w:tr w14:paraId="0207BB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2" w:hRule="atLeast"/>
          <w:jc w:val="center"/>
        </w:trPr>
        <w:tc>
          <w:tcPr>
            <w:tcW w:w="1590" w:type="dxa"/>
            <w:noWrap w:val="0"/>
            <w:vAlign w:val="center"/>
          </w:tcPr>
          <w:p w14:paraId="0CC311AB">
            <w:pPr>
              <w:spacing w:line="360" w:lineRule="atLeast"/>
              <w:jc w:val="center"/>
              <w:rPr>
                <w:rFonts w:hint="eastAsia"/>
                <w:sz w:val="21"/>
                <w:szCs w:val="21"/>
                <w:highlight w:val="none"/>
                <w:lang w:val="en-US" w:eastAsia="zh-CN"/>
              </w:rPr>
            </w:pPr>
          </w:p>
        </w:tc>
        <w:tc>
          <w:tcPr>
            <w:tcW w:w="6096" w:type="dxa"/>
            <w:noWrap w:val="0"/>
            <w:vAlign w:val="center"/>
          </w:tcPr>
          <w:p w14:paraId="6A7ED63E">
            <w:pPr>
              <w:widowControl/>
              <w:jc w:val="left"/>
              <w:rPr>
                <w:rFonts w:hint="eastAsia"/>
                <w:sz w:val="21"/>
                <w:szCs w:val="21"/>
                <w:highlight w:val="none"/>
                <w:lang w:val="en-US" w:eastAsia="zh-CN"/>
              </w:rPr>
            </w:pPr>
            <w:r>
              <w:rPr>
                <w:rFonts w:hint="eastAsia" w:ascii="宋体" w:hAnsi="宋体" w:cs="宋体"/>
                <w:color w:val="000000"/>
                <w:sz w:val="21"/>
                <w:szCs w:val="21"/>
                <w:highlight w:val="none"/>
                <w:u w:val="none"/>
                <w:lang w:val="en-US" w:eastAsia="zh-CN"/>
              </w:rPr>
              <w:t>8.有氧与无氧代谢检测分别具备独立反应底物，与样本不接触，对细胞生长状态无影响；</w:t>
            </w:r>
          </w:p>
        </w:tc>
        <w:tc>
          <w:tcPr>
            <w:tcW w:w="1733" w:type="dxa"/>
            <w:noWrap w:val="0"/>
            <w:vAlign w:val="center"/>
          </w:tcPr>
          <w:p w14:paraId="37A481BB">
            <w:pPr>
              <w:spacing w:line="360" w:lineRule="atLeast"/>
              <w:jc w:val="center"/>
              <w:rPr>
                <w:rFonts w:hint="eastAsia"/>
                <w:sz w:val="21"/>
                <w:szCs w:val="21"/>
                <w:highlight w:val="none"/>
                <w:lang w:val="zh-CN" w:eastAsia="zh-CN"/>
              </w:rPr>
            </w:pPr>
          </w:p>
        </w:tc>
      </w:tr>
      <w:tr w14:paraId="48DAFC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2" w:hRule="atLeast"/>
          <w:jc w:val="center"/>
        </w:trPr>
        <w:tc>
          <w:tcPr>
            <w:tcW w:w="1590" w:type="dxa"/>
            <w:noWrap w:val="0"/>
            <w:vAlign w:val="center"/>
          </w:tcPr>
          <w:p w14:paraId="527CDA10">
            <w:pPr>
              <w:spacing w:line="360" w:lineRule="atLeast"/>
              <w:jc w:val="center"/>
              <w:rPr>
                <w:rFonts w:hint="eastAsia"/>
                <w:sz w:val="21"/>
                <w:szCs w:val="21"/>
                <w:highlight w:val="none"/>
                <w:lang w:val="en-US" w:eastAsia="zh-CN"/>
              </w:rPr>
            </w:pPr>
            <w:r>
              <w:rPr>
                <w:rFonts w:hint="eastAsia" w:ascii="宋体" w:hAnsi="宋体" w:cs="宋体"/>
                <w:kern w:val="2"/>
                <w:sz w:val="21"/>
                <w:szCs w:val="21"/>
                <w:highlight w:val="none"/>
                <w:lang w:val="en-US" w:eastAsia="zh-CN" w:bidi="ar-SA"/>
              </w:rPr>
              <w:t>传感器</w:t>
            </w:r>
          </w:p>
        </w:tc>
        <w:tc>
          <w:tcPr>
            <w:tcW w:w="6096" w:type="dxa"/>
            <w:noWrap w:val="0"/>
            <w:vAlign w:val="center"/>
          </w:tcPr>
          <w:p w14:paraId="4D21E517">
            <w:pPr>
              <w:widowControl/>
              <w:jc w:val="left"/>
              <w:rPr>
                <w:rFonts w:hint="eastAsia"/>
                <w:sz w:val="21"/>
                <w:szCs w:val="21"/>
                <w:highlight w:val="none"/>
                <w:lang w:val="en-US" w:eastAsia="zh-CN"/>
              </w:rPr>
            </w:pPr>
            <w:r>
              <w:rPr>
                <w:rFonts w:hint="eastAsia" w:ascii="宋体" w:hAnsi="宋体" w:cs="宋体"/>
                <w:color w:val="000000"/>
                <w:sz w:val="21"/>
                <w:szCs w:val="21"/>
                <w:highlight w:val="none"/>
                <w:u w:val="none"/>
                <w:lang w:val="en-US" w:eastAsia="zh-CN"/>
              </w:rPr>
              <w:t>9.传感器:</w:t>
            </w:r>
            <w:r>
              <w:rPr>
                <w:rFonts w:hint="eastAsia" w:ascii="宋体" w:hAnsi="宋体" w:cs="宋体"/>
                <w:color w:val="000000"/>
                <w:sz w:val="21"/>
                <w:szCs w:val="21"/>
                <w:highlight w:val="none"/>
                <w:u w:val="none"/>
                <w:lang w:eastAsia="zh-CN"/>
              </w:rPr>
              <w:t>≥</w:t>
            </w:r>
            <w:r>
              <w:rPr>
                <w:rFonts w:hint="eastAsia" w:ascii="宋体" w:hAnsi="宋体" w:cs="宋体"/>
                <w:color w:val="000000"/>
                <w:sz w:val="21"/>
                <w:szCs w:val="21"/>
                <w:highlight w:val="none"/>
                <w:u w:val="none"/>
                <w:lang w:val="en-US" w:eastAsia="zh-CN"/>
              </w:rPr>
              <w:t>6个独立于各样品孔的固态光纤传感器；</w:t>
            </w:r>
          </w:p>
        </w:tc>
        <w:tc>
          <w:tcPr>
            <w:tcW w:w="1733" w:type="dxa"/>
            <w:noWrap w:val="0"/>
            <w:vAlign w:val="center"/>
          </w:tcPr>
          <w:p w14:paraId="5D7E529B">
            <w:pPr>
              <w:spacing w:line="360" w:lineRule="atLeast"/>
              <w:jc w:val="center"/>
              <w:rPr>
                <w:rFonts w:hint="eastAsia"/>
                <w:sz w:val="21"/>
                <w:szCs w:val="21"/>
                <w:highlight w:val="none"/>
                <w:lang w:val="zh-CN" w:eastAsia="zh-CN"/>
              </w:rPr>
            </w:pPr>
            <w:r>
              <w:rPr>
                <w:rFonts w:hint="eastAsia" w:ascii="宋体" w:hAnsi="宋体" w:cs="宋体"/>
                <w:kern w:val="2"/>
                <w:sz w:val="21"/>
                <w:szCs w:val="21"/>
                <w:highlight w:val="none"/>
                <w:lang w:val="en-US" w:eastAsia="zh-CN" w:bidi="ar-SA"/>
              </w:rPr>
              <w:t>传感器数量越多越好</w:t>
            </w:r>
          </w:p>
        </w:tc>
      </w:tr>
      <w:tr w14:paraId="70D11C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2" w:hRule="atLeast"/>
          <w:jc w:val="center"/>
        </w:trPr>
        <w:tc>
          <w:tcPr>
            <w:tcW w:w="1590" w:type="dxa"/>
            <w:noWrap w:val="0"/>
            <w:vAlign w:val="center"/>
          </w:tcPr>
          <w:p w14:paraId="0ABB71E3">
            <w:pPr>
              <w:spacing w:line="360" w:lineRule="atLeast"/>
              <w:jc w:val="center"/>
              <w:rPr>
                <w:rFonts w:hint="eastAsia"/>
                <w:sz w:val="21"/>
                <w:szCs w:val="21"/>
                <w:highlight w:val="none"/>
                <w:lang w:val="en-US" w:eastAsia="zh-CN"/>
              </w:rPr>
            </w:pPr>
            <w:r>
              <w:rPr>
                <w:rFonts w:hint="eastAsia" w:ascii="宋体" w:hAnsi="宋体" w:cs="宋体"/>
                <w:kern w:val="2"/>
                <w:sz w:val="21"/>
                <w:szCs w:val="21"/>
                <w:highlight w:val="none"/>
                <w:lang w:val="en-US" w:eastAsia="zh-CN" w:bidi="ar-SA"/>
              </w:rPr>
              <w:t>微室体积</w:t>
            </w:r>
          </w:p>
        </w:tc>
        <w:tc>
          <w:tcPr>
            <w:tcW w:w="6096" w:type="dxa"/>
            <w:noWrap w:val="0"/>
            <w:vAlign w:val="center"/>
          </w:tcPr>
          <w:p w14:paraId="687ADE8F">
            <w:pPr>
              <w:widowControl/>
              <w:jc w:val="left"/>
              <w:rPr>
                <w:rFonts w:hint="eastAsia"/>
                <w:sz w:val="21"/>
                <w:szCs w:val="21"/>
                <w:highlight w:val="none"/>
                <w:lang w:val="en-US" w:eastAsia="zh-CN"/>
              </w:rPr>
            </w:pPr>
            <w:r>
              <w:rPr>
                <w:rFonts w:hint="eastAsia" w:ascii="宋体" w:hAnsi="宋体" w:cs="宋体"/>
                <w:color w:val="000000"/>
                <w:sz w:val="21"/>
                <w:szCs w:val="21"/>
                <w:highlight w:val="none"/>
                <w:u w:val="none"/>
                <w:lang w:val="en-US" w:eastAsia="zh-CN"/>
              </w:rPr>
              <w:t>10.微室体积:≤3uL；体积越小培养基中氧和质子浓度变化越快速与明显，可为检测代谢提供更加出色灵敏度。</w:t>
            </w:r>
          </w:p>
        </w:tc>
        <w:tc>
          <w:tcPr>
            <w:tcW w:w="1733" w:type="dxa"/>
            <w:noWrap w:val="0"/>
            <w:vAlign w:val="center"/>
          </w:tcPr>
          <w:p w14:paraId="3BA53661">
            <w:pPr>
              <w:spacing w:line="360" w:lineRule="atLeast"/>
              <w:jc w:val="center"/>
              <w:rPr>
                <w:rFonts w:hint="eastAsia"/>
                <w:sz w:val="21"/>
                <w:szCs w:val="21"/>
                <w:highlight w:val="none"/>
                <w:lang w:val="zh-CN" w:eastAsia="zh-CN"/>
              </w:rPr>
            </w:pPr>
            <w:r>
              <w:rPr>
                <w:rFonts w:hint="eastAsia" w:ascii="宋体" w:hAnsi="宋体" w:cs="宋体"/>
                <w:kern w:val="2"/>
                <w:sz w:val="21"/>
                <w:szCs w:val="21"/>
                <w:highlight w:val="none"/>
                <w:lang w:val="en-US" w:eastAsia="zh-CN" w:bidi="ar-SA"/>
              </w:rPr>
              <w:t>微室体积越小越好</w:t>
            </w:r>
          </w:p>
        </w:tc>
      </w:tr>
      <w:tr w14:paraId="0262DA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2" w:hRule="atLeast"/>
          <w:jc w:val="center"/>
        </w:trPr>
        <w:tc>
          <w:tcPr>
            <w:tcW w:w="1590" w:type="dxa"/>
            <w:noWrap w:val="0"/>
            <w:vAlign w:val="center"/>
          </w:tcPr>
          <w:p w14:paraId="7B652CD8">
            <w:pPr>
              <w:spacing w:line="360" w:lineRule="atLeast"/>
              <w:jc w:val="center"/>
              <w:rPr>
                <w:rFonts w:hint="eastAsia"/>
                <w:sz w:val="21"/>
                <w:szCs w:val="21"/>
                <w:highlight w:val="none"/>
                <w:lang w:val="en-US" w:eastAsia="zh-CN"/>
              </w:rPr>
            </w:pPr>
            <w:r>
              <w:rPr>
                <w:rFonts w:hint="eastAsia" w:ascii="宋体" w:hAnsi="宋体" w:cs="宋体"/>
                <w:kern w:val="2"/>
                <w:sz w:val="21"/>
                <w:szCs w:val="21"/>
                <w:highlight w:val="none"/>
                <w:lang w:val="en-US" w:eastAsia="zh-CN" w:bidi="ar-SA"/>
              </w:rPr>
              <w:t>样品类型</w:t>
            </w:r>
          </w:p>
        </w:tc>
        <w:tc>
          <w:tcPr>
            <w:tcW w:w="6096" w:type="dxa"/>
            <w:noWrap w:val="0"/>
            <w:vAlign w:val="center"/>
          </w:tcPr>
          <w:p w14:paraId="48887C8C">
            <w:pPr>
              <w:widowControl/>
              <w:jc w:val="left"/>
              <w:rPr>
                <w:rFonts w:hint="eastAsia"/>
                <w:sz w:val="21"/>
                <w:szCs w:val="21"/>
                <w:highlight w:val="none"/>
                <w:lang w:val="en-US" w:eastAsia="zh-CN"/>
              </w:rPr>
            </w:pPr>
            <w:r>
              <w:rPr>
                <w:rFonts w:hint="eastAsia" w:ascii="宋体" w:hAnsi="宋体" w:cs="宋体"/>
                <w:color w:val="000000"/>
                <w:sz w:val="21"/>
                <w:szCs w:val="21"/>
                <w:highlight w:val="none"/>
                <w:u w:val="none"/>
                <w:lang w:val="en-US" w:eastAsia="zh-CN"/>
              </w:rPr>
              <w:t>11.样品类型:各类悬浮细胞、贴壁细胞、分离线粒体样品等；</w:t>
            </w:r>
          </w:p>
        </w:tc>
        <w:tc>
          <w:tcPr>
            <w:tcW w:w="1733" w:type="dxa"/>
            <w:noWrap w:val="0"/>
            <w:vAlign w:val="center"/>
          </w:tcPr>
          <w:p w14:paraId="447F1351">
            <w:pPr>
              <w:spacing w:line="360" w:lineRule="atLeast"/>
              <w:jc w:val="center"/>
              <w:rPr>
                <w:rFonts w:hint="eastAsia"/>
                <w:sz w:val="21"/>
                <w:szCs w:val="21"/>
                <w:highlight w:val="none"/>
                <w:lang w:val="zh-CN" w:eastAsia="zh-CN"/>
              </w:rPr>
            </w:pPr>
          </w:p>
        </w:tc>
      </w:tr>
      <w:tr w14:paraId="004CCF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4" w:hRule="atLeast"/>
          <w:jc w:val="center"/>
        </w:trPr>
        <w:tc>
          <w:tcPr>
            <w:tcW w:w="9419" w:type="dxa"/>
            <w:gridSpan w:val="3"/>
            <w:noWrap w:val="0"/>
            <w:vAlign w:val="center"/>
          </w:tcPr>
          <w:p w14:paraId="77DDFEFE">
            <w:pPr>
              <w:spacing w:line="480" w:lineRule="exact"/>
              <w:rPr>
                <w:rFonts w:hint="eastAsia" w:ascii="仿宋_GB2312" w:eastAsia="仿宋_GB2312" w:cs="仿宋_GB2312"/>
                <w:szCs w:val="21"/>
                <w:highlight w:val="none"/>
              </w:rPr>
            </w:pPr>
            <w:r>
              <w:rPr>
                <w:rFonts w:hint="eastAsia" w:ascii="仿宋_GB2312" w:eastAsia="仿宋_GB2312" w:cs="仿宋_GB2312"/>
                <w:szCs w:val="21"/>
                <w:highlight w:val="none"/>
              </w:rPr>
              <w:t>（“★”和 正偏离参数请在“技术指标参数响应偏离表”中标注对应支撑材料页码）</w:t>
            </w:r>
          </w:p>
        </w:tc>
      </w:tr>
      <w:tr w14:paraId="5F09E7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5" w:hRule="atLeast"/>
          <w:jc w:val="center"/>
        </w:trPr>
        <w:tc>
          <w:tcPr>
            <w:tcW w:w="7686" w:type="dxa"/>
            <w:gridSpan w:val="2"/>
            <w:noWrap w:val="0"/>
            <w:vAlign w:val="center"/>
          </w:tcPr>
          <w:p w14:paraId="2964E7C6">
            <w:pPr>
              <w:spacing w:line="300" w:lineRule="exact"/>
              <w:jc w:val="center"/>
              <w:rPr>
                <w:rFonts w:ascii="宋体" w:hAnsi="宋体" w:cs="华文中宋"/>
                <w:b/>
                <w:bCs/>
                <w:szCs w:val="21"/>
                <w:highlight w:val="none"/>
              </w:rPr>
            </w:pPr>
            <w:r>
              <w:rPr>
                <w:rFonts w:hint="eastAsia" w:ascii="宋体" w:hAnsi="宋体" w:cs="华文中宋"/>
                <w:b/>
                <w:bCs/>
                <w:szCs w:val="21"/>
                <w:highlight w:val="none"/>
              </w:rPr>
              <w:t>设备配置清单</w:t>
            </w:r>
          </w:p>
        </w:tc>
        <w:tc>
          <w:tcPr>
            <w:tcW w:w="1733" w:type="dxa"/>
            <w:noWrap w:val="0"/>
            <w:vAlign w:val="center"/>
          </w:tcPr>
          <w:p w14:paraId="030454D3">
            <w:pPr>
              <w:jc w:val="center"/>
              <w:rPr>
                <w:rFonts w:ascii="宋体" w:hAnsi="宋体" w:cs="华文中宋"/>
                <w:b/>
                <w:bCs/>
                <w:szCs w:val="21"/>
                <w:highlight w:val="none"/>
              </w:rPr>
            </w:pPr>
            <w:r>
              <w:rPr>
                <w:rFonts w:hint="eastAsia" w:ascii="宋体" w:hAnsi="宋体" w:cs="华文中宋"/>
                <w:b/>
                <w:bCs/>
                <w:szCs w:val="21"/>
                <w:highlight w:val="none"/>
              </w:rPr>
              <w:t>数量</w:t>
            </w:r>
          </w:p>
        </w:tc>
      </w:tr>
      <w:tr w14:paraId="11FE24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jc w:val="center"/>
        </w:trPr>
        <w:tc>
          <w:tcPr>
            <w:tcW w:w="7686" w:type="dxa"/>
            <w:gridSpan w:val="2"/>
            <w:noWrap w:val="0"/>
            <w:vAlign w:val="center"/>
          </w:tcPr>
          <w:p w14:paraId="79360E19">
            <w:pPr>
              <w:widowControl/>
              <w:jc w:val="center"/>
              <w:rPr>
                <w:rFonts w:hint="eastAsia"/>
                <w:sz w:val="21"/>
                <w:szCs w:val="21"/>
                <w:highlight w:val="none"/>
                <w:lang w:val="en-US" w:eastAsia="zh-CN"/>
              </w:rPr>
            </w:pPr>
            <w:r>
              <w:rPr>
                <w:rFonts w:hint="eastAsia" w:ascii="宋体" w:hAnsi="宋体" w:cs="宋体"/>
                <w:kern w:val="0"/>
                <w:sz w:val="21"/>
                <w:szCs w:val="21"/>
                <w:highlight w:val="none"/>
                <w:lang w:bidi="zh-CN"/>
              </w:rPr>
              <w:t>主机（含内置操作及分析软件一套）</w:t>
            </w:r>
          </w:p>
        </w:tc>
        <w:tc>
          <w:tcPr>
            <w:tcW w:w="1733" w:type="dxa"/>
            <w:noWrap w:val="0"/>
            <w:vAlign w:val="center"/>
          </w:tcPr>
          <w:p w14:paraId="1463401D">
            <w:pPr>
              <w:widowControl/>
              <w:jc w:val="center"/>
              <w:rPr>
                <w:rFonts w:hint="default"/>
                <w:sz w:val="21"/>
                <w:szCs w:val="21"/>
                <w:highlight w:val="none"/>
                <w:lang w:val="en-US" w:eastAsia="zh-CN"/>
              </w:rPr>
            </w:pPr>
            <w:r>
              <w:rPr>
                <w:rFonts w:hint="eastAsia" w:ascii="宋体" w:hAnsi="宋体" w:cs="宋体"/>
                <w:sz w:val="21"/>
                <w:szCs w:val="21"/>
                <w:highlight w:val="none"/>
                <w:lang w:val="en-US" w:eastAsia="zh-CN"/>
              </w:rPr>
              <w:t>1台</w:t>
            </w:r>
          </w:p>
        </w:tc>
      </w:tr>
      <w:tr w14:paraId="7E3244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jc w:val="center"/>
        </w:trPr>
        <w:tc>
          <w:tcPr>
            <w:tcW w:w="9419" w:type="dxa"/>
            <w:gridSpan w:val="3"/>
            <w:noWrap w:val="0"/>
            <w:vAlign w:val="center"/>
          </w:tcPr>
          <w:p w14:paraId="6EE37613">
            <w:pPr>
              <w:keepNext w:val="0"/>
              <w:keepLines w:val="0"/>
              <w:pageBreakBefore w:val="0"/>
              <w:widowControl w:val="0"/>
              <w:kinsoku/>
              <w:wordWrap/>
              <w:overflowPunct/>
              <w:topLinePunct w:val="0"/>
              <w:autoSpaceDE/>
              <w:autoSpaceDN/>
              <w:bidi w:val="0"/>
              <w:adjustRightInd/>
              <w:snapToGrid/>
              <w:spacing w:line="340" w:lineRule="exact"/>
              <w:ind w:left="0" w:firstLine="0" w:firstLineChars="0"/>
              <w:jc w:val="left"/>
              <w:textAlignment w:val="auto"/>
              <w:rPr>
                <w:rFonts w:hint="eastAsia"/>
                <w:highlight w:val="none"/>
              </w:rPr>
            </w:pPr>
            <w:r>
              <w:rPr>
                <w:highlight w:val="none"/>
              </w:rPr>
              <w:t>备注： 1、带“★”符号项目为必须满足指标，若出现一项负偏离，则视为废标 ，需逐条说明具体理由</w:t>
            </w:r>
            <w:r>
              <w:rPr>
                <w:rFonts w:hint="eastAsia"/>
                <w:highlight w:val="none"/>
              </w:rPr>
              <w:t xml:space="preserve"> </w:t>
            </w:r>
            <w:r>
              <w:rPr>
                <w:highlight w:val="none"/>
              </w:rPr>
              <w:t xml:space="preserve">  </w:t>
            </w:r>
          </w:p>
          <w:p w14:paraId="305AEDBC">
            <w:pPr>
              <w:keepNext w:val="0"/>
              <w:keepLines w:val="0"/>
              <w:pageBreakBefore w:val="0"/>
              <w:widowControl w:val="0"/>
              <w:kinsoku/>
              <w:wordWrap/>
              <w:overflowPunct/>
              <w:topLinePunct w:val="0"/>
              <w:autoSpaceDE/>
              <w:autoSpaceDN/>
              <w:bidi w:val="0"/>
              <w:adjustRightInd/>
              <w:snapToGrid/>
              <w:spacing w:line="340" w:lineRule="exact"/>
              <w:ind w:left="0" w:firstLine="0" w:firstLineChars="0"/>
              <w:jc w:val="left"/>
              <w:textAlignment w:val="auto"/>
              <w:rPr>
                <w:rFonts w:hint="eastAsia"/>
                <w:highlight w:val="none"/>
              </w:rPr>
            </w:pPr>
            <w:r>
              <w:rPr>
                <w:highlight w:val="none"/>
              </w:rPr>
              <w:t>2、带“▲”符号项目为重要指标</w:t>
            </w:r>
          </w:p>
          <w:p w14:paraId="7E53EF81">
            <w:pPr>
              <w:keepNext w:val="0"/>
              <w:keepLines w:val="0"/>
              <w:pageBreakBefore w:val="0"/>
              <w:widowControl w:val="0"/>
              <w:kinsoku/>
              <w:wordWrap/>
              <w:overflowPunct/>
              <w:topLinePunct w:val="0"/>
              <w:autoSpaceDE/>
              <w:autoSpaceDN/>
              <w:bidi w:val="0"/>
              <w:adjustRightInd/>
              <w:snapToGrid/>
              <w:spacing w:line="340" w:lineRule="exact"/>
              <w:ind w:left="0" w:firstLine="0" w:firstLineChars="0"/>
              <w:jc w:val="left"/>
              <w:textAlignment w:val="auto"/>
              <w:rPr>
                <w:highlight w:val="none"/>
              </w:rPr>
            </w:pPr>
            <w:r>
              <w:rPr>
                <w:highlight w:val="none"/>
              </w:rPr>
              <w:t>3、其他项目为一般指标</w:t>
            </w:r>
          </w:p>
          <w:p w14:paraId="41956D9C">
            <w:pPr>
              <w:widowControl/>
              <w:jc w:val="left"/>
              <w:rPr>
                <w:rFonts w:hint="eastAsia"/>
                <w:sz w:val="21"/>
                <w:szCs w:val="21"/>
                <w:highlight w:val="none"/>
                <w:lang w:val="en-US" w:eastAsia="zh-CN"/>
              </w:rPr>
            </w:pPr>
            <w:r>
              <w:rPr>
                <w:rFonts w:hint="eastAsia"/>
                <w:highlight w:val="none"/>
              </w:rPr>
              <w:t>4、</w:t>
            </w:r>
            <w:r>
              <w:rPr>
                <w:rFonts w:hint="eastAsia" w:ascii="宋体" w:hAnsi="宋体" w:cs="华文中宋"/>
                <w:b/>
                <w:bCs/>
                <w:szCs w:val="21"/>
                <w:highlight w:val="none"/>
              </w:rPr>
              <w:t>设备配置清单在</w:t>
            </w:r>
            <w:r>
              <w:rPr>
                <w:rFonts w:hint="eastAsia" w:ascii="宋体" w:hAnsi="宋体" w:cs="华文中宋"/>
                <w:b/>
                <w:bCs/>
                <w:szCs w:val="21"/>
                <w:highlight w:val="none"/>
                <w:lang w:eastAsia="zh-CN"/>
              </w:rPr>
              <w:t>商务技术文件</w:t>
            </w:r>
            <w:r>
              <w:rPr>
                <w:rFonts w:hint="eastAsia" w:ascii="宋体" w:hAnsi="宋体" w:cs="华文中宋"/>
                <w:b/>
                <w:bCs/>
                <w:szCs w:val="21"/>
                <w:highlight w:val="none"/>
              </w:rPr>
              <w:t>-交货清单中响应即可。</w:t>
            </w:r>
          </w:p>
        </w:tc>
      </w:tr>
    </w:tbl>
    <w:p w14:paraId="4703B027">
      <w:pPr>
        <w:pStyle w:val="156"/>
        <w:spacing w:line="560" w:lineRule="exact"/>
        <w:ind w:firstLine="0" w:firstLineChars="0"/>
        <w:rPr>
          <w:rFonts w:hint="eastAsia" w:ascii="仿宋_GB2312" w:hAnsi="仿宋_GB2312" w:eastAsia="仿宋_GB2312" w:cs="仿宋_GB2312"/>
          <w:b/>
          <w:bCs/>
          <w:sz w:val="24"/>
          <w:szCs w:val="24"/>
          <w:highlight w:val="none"/>
          <w:lang w:val="zh-CN"/>
        </w:rPr>
      </w:pPr>
    </w:p>
    <w:p w14:paraId="12AE91ED">
      <w:pPr>
        <w:pStyle w:val="156"/>
        <w:spacing w:line="560" w:lineRule="exact"/>
        <w:ind w:firstLine="0" w:firstLineChars="0"/>
        <w:rPr>
          <w:rFonts w:hint="eastAsia" w:ascii="仿宋_GB2312" w:hAnsi="仿宋_GB2312" w:eastAsia="仿宋_GB2312" w:cs="仿宋_GB2312"/>
          <w:b/>
          <w:bCs/>
          <w:sz w:val="24"/>
          <w:szCs w:val="24"/>
          <w:highlight w:val="none"/>
          <w:lang w:val="zh-CN"/>
        </w:rPr>
      </w:pPr>
      <w:r>
        <w:rPr>
          <w:rFonts w:hint="eastAsia" w:ascii="仿宋_GB2312" w:hAnsi="仿宋_GB2312" w:eastAsia="仿宋_GB2312" w:cs="仿宋_GB2312"/>
          <w:b/>
          <w:bCs/>
          <w:sz w:val="24"/>
          <w:szCs w:val="24"/>
          <w:highlight w:val="none"/>
          <w:lang w:val="zh-CN"/>
        </w:rPr>
        <w:t>强调：</w:t>
      </w:r>
    </w:p>
    <w:p w14:paraId="66197BCF">
      <w:pPr>
        <w:pStyle w:val="156"/>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仿宋_GB2312" w:hAnsi="仿宋_GB2312" w:eastAsia="仿宋_GB2312" w:cs="仿宋_GB2312"/>
          <w:b w:val="0"/>
          <w:bCs w:val="0"/>
          <w:sz w:val="24"/>
          <w:szCs w:val="24"/>
          <w:highlight w:val="none"/>
          <w:lang w:val="en-US" w:eastAsia="zh-CN"/>
        </w:rPr>
      </w:pPr>
      <w:r>
        <w:rPr>
          <w:rFonts w:hint="eastAsia" w:ascii="仿宋_GB2312" w:hAnsi="仿宋_GB2312" w:eastAsia="仿宋_GB2312" w:cs="仿宋_GB2312"/>
          <w:b w:val="0"/>
          <w:bCs w:val="0"/>
          <w:sz w:val="24"/>
          <w:szCs w:val="24"/>
          <w:highlight w:val="none"/>
          <w:lang w:val="en-US" w:eastAsia="zh-CN"/>
        </w:rPr>
        <w:t>注：</w:t>
      </w:r>
      <w:r>
        <w:rPr>
          <w:rFonts w:hint="default" w:ascii="仿宋_GB2312" w:hAnsi="仿宋_GB2312" w:eastAsia="仿宋_GB2312" w:cs="仿宋_GB2312"/>
          <w:b w:val="0"/>
          <w:bCs w:val="0"/>
          <w:sz w:val="24"/>
          <w:szCs w:val="24"/>
          <w:highlight w:val="none"/>
          <w:lang w:eastAsia="zh-CN"/>
        </w:rPr>
        <w:t>1.</w:t>
      </w:r>
      <w:r>
        <w:rPr>
          <w:rFonts w:hint="eastAsia" w:ascii="仿宋_GB2312" w:hAnsi="仿宋_GB2312" w:eastAsia="仿宋_GB2312" w:cs="仿宋_GB2312"/>
          <w:sz w:val="24"/>
          <w:szCs w:val="24"/>
          <w:highlight w:val="none"/>
          <w:lang w:val="zh-CN"/>
        </w:rPr>
        <w:t>关键技术指标以“★”标记，重要技术指标以“▲”标记，一般技术指标不作标记。★号技术指标必须全部响应，若有一项★号条款未响应或不满足，均视为非实质性响应《</w:t>
      </w:r>
      <w:r>
        <w:rPr>
          <w:rFonts w:hint="eastAsia" w:ascii="仿宋_GB2312" w:hAnsi="仿宋_GB2312" w:eastAsia="仿宋_GB2312" w:cs="仿宋_GB2312"/>
          <w:sz w:val="24"/>
          <w:szCs w:val="24"/>
          <w:highlight w:val="none"/>
          <w:lang w:val="en-US" w:eastAsia="zh-CN"/>
        </w:rPr>
        <w:t>竞争性谈判文件</w:t>
      </w:r>
      <w:r>
        <w:rPr>
          <w:rFonts w:hint="eastAsia" w:ascii="仿宋_GB2312" w:hAnsi="仿宋_GB2312" w:eastAsia="仿宋_GB2312" w:cs="仿宋_GB2312"/>
          <w:sz w:val="24"/>
          <w:szCs w:val="24"/>
          <w:highlight w:val="none"/>
          <w:lang w:val="zh-CN"/>
        </w:rPr>
        <w:t>》，按无效报价处理。</w:t>
      </w:r>
    </w:p>
    <w:p w14:paraId="1EDB26ED">
      <w:pPr>
        <w:pStyle w:val="156"/>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仿宋_GB2312" w:hAnsi="仿宋_GB2312" w:eastAsia="仿宋_GB2312" w:cs="仿宋_GB2312"/>
          <w:b w:val="0"/>
          <w:bCs w:val="0"/>
          <w:sz w:val="24"/>
          <w:szCs w:val="24"/>
          <w:highlight w:val="none"/>
          <w:lang w:val="en-US" w:eastAsia="zh-CN"/>
        </w:rPr>
      </w:pPr>
      <w:r>
        <w:rPr>
          <w:rFonts w:hint="eastAsia" w:ascii="仿宋_GB2312" w:hAnsi="仿宋_GB2312" w:eastAsia="仿宋_GB2312" w:cs="仿宋_GB2312"/>
          <w:b w:val="0"/>
          <w:bCs w:val="0"/>
          <w:sz w:val="24"/>
          <w:szCs w:val="24"/>
          <w:highlight w:val="none"/>
          <w:lang w:val="en-US" w:eastAsia="zh-CN"/>
        </w:rPr>
        <w:t>2.对于采购需求中难以验证、难以评判的指标由制造商出具承诺函即可；对于需要定制、涉及安装调试等客观内容无法提供技术证明资料的部分由报价人出具完全响应的承诺即可（承诺形式包含出具承诺函或技术参数响应偏离表响应无偏离）。</w:t>
      </w:r>
    </w:p>
    <w:p w14:paraId="20968FC2">
      <w:pPr>
        <w:pStyle w:val="156"/>
        <w:keepNext w:val="0"/>
        <w:keepLines w:val="0"/>
        <w:pageBreakBefore w:val="0"/>
        <w:widowControl w:val="0"/>
        <w:kinsoku/>
        <w:wordWrap/>
        <w:overflowPunct/>
        <w:topLinePunct w:val="0"/>
        <w:autoSpaceDE/>
        <w:autoSpaceDN/>
        <w:bidi w:val="0"/>
        <w:adjustRightInd/>
        <w:snapToGrid/>
        <w:spacing w:line="500" w:lineRule="exact"/>
        <w:ind w:firstLine="562"/>
        <w:textAlignment w:val="auto"/>
        <w:rPr>
          <w:rFonts w:hint="eastAsia" w:ascii="仿宋_GB2312" w:hAnsi="仿宋_GB2312" w:eastAsia="仿宋_GB2312" w:cs="仿宋_GB2312"/>
          <w:sz w:val="24"/>
          <w:szCs w:val="24"/>
          <w:highlight w:val="none"/>
          <w:lang w:val="zh-CN"/>
        </w:rPr>
      </w:pPr>
      <w:r>
        <w:rPr>
          <w:rFonts w:hint="eastAsia" w:ascii="仿宋_GB2312" w:hAnsi="仿宋_GB2312" w:eastAsia="仿宋_GB2312" w:cs="仿宋_GB2312"/>
          <w:sz w:val="24"/>
          <w:szCs w:val="24"/>
          <w:highlight w:val="none"/>
          <w:lang w:val="en-US" w:eastAsia="zh-CN"/>
        </w:rPr>
        <w:t>3.</w:t>
      </w:r>
      <w:r>
        <w:rPr>
          <w:rFonts w:hint="eastAsia" w:ascii="仿宋_GB2312" w:hAnsi="仿宋_GB2312" w:eastAsia="仿宋_GB2312" w:cs="仿宋_GB2312"/>
          <w:sz w:val="24"/>
          <w:szCs w:val="24"/>
          <w:highlight w:val="none"/>
          <w:lang w:val="zh-CN"/>
        </w:rPr>
        <w:t>设备</w:t>
      </w:r>
      <w:r>
        <w:rPr>
          <w:rFonts w:hint="eastAsia" w:ascii="仿宋_GB2312" w:hAnsi="仿宋_GB2312" w:eastAsia="仿宋_GB2312" w:cs="仿宋_GB2312"/>
          <w:sz w:val="24"/>
          <w:szCs w:val="24"/>
          <w:highlight w:val="none"/>
          <w:lang w:val="en-US" w:eastAsia="zh-CN"/>
        </w:rPr>
        <w:t>产品用途及使用范围</w:t>
      </w:r>
      <w:r>
        <w:rPr>
          <w:rFonts w:hint="eastAsia" w:ascii="仿宋_GB2312" w:hAnsi="仿宋_GB2312" w:eastAsia="仿宋_GB2312" w:cs="仿宋_GB2312"/>
          <w:sz w:val="24"/>
          <w:szCs w:val="24"/>
          <w:highlight w:val="none"/>
          <w:lang w:val="zh-CN"/>
        </w:rPr>
        <w:t>、</w:t>
      </w:r>
      <w:r>
        <w:rPr>
          <w:rFonts w:hint="eastAsia" w:ascii="仿宋_GB2312" w:hAnsi="仿宋_GB2312" w:eastAsia="仿宋_GB2312" w:cs="仿宋_GB2312"/>
          <w:sz w:val="24"/>
          <w:szCs w:val="24"/>
          <w:highlight w:val="none"/>
          <w:lang w:val="en-US" w:eastAsia="zh-CN"/>
        </w:rPr>
        <w:t>使用环境</w:t>
      </w:r>
      <w:r>
        <w:rPr>
          <w:rFonts w:hint="eastAsia" w:ascii="仿宋_GB2312" w:hAnsi="仿宋_GB2312" w:eastAsia="仿宋_GB2312" w:cs="仿宋_GB2312"/>
          <w:sz w:val="24"/>
          <w:szCs w:val="24"/>
          <w:highlight w:val="none"/>
          <w:lang w:val="zh-CN"/>
        </w:rPr>
        <w:t>、</w:t>
      </w:r>
      <w:r>
        <w:rPr>
          <w:rFonts w:hint="eastAsia" w:ascii="仿宋_GB2312" w:hAnsi="仿宋_GB2312" w:eastAsia="仿宋_GB2312" w:cs="仿宋_GB2312"/>
          <w:sz w:val="24"/>
          <w:szCs w:val="24"/>
          <w:highlight w:val="none"/>
          <w:lang w:val="en-US" w:eastAsia="zh-CN"/>
        </w:rPr>
        <w:t>安装场地</w:t>
      </w:r>
      <w:r>
        <w:rPr>
          <w:rFonts w:hint="default" w:ascii="仿宋_GB2312" w:hAnsi="仿宋_GB2312" w:eastAsia="仿宋_GB2312" w:cs="仿宋_GB2312"/>
          <w:sz w:val="24"/>
          <w:szCs w:val="24"/>
          <w:highlight w:val="none"/>
          <w:lang w:eastAsia="zh-CN"/>
        </w:rPr>
        <w:t>、</w:t>
      </w:r>
      <w:r>
        <w:rPr>
          <w:rFonts w:hint="eastAsia" w:ascii="仿宋_GB2312" w:hAnsi="仿宋_GB2312" w:eastAsia="仿宋_GB2312" w:cs="仿宋_GB2312"/>
          <w:sz w:val="24"/>
          <w:szCs w:val="24"/>
          <w:highlight w:val="none"/>
          <w:lang w:val="en-US" w:eastAsia="zh-CN"/>
        </w:rPr>
        <w:t>设备配置清单</w:t>
      </w:r>
      <w:r>
        <w:rPr>
          <w:rFonts w:hint="eastAsia" w:ascii="仿宋_GB2312" w:hAnsi="仿宋_GB2312" w:eastAsia="仿宋_GB2312" w:cs="仿宋_GB2312"/>
          <w:sz w:val="24"/>
          <w:szCs w:val="24"/>
          <w:highlight w:val="none"/>
          <w:lang w:val="zh-CN"/>
        </w:rPr>
        <w:t>若有一项未响应或不满足（负偏离），均视为非实质性响应，按无效</w:t>
      </w:r>
      <w:r>
        <w:rPr>
          <w:rFonts w:hint="eastAsia" w:ascii="仿宋_GB2312" w:hAnsi="仿宋_GB2312" w:eastAsia="仿宋_GB2312" w:cs="仿宋_GB2312"/>
          <w:sz w:val="24"/>
          <w:szCs w:val="24"/>
          <w:highlight w:val="none"/>
          <w:lang w:val="en-US" w:eastAsia="zh-CN"/>
        </w:rPr>
        <w:t>投标</w:t>
      </w:r>
      <w:r>
        <w:rPr>
          <w:rFonts w:hint="eastAsia" w:ascii="仿宋_GB2312" w:hAnsi="仿宋_GB2312" w:eastAsia="仿宋_GB2312" w:cs="仿宋_GB2312"/>
          <w:sz w:val="24"/>
          <w:szCs w:val="24"/>
          <w:highlight w:val="none"/>
          <w:lang w:val="zh-CN"/>
        </w:rPr>
        <w:t>处理。本项目“★”指标和存在“正偏离”的技术指标，</w:t>
      </w:r>
      <w:r>
        <w:rPr>
          <w:rFonts w:hint="eastAsia" w:ascii="仿宋_GB2312" w:hAnsi="仿宋_GB2312" w:eastAsia="仿宋_GB2312" w:cs="仿宋_GB2312"/>
          <w:sz w:val="24"/>
          <w:szCs w:val="24"/>
          <w:highlight w:val="none"/>
          <w:lang w:val="en-US" w:eastAsia="zh-CN"/>
        </w:rPr>
        <w:t>投标</w:t>
      </w:r>
      <w:r>
        <w:rPr>
          <w:rFonts w:hint="eastAsia" w:ascii="仿宋_GB2312" w:hAnsi="仿宋_GB2312" w:eastAsia="仿宋_GB2312" w:cs="仿宋_GB2312"/>
          <w:sz w:val="24"/>
          <w:szCs w:val="24"/>
          <w:highlight w:val="none"/>
          <w:lang w:val="zh-CN"/>
        </w:rPr>
        <w:t>供应商须提供与报价货物品牌、规格型号相一致的技术支持资料，★号技术指标响应无依据来源或依据来源不明确的，视为不满足，按无效</w:t>
      </w:r>
      <w:r>
        <w:rPr>
          <w:rFonts w:hint="eastAsia" w:ascii="仿宋_GB2312" w:hAnsi="仿宋_GB2312" w:eastAsia="仿宋_GB2312" w:cs="仿宋_GB2312"/>
          <w:sz w:val="24"/>
          <w:szCs w:val="24"/>
          <w:highlight w:val="none"/>
          <w:lang w:val="en-US" w:eastAsia="zh-CN"/>
        </w:rPr>
        <w:t>投标</w:t>
      </w:r>
      <w:r>
        <w:rPr>
          <w:rFonts w:hint="eastAsia" w:ascii="仿宋_GB2312" w:hAnsi="仿宋_GB2312" w:eastAsia="仿宋_GB2312" w:cs="仿宋_GB2312"/>
          <w:sz w:val="24"/>
          <w:szCs w:val="24"/>
          <w:highlight w:val="none"/>
          <w:lang w:val="zh-CN"/>
        </w:rPr>
        <w:t>处理；“正偏离”</w:t>
      </w:r>
      <w:r>
        <w:rPr>
          <w:rFonts w:hint="eastAsia" w:ascii="仿宋_GB2312" w:hAnsi="仿宋_GB2312" w:eastAsia="仿宋_GB2312" w:cs="仿宋_GB2312"/>
          <w:sz w:val="24"/>
          <w:szCs w:val="24"/>
          <w:highlight w:val="none"/>
          <w:lang w:val="zh-CN" w:eastAsia="zh-CN"/>
        </w:rPr>
        <w:t>的</w:t>
      </w:r>
      <w:r>
        <w:rPr>
          <w:rFonts w:hint="eastAsia" w:ascii="仿宋_GB2312" w:hAnsi="仿宋_GB2312" w:eastAsia="仿宋_GB2312" w:cs="仿宋_GB2312"/>
          <w:sz w:val="24"/>
          <w:szCs w:val="24"/>
          <w:highlight w:val="none"/>
          <w:lang w:val="zh-CN"/>
        </w:rPr>
        <w:t>“▲”</w:t>
      </w:r>
      <w:r>
        <w:rPr>
          <w:rFonts w:hint="eastAsia" w:ascii="仿宋_GB2312" w:hAnsi="仿宋_GB2312" w:eastAsia="仿宋_GB2312" w:cs="仿宋_GB2312"/>
          <w:sz w:val="24"/>
          <w:szCs w:val="24"/>
          <w:highlight w:val="none"/>
          <w:lang w:val="zh-CN" w:eastAsia="zh-CN"/>
        </w:rPr>
        <w:t>技术指标和一般技术</w:t>
      </w:r>
      <w:r>
        <w:rPr>
          <w:rFonts w:hint="eastAsia" w:ascii="仿宋_GB2312" w:hAnsi="仿宋_GB2312" w:eastAsia="仿宋_GB2312" w:cs="仿宋_GB2312"/>
          <w:sz w:val="24"/>
          <w:szCs w:val="24"/>
          <w:highlight w:val="none"/>
          <w:lang w:val="zh-CN"/>
        </w:rPr>
        <w:t>指标响应无依据来源或依据来源不明确的，不予认可为“正偏离”。</w:t>
      </w:r>
      <w:r>
        <w:rPr>
          <w:rFonts w:hint="eastAsia" w:ascii="仿宋_GB2312" w:hAnsi="仿宋_GB2312" w:eastAsia="仿宋_GB2312" w:cs="仿宋_GB2312"/>
          <w:sz w:val="24"/>
          <w:szCs w:val="24"/>
          <w:highlight w:val="none"/>
          <w:lang w:val="en-US" w:eastAsia="zh-CN"/>
        </w:rPr>
        <w:t>投标</w:t>
      </w:r>
      <w:r>
        <w:rPr>
          <w:rFonts w:hint="eastAsia" w:ascii="仿宋_GB2312" w:hAnsi="仿宋_GB2312" w:eastAsia="仿宋_GB2312" w:cs="仿宋_GB2312"/>
          <w:sz w:val="24"/>
          <w:szCs w:val="24"/>
          <w:highlight w:val="none"/>
          <w:lang w:val="zh-CN"/>
        </w:rPr>
        <w:t>供应商须按《</w:t>
      </w:r>
      <w:r>
        <w:rPr>
          <w:rFonts w:hint="eastAsia" w:ascii="仿宋_GB2312" w:hAnsi="仿宋_GB2312" w:eastAsia="仿宋_GB2312" w:cs="仿宋_GB2312"/>
          <w:sz w:val="24"/>
          <w:szCs w:val="24"/>
          <w:highlight w:val="none"/>
          <w:lang w:val="en-US" w:eastAsia="zh-CN"/>
        </w:rPr>
        <w:t>竞争性谈判文件</w:t>
      </w:r>
      <w:r>
        <w:rPr>
          <w:rFonts w:hint="eastAsia" w:ascii="仿宋_GB2312" w:hAnsi="仿宋_GB2312" w:eastAsia="仿宋_GB2312" w:cs="仿宋_GB2312"/>
          <w:sz w:val="24"/>
          <w:szCs w:val="24"/>
          <w:highlight w:val="none"/>
          <w:lang w:val="zh-CN"/>
        </w:rPr>
        <w:t>》“第</w:t>
      </w:r>
      <w:r>
        <w:rPr>
          <w:rFonts w:hint="eastAsia" w:ascii="仿宋_GB2312" w:hAnsi="仿宋_GB2312" w:eastAsia="仿宋_GB2312" w:cs="仿宋_GB2312"/>
          <w:sz w:val="24"/>
          <w:szCs w:val="24"/>
          <w:highlight w:val="none"/>
          <w:lang w:val="zh-CN" w:eastAsia="zh-CN"/>
        </w:rPr>
        <w:t>三章</w:t>
      </w:r>
      <w:r>
        <w:rPr>
          <w:rFonts w:hint="eastAsia" w:ascii="仿宋_GB2312" w:hAnsi="仿宋_GB2312" w:eastAsia="仿宋_GB2312" w:cs="仿宋_GB2312"/>
          <w:sz w:val="24"/>
          <w:szCs w:val="24"/>
          <w:highlight w:val="none"/>
          <w:lang w:val="zh-CN"/>
        </w:rPr>
        <w:t>”的格式要求制作“技术指标参数响应偏离表”。</w:t>
      </w:r>
    </w:p>
    <w:p w14:paraId="4754A05B">
      <w:pPr>
        <w:pStyle w:val="156"/>
        <w:keepNext w:val="0"/>
        <w:keepLines w:val="0"/>
        <w:pageBreakBefore w:val="0"/>
        <w:widowControl w:val="0"/>
        <w:kinsoku/>
        <w:wordWrap/>
        <w:overflowPunct/>
        <w:topLinePunct w:val="0"/>
        <w:autoSpaceDE/>
        <w:autoSpaceDN/>
        <w:bidi w:val="0"/>
        <w:adjustRightInd/>
        <w:snapToGrid/>
        <w:spacing w:line="500" w:lineRule="exact"/>
        <w:ind w:firstLine="562"/>
        <w:textAlignment w:val="auto"/>
        <w:rPr>
          <w:rFonts w:hint="eastAsia" w:ascii="仿宋_GB2312" w:hAnsi="仿宋_GB2312" w:eastAsia="仿宋_GB2312" w:cs="仿宋_GB2312"/>
          <w:sz w:val="24"/>
          <w:szCs w:val="24"/>
          <w:highlight w:val="none"/>
          <w:lang w:val="zh-CN" w:eastAsia="zh-CN"/>
        </w:rPr>
      </w:pPr>
      <w:r>
        <w:rPr>
          <w:rFonts w:hint="eastAsia" w:ascii="仿宋_GB2312" w:hAnsi="仿宋_GB2312" w:eastAsia="仿宋_GB2312" w:cs="仿宋_GB2312"/>
          <w:sz w:val="24"/>
          <w:szCs w:val="24"/>
          <w:highlight w:val="none"/>
          <w:lang w:val="zh-CN"/>
        </w:rPr>
        <w:t>技术支持资料，可以从（不限于）以下支持材料选择</w:t>
      </w:r>
      <w:r>
        <w:rPr>
          <w:rFonts w:hint="eastAsia" w:ascii="仿宋_GB2312" w:hAnsi="仿宋_GB2312" w:eastAsia="仿宋_GB2312" w:cs="仿宋_GB2312"/>
          <w:sz w:val="24"/>
          <w:szCs w:val="24"/>
          <w:highlight w:val="none"/>
          <w:lang w:val="zh-CN" w:eastAsia="zh-CN"/>
        </w:rPr>
        <w:t>：产品规格表、产品宣传彩页、技术白皮书、制造商官方网站发布的产品信息、说明书等或检测机构出具的检测报告等技术资料。</w:t>
      </w:r>
      <w:bookmarkStart w:id="991" w:name="_Toc31554"/>
      <w:bookmarkStart w:id="992" w:name="_Toc17172"/>
      <w:bookmarkStart w:id="993" w:name="_Toc2550"/>
      <w:bookmarkStart w:id="994" w:name="_Toc27977"/>
      <w:bookmarkStart w:id="995" w:name="_Toc7226"/>
      <w:bookmarkStart w:id="996" w:name="_Toc112768494"/>
      <w:bookmarkStart w:id="997" w:name="_Toc150421249"/>
      <w:bookmarkStart w:id="998" w:name="_Toc132186976"/>
      <w:bookmarkStart w:id="999" w:name="_Toc132191260"/>
      <w:bookmarkStart w:id="1000" w:name="_Toc128470296"/>
      <w:bookmarkStart w:id="1001" w:name="_Toc130888008"/>
      <w:bookmarkStart w:id="1002" w:name="_Toc128154369"/>
      <w:bookmarkStart w:id="1003" w:name="_Toc130661177"/>
    </w:p>
    <w:p w14:paraId="788366BB">
      <w:pPr>
        <w:pStyle w:val="156"/>
        <w:spacing w:line="560" w:lineRule="exact"/>
        <w:ind w:firstLine="562"/>
        <w:rPr>
          <w:rFonts w:hint="eastAsia" w:ascii="仿宋_GB2312" w:hAnsi="仿宋_GB2312" w:eastAsia="仿宋_GB2312" w:cs="仿宋_GB2312"/>
          <w:sz w:val="24"/>
          <w:szCs w:val="24"/>
          <w:highlight w:val="none"/>
          <w:lang w:val="zh-CN" w:eastAsia="zh-CN"/>
        </w:rPr>
        <w:sectPr>
          <w:headerReference r:id="rId24" w:type="default"/>
          <w:pgSz w:w="11906" w:h="16838"/>
          <w:pgMar w:top="1418" w:right="1134" w:bottom="1418" w:left="1418" w:header="851" w:footer="992" w:gutter="0"/>
          <w:pgNumType w:fmt="decimal"/>
          <w:cols w:space="720" w:num="1"/>
          <w:docGrid w:linePitch="312" w:charSpace="0"/>
        </w:sectPr>
      </w:pPr>
    </w:p>
    <w:p w14:paraId="3AF4DF68">
      <w:pPr>
        <w:pStyle w:val="4"/>
        <w:keepNext w:val="0"/>
        <w:keepLines w:val="0"/>
        <w:adjustRightInd w:val="0"/>
        <w:snapToGrid w:val="0"/>
        <w:spacing w:line="560" w:lineRule="exact"/>
        <w:jc w:val="center"/>
        <w:rPr>
          <w:b w:val="0"/>
          <w:szCs w:val="44"/>
          <w:highlight w:val="none"/>
          <w:lang w:val="zh-CN"/>
        </w:rPr>
      </w:pPr>
      <w:bookmarkStart w:id="1004" w:name="_Toc8593"/>
      <w:bookmarkStart w:id="1005" w:name="_Toc32298"/>
      <w:bookmarkStart w:id="1006" w:name="_Toc15049"/>
      <w:bookmarkStart w:id="1007" w:name="_Toc21424"/>
      <w:bookmarkStart w:id="1008" w:name="_Toc29844"/>
      <w:bookmarkStart w:id="1009" w:name="_Toc16920"/>
      <w:r>
        <w:rPr>
          <w:rFonts w:hint="eastAsia"/>
          <w:b w:val="0"/>
          <w:szCs w:val="44"/>
          <w:highlight w:val="none"/>
          <w:lang w:val="zh-CN"/>
        </w:rPr>
        <w:t>第七章</w:t>
      </w:r>
      <w:r>
        <w:rPr>
          <w:b w:val="0"/>
          <w:szCs w:val="44"/>
          <w:highlight w:val="none"/>
          <w:lang w:val="zh-CN"/>
        </w:rPr>
        <w:t xml:space="preserve"> </w:t>
      </w:r>
      <w:r>
        <w:rPr>
          <w:rFonts w:hint="eastAsia"/>
          <w:b w:val="0"/>
          <w:szCs w:val="44"/>
          <w:highlight w:val="none"/>
          <w:lang w:val="zh-CN"/>
        </w:rPr>
        <w:t>合同</w:t>
      </w:r>
      <w:bookmarkEnd w:id="991"/>
      <w:bookmarkEnd w:id="992"/>
      <w:bookmarkEnd w:id="993"/>
      <w:bookmarkEnd w:id="994"/>
      <w:bookmarkEnd w:id="995"/>
      <w:bookmarkEnd w:id="996"/>
      <w:r>
        <w:rPr>
          <w:rFonts w:hint="eastAsia"/>
          <w:b w:val="0"/>
          <w:szCs w:val="44"/>
          <w:highlight w:val="none"/>
          <w:lang w:val="zh-CN"/>
        </w:rPr>
        <w:t>样本</w:t>
      </w:r>
      <w:bookmarkEnd w:id="997"/>
      <w:bookmarkEnd w:id="998"/>
      <w:bookmarkEnd w:id="999"/>
      <w:bookmarkEnd w:id="1000"/>
      <w:bookmarkEnd w:id="1001"/>
      <w:bookmarkEnd w:id="1002"/>
      <w:bookmarkEnd w:id="1003"/>
      <w:bookmarkEnd w:id="1004"/>
      <w:bookmarkEnd w:id="1005"/>
      <w:bookmarkEnd w:id="1006"/>
      <w:bookmarkEnd w:id="1007"/>
      <w:bookmarkEnd w:id="1008"/>
      <w:bookmarkEnd w:id="1009"/>
    </w:p>
    <w:p w14:paraId="464585D6">
      <w:pPr>
        <w:spacing w:line="560" w:lineRule="exact"/>
        <w:ind w:firstLine="480" w:firstLineChars="200"/>
        <w:rPr>
          <w:rFonts w:ascii="黑体" w:eastAsia="黑体"/>
          <w:sz w:val="24"/>
          <w:highlight w:val="none"/>
        </w:rPr>
      </w:pPr>
    </w:p>
    <w:p w14:paraId="29823E93">
      <w:pPr>
        <w:spacing w:before="120" w:beforeLines="50" w:after="120" w:afterLines="50" w:line="560" w:lineRule="exact"/>
        <w:jc w:val="center"/>
        <w:rPr>
          <w:rFonts w:ascii="宋体" w:hAnsi="宋体" w:cs="宋体"/>
          <w:bCs/>
          <w:sz w:val="44"/>
          <w:szCs w:val="44"/>
          <w:highlight w:val="none"/>
        </w:rPr>
      </w:pPr>
      <w:r>
        <w:rPr>
          <w:rFonts w:ascii="宋体" w:hAnsi="宋体" w:cs="宋体"/>
          <w:bCs/>
          <w:sz w:val="44"/>
          <w:szCs w:val="44"/>
          <w:highlight w:val="none"/>
          <w:u w:val="single"/>
        </w:rPr>
        <w:t xml:space="preserve">              </w:t>
      </w:r>
      <w:r>
        <w:rPr>
          <w:rFonts w:hint="eastAsia" w:ascii="宋体" w:hAnsi="宋体" w:cs="宋体"/>
          <w:bCs/>
          <w:sz w:val="44"/>
          <w:szCs w:val="44"/>
          <w:highlight w:val="none"/>
        </w:rPr>
        <w:t>采购项目</w:t>
      </w:r>
    </w:p>
    <w:p w14:paraId="567FADBC">
      <w:pPr>
        <w:spacing w:before="156" w:after="156"/>
        <w:jc w:val="center"/>
        <w:rPr>
          <w:sz w:val="44"/>
          <w:szCs w:val="44"/>
          <w:highlight w:val="none"/>
        </w:rPr>
      </w:pPr>
      <w:r>
        <w:rPr>
          <w:rFonts w:hint="eastAsia"/>
          <w:sz w:val="44"/>
          <w:szCs w:val="44"/>
          <w:highlight w:val="none"/>
        </w:rPr>
        <w:t>合同样本</w:t>
      </w:r>
    </w:p>
    <w:p w14:paraId="656210E5">
      <w:pPr>
        <w:pStyle w:val="17"/>
        <w:spacing w:before="156" w:after="156"/>
        <w:ind w:firstLine="420"/>
        <w:rPr>
          <w:highlight w:val="none"/>
        </w:rPr>
      </w:pPr>
    </w:p>
    <w:p w14:paraId="79BF4C47">
      <w:pPr>
        <w:spacing w:before="156" w:after="156"/>
        <w:rPr>
          <w:highlight w:val="none"/>
        </w:rPr>
      </w:pPr>
    </w:p>
    <w:p w14:paraId="3F642AB1">
      <w:pPr>
        <w:pStyle w:val="17"/>
        <w:spacing w:before="156" w:after="156"/>
        <w:rPr>
          <w:highlight w:val="none"/>
        </w:rPr>
      </w:pPr>
    </w:p>
    <w:p w14:paraId="2F58CE25">
      <w:pPr>
        <w:spacing w:before="156" w:after="156"/>
        <w:ind w:firstLine="420"/>
        <w:rPr>
          <w:highlight w:val="none"/>
        </w:rPr>
      </w:pPr>
    </w:p>
    <w:p w14:paraId="14CF897F">
      <w:pPr>
        <w:pStyle w:val="17"/>
        <w:spacing w:before="156" w:after="156"/>
        <w:ind w:firstLine="1638"/>
        <w:rPr>
          <w:sz w:val="32"/>
          <w:szCs w:val="32"/>
          <w:highlight w:val="none"/>
          <w:u w:val="single"/>
        </w:rPr>
      </w:pPr>
      <w:r>
        <w:rPr>
          <w:rFonts w:hint="eastAsia"/>
          <w:sz w:val="32"/>
          <w:szCs w:val="32"/>
          <w:highlight w:val="none"/>
        </w:rPr>
        <w:t>项目名称：</w:t>
      </w:r>
      <w:r>
        <w:rPr>
          <w:rFonts w:hint="eastAsia"/>
          <w:sz w:val="32"/>
          <w:szCs w:val="32"/>
          <w:highlight w:val="none"/>
          <w:u w:val="single"/>
        </w:rPr>
        <w:t xml:space="preserve"> </w:t>
      </w:r>
      <w:r>
        <w:rPr>
          <w:sz w:val="32"/>
          <w:szCs w:val="32"/>
          <w:highlight w:val="none"/>
          <w:u w:val="single"/>
        </w:rPr>
        <w:t xml:space="preserve">                          </w:t>
      </w:r>
    </w:p>
    <w:p w14:paraId="53E544B2">
      <w:pPr>
        <w:spacing w:before="156" w:after="156"/>
        <w:ind w:firstLine="1638"/>
        <w:rPr>
          <w:sz w:val="32"/>
          <w:szCs w:val="32"/>
          <w:highlight w:val="none"/>
        </w:rPr>
      </w:pPr>
      <w:r>
        <w:rPr>
          <w:rFonts w:hint="eastAsia"/>
          <w:sz w:val="32"/>
          <w:szCs w:val="32"/>
          <w:highlight w:val="none"/>
        </w:rPr>
        <w:t>项目编号：</w:t>
      </w:r>
      <w:r>
        <w:rPr>
          <w:rFonts w:hint="eastAsia"/>
          <w:sz w:val="32"/>
          <w:szCs w:val="32"/>
          <w:highlight w:val="none"/>
          <w:u w:val="single"/>
        </w:rPr>
        <w:t xml:space="preserve"> </w:t>
      </w:r>
      <w:r>
        <w:rPr>
          <w:sz w:val="32"/>
          <w:szCs w:val="32"/>
          <w:highlight w:val="none"/>
          <w:u w:val="single"/>
        </w:rPr>
        <w:t xml:space="preserve">                          </w:t>
      </w:r>
    </w:p>
    <w:p w14:paraId="79FEF945">
      <w:pPr>
        <w:pStyle w:val="17"/>
        <w:spacing w:before="156" w:after="156"/>
        <w:ind w:firstLine="1638"/>
        <w:rPr>
          <w:sz w:val="32"/>
          <w:szCs w:val="32"/>
          <w:highlight w:val="none"/>
        </w:rPr>
      </w:pPr>
      <w:r>
        <w:rPr>
          <w:rFonts w:hint="eastAsia"/>
          <w:sz w:val="32"/>
          <w:szCs w:val="32"/>
          <w:highlight w:val="none"/>
        </w:rPr>
        <w:t>合同编号：</w:t>
      </w:r>
      <w:r>
        <w:rPr>
          <w:rFonts w:hint="eastAsia"/>
          <w:sz w:val="32"/>
          <w:szCs w:val="32"/>
          <w:highlight w:val="none"/>
          <w:u w:val="single"/>
        </w:rPr>
        <w:t xml:space="preserve"> </w:t>
      </w:r>
      <w:r>
        <w:rPr>
          <w:sz w:val="32"/>
          <w:szCs w:val="32"/>
          <w:highlight w:val="none"/>
          <w:u w:val="single"/>
        </w:rPr>
        <w:t xml:space="preserve">                          </w:t>
      </w:r>
    </w:p>
    <w:p w14:paraId="16B8D5F5">
      <w:pPr>
        <w:spacing w:before="156" w:after="156"/>
        <w:ind w:firstLine="1638"/>
        <w:rPr>
          <w:sz w:val="32"/>
          <w:szCs w:val="32"/>
          <w:highlight w:val="none"/>
        </w:rPr>
      </w:pPr>
    </w:p>
    <w:p w14:paraId="3A557A57">
      <w:pPr>
        <w:pStyle w:val="17"/>
        <w:spacing w:before="156" w:after="156"/>
        <w:ind w:firstLine="1622" w:firstLineChars="507"/>
        <w:jc w:val="left"/>
        <w:rPr>
          <w:sz w:val="32"/>
          <w:szCs w:val="32"/>
          <w:highlight w:val="none"/>
        </w:rPr>
      </w:pPr>
      <w:r>
        <w:rPr>
          <w:rFonts w:hint="eastAsia"/>
          <w:sz w:val="32"/>
          <w:szCs w:val="32"/>
          <w:highlight w:val="none"/>
        </w:rPr>
        <w:t>甲方（采购单位）：</w:t>
      </w:r>
      <w:r>
        <w:rPr>
          <w:sz w:val="32"/>
          <w:szCs w:val="32"/>
          <w:highlight w:val="none"/>
          <w:u w:val="single"/>
        </w:rPr>
        <w:t xml:space="preserve">                    </w:t>
      </w:r>
    </w:p>
    <w:p w14:paraId="2C0DEB81">
      <w:pPr>
        <w:pStyle w:val="17"/>
        <w:spacing w:before="156" w:after="156"/>
        <w:ind w:firstLine="1622" w:firstLineChars="507"/>
        <w:rPr>
          <w:highlight w:val="none"/>
        </w:rPr>
      </w:pPr>
      <w:r>
        <w:rPr>
          <w:rFonts w:hint="eastAsia"/>
          <w:sz w:val="32"/>
          <w:szCs w:val="32"/>
          <w:highlight w:val="none"/>
        </w:rPr>
        <w:t>乙方（供</w:t>
      </w:r>
      <w:r>
        <w:rPr>
          <w:sz w:val="32"/>
          <w:szCs w:val="32"/>
          <w:highlight w:val="none"/>
        </w:rPr>
        <w:t xml:space="preserve"> </w:t>
      </w:r>
      <w:r>
        <w:rPr>
          <w:rFonts w:hint="eastAsia"/>
          <w:sz w:val="32"/>
          <w:szCs w:val="32"/>
          <w:highlight w:val="none"/>
        </w:rPr>
        <w:t>应</w:t>
      </w:r>
      <w:r>
        <w:rPr>
          <w:sz w:val="32"/>
          <w:szCs w:val="32"/>
          <w:highlight w:val="none"/>
        </w:rPr>
        <w:t xml:space="preserve"> </w:t>
      </w:r>
      <w:r>
        <w:rPr>
          <w:rFonts w:hint="eastAsia"/>
          <w:sz w:val="32"/>
          <w:szCs w:val="32"/>
          <w:highlight w:val="none"/>
        </w:rPr>
        <w:t>商）：</w:t>
      </w:r>
      <w:r>
        <w:rPr>
          <w:rFonts w:hint="eastAsia"/>
          <w:sz w:val="32"/>
          <w:szCs w:val="32"/>
          <w:highlight w:val="none"/>
          <w:u w:val="single"/>
        </w:rPr>
        <w:t xml:space="preserve">                    </w:t>
      </w:r>
    </w:p>
    <w:p w14:paraId="0E425425">
      <w:pPr>
        <w:pStyle w:val="17"/>
        <w:spacing w:before="156" w:after="156"/>
        <w:ind w:firstLine="1638"/>
        <w:rPr>
          <w:highlight w:val="none"/>
        </w:rPr>
      </w:pPr>
    </w:p>
    <w:p w14:paraId="2FDE6910">
      <w:pPr>
        <w:pStyle w:val="17"/>
        <w:spacing w:before="156" w:after="156"/>
        <w:ind w:firstLine="1638"/>
        <w:rPr>
          <w:sz w:val="32"/>
          <w:szCs w:val="32"/>
          <w:highlight w:val="none"/>
        </w:rPr>
      </w:pPr>
    </w:p>
    <w:p w14:paraId="6B858877">
      <w:pPr>
        <w:pStyle w:val="17"/>
        <w:spacing w:before="156" w:after="156"/>
        <w:ind w:firstLine="1638"/>
        <w:rPr>
          <w:sz w:val="32"/>
          <w:szCs w:val="32"/>
          <w:highlight w:val="none"/>
        </w:rPr>
      </w:pPr>
      <w:r>
        <w:rPr>
          <w:rFonts w:hint="eastAsia"/>
          <w:sz w:val="32"/>
          <w:szCs w:val="32"/>
          <w:highlight w:val="none"/>
        </w:rPr>
        <w:t>签订时间：</w:t>
      </w:r>
      <w:r>
        <w:rPr>
          <w:rFonts w:hint="eastAsia"/>
          <w:sz w:val="32"/>
          <w:szCs w:val="32"/>
          <w:highlight w:val="none"/>
          <w:u w:val="single"/>
        </w:rPr>
        <w:t xml:space="preserve"> </w:t>
      </w:r>
      <w:r>
        <w:rPr>
          <w:sz w:val="32"/>
          <w:szCs w:val="32"/>
          <w:highlight w:val="none"/>
          <w:u w:val="single"/>
        </w:rPr>
        <w:t xml:space="preserve">                          </w:t>
      </w:r>
    </w:p>
    <w:p w14:paraId="1996D931">
      <w:pPr>
        <w:pStyle w:val="17"/>
        <w:spacing w:before="156" w:after="156"/>
        <w:ind w:firstLine="1638"/>
        <w:rPr>
          <w:sz w:val="32"/>
          <w:szCs w:val="32"/>
          <w:highlight w:val="none"/>
          <w:u w:val="single"/>
        </w:rPr>
      </w:pPr>
      <w:r>
        <w:rPr>
          <w:rFonts w:hint="eastAsia"/>
          <w:sz w:val="32"/>
          <w:szCs w:val="32"/>
          <w:highlight w:val="none"/>
        </w:rPr>
        <w:t>签订地点：</w:t>
      </w:r>
      <w:r>
        <w:rPr>
          <w:rFonts w:hint="eastAsia"/>
          <w:sz w:val="32"/>
          <w:szCs w:val="32"/>
          <w:highlight w:val="none"/>
          <w:u w:val="single"/>
        </w:rPr>
        <w:t xml:space="preserve"> </w:t>
      </w:r>
      <w:r>
        <w:rPr>
          <w:sz w:val="32"/>
          <w:szCs w:val="32"/>
          <w:highlight w:val="none"/>
          <w:u w:val="single"/>
        </w:rPr>
        <w:t xml:space="preserve">                          </w:t>
      </w:r>
    </w:p>
    <w:p w14:paraId="7E9531B9">
      <w:pPr>
        <w:widowControl/>
        <w:jc w:val="left"/>
        <w:rPr>
          <w:sz w:val="32"/>
          <w:szCs w:val="32"/>
          <w:highlight w:val="none"/>
        </w:rPr>
      </w:pPr>
      <w:r>
        <w:rPr>
          <w:sz w:val="32"/>
          <w:szCs w:val="32"/>
          <w:highlight w:val="none"/>
        </w:rPr>
        <w:br w:type="page"/>
      </w:r>
    </w:p>
    <w:p w14:paraId="50C9DCA2">
      <w:pPr>
        <w:spacing w:before="120" w:beforeLines="50" w:after="120" w:afterLines="50" w:line="560" w:lineRule="exact"/>
        <w:jc w:val="center"/>
        <w:rPr>
          <w:rFonts w:ascii="宋体" w:hAnsi="宋体" w:cs="宋体"/>
          <w:bCs/>
          <w:sz w:val="28"/>
          <w:szCs w:val="28"/>
          <w:highlight w:val="none"/>
        </w:rPr>
      </w:pPr>
      <w:r>
        <w:rPr>
          <w:rFonts w:hint="eastAsia" w:ascii="宋体" w:hAnsi="宋体" w:cs="宋体"/>
          <w:bCs/>
          <w:sz w:val="28"/>
          <w:szCs w:val="28"/>
          <w:highlight w:val="none"/>
        </w:rPr>
        <w:t>第一部分</w:t>
      </w:r>
      <w:r>
        <w:rPr>
          <w:rFonts w:ascii="宋体" w:hAnsi="宋体" w:cs="宋体"/>
          <w:bCs/>
          <w:sz w:val="28"/>
          <w:szCs w:val="28"/>
          <w:highlight w:val="none"/>
        </w:rPr>
        <w:t xml:space="preserve">  </w:t>
      </w:r>
      <w:r>
        <w:rPr>
          <w:rFonts w:hint="eastAsia" w:ascii="宋体" w:hAnsi="宋体" w:cs="宋体"/>
          <w:bCs/>
          <w:sz w:val="28"/>
          <w:szCs w:val="28"/>
          <w:highlight w:val="none"/>
        </w:rPr>
        <w:t>合同通用条款</w:t>
      </w:r>
    </w:p>
    <w:p w14:paraId="4F84E5D6">
      <w:pPr>
        <w:spacing w:before="120" w:beforeLines="50" w:after="120" w:afterLines="50" w:line="560" w:lineRule="exact"/>
        <w:jc w:val="center"/>
        <w:rPr>
          <w:rFonts w:ascii="宋体" w:hAnsi="宋体" w:cs="宋体"/>
          <w:bCs/>
          <w:sz w:val="28"/>
          <w:szCs w:val="28"/>
          <w:highlight w:val="none"/>
        </w:rPr>
      </w:pPr>
      <w:r>
        <w:rPr>
          <w:rFonts w:hint="eastAsia" w:ascii="宋体" w:hAnsi="宋体" w:cs="宋体"/>
          <w:bCs/>
          <w:sz w:val="28"/>
          <w:szCs w:val="28"/>
          <w:highlight w:val="none"/>
        </w:rPr>
        <w:t>（见谈判文件通用文件中《合同通用条款》）</w:t>
      </w:r>
    </w:p>
    <w:p w14:paraId="6D4FC68B">
      <w:pPr>
        <w:pStyle w:val="17"/>
        <w:spacing w:before="156" w:after="156"/>
        <w:rPr>
          <w:highlight w:val="none"/>
        </w:rPr>
      </w:pPr>
    </w:p>
    <w:p w14:paraId="664A62C8">
      <w:pPr>
        <w:spacing w:before="120" w:beforeLines="50" w:after="120" w:afterLines="50" w:line="560" w:lineRule="exact"/>
        <w:jc w:val="center"/>
        <w:rPr>
          <w:rFonts w:ascii="宋体" w:hAnsi="宋体" w:cs="宋体"/>
          <w:bCs/>
          <w:sz w:val="28"/>
          <w:szCs w:val="28"/>
          <w:highlight w:val="none"/>
        </w:rPr>
      </w:pPr>
      <w:r>
        <w:rPr>
          <w:rFonts w:hint="eastAsia"/>
          <w:sz w:val="28"/>
          <w:szCs w:val="28"/>
          <w:highlight w:val="none"/>
        </w:rPr>
        <w:t>第二部分</w:t>
      </w:r>
      <w:r>
        <w:rPr>
          <w:sz w:val="28"/>
          <w:szCs w:val="28"/>
          <w:highlight w:val="none"/>
        </w:rPr>
        <w:t xml:space="preserve">  </w:t>
      </w:r>
      <w:r>
        <w:rPr>
          <w:rFonts w:hint="eastAsia"/>
          <w:sz w:val="28"/>
          <w:szCs w:val="28"/>
          <w:highlight w:val="none"/>
        </w:rPr>
        <w:t>合同专用条款</w:t>
      </w:r>
    </w:p>
    <w:p w14:paraId="39CB0BD0">
      <w:pPr>
        <w:jc w:val="center"/>
        <w:rPr>
          <w:rFonts w:ascii="楷体" w:hAnsi="楷体" w:eastAsia="楷体"/>
          <w:sz w:val="28"/>
          <w:szCs w:val="28"/>
          <w:highlight w:val="none"/>
        </w:rPr>
      </w:pPr>
      <w:r>
        <w:rPr>
          <w:rFonts w:hint="eastAsia" w:ascii="楷体" w:hAnsi="楷体" w:eastAsia="楷体" w:cs="宋体"/>
          <w:bCs/>
          <w:sz w:val="28"/>
          <w:szCs w:val="28"/>
          <w:highlight w:val="none"/>
        </w:rPr>
        <w:t>（采购项目有专用合同范本的，按范本拟制）</w:t>
      </w:r>
    </w:p>
    <w:p w14:paraId="365BDEC0">
      <w:pPr>
        <w:spacing w:line="560" w:lineRule="exact"/>
        <w:ind w:firstLine="560" w:firstLineChars="200"/>
        <w:rPr>
          <w:rFonts w:ascii="黑体" w:eastAsia="黑体"/>
          <w:bCs/>
          <w:sz w:val="28"/>
          <w:szCs w:val="28"/>
          <w:highlight w:val="none"/>
        </w:rPr>
      </w:pPr>
    </w:p>
    <w:p w14:paraId="56159D61">
      <w:pPr>
        <w:pStyle w:val="5"/>
        <w:spacing w:before="0" w:after="0" w:line="560" w:lineRule="exact"/>
        <w:ind w:firstLine="560" w:firstLineChars="200"/>
        <w:rPr>
          <w:rFonts w:ascii="黑体" w:hAnsi="黑体" w:cs="黑体"/>
          <w:b w:val="0"/>
          <w:sz w:val="28"/>
          <w:szCs w:val="28"/>
          <w:highlight w:val="none"/>
        </w:rPr>
      </w:pPr>
      <w:bookmarkStart w:id="1010" w:name="_Toc2567"/>
      <w:bookmarkStart w:id="1011" w:name="_Toc21912"/>
      <w:bookmarkStart w:id="1012" w:name="_Toc16468"/>
      <w:bookmarkStart w:id="1013" w:name="_Toc14964"/>
      <w:bookmarkStart w:id="1014" w:name="_Toc5915"/>
      <w:bookmarkStart w:id="1015" w:name="_Toc20276"/>
      <w:bookmarkStart w:id="1016" w:name="_Toc150421250"/>
      <w:bookmarkStart w:id="1017" w:name="_Toc25715"/>
      <w:bookmarkStart w:id="1018" w:name="_Toc128154370"/>
      <w:bookmarkStart w:id="1019" w:name="_Toc128470297"/>
      <w:bookmarkStart w:id="1020" w:name="_Toc132191261"/>
      <w:bookmarkStart w:id="1021" w:name="_Toc112768495"/>
      <w:bookmarkStart w:id="1022" w:name="_Toc20638"/>
      <w:bookmarkStart w:id="1023" w:name="_Toc9762"/>
      <w:bookmarkStart w:id="1024" w:name="_Toc130661178"/>
      <w:bookmarkStart w:id="1025" w:name="_Toc15775"/>
      <w:bookmarkStart w:id="1026" w:name="_Toc130888009"/>
      <w:bookmarkStart w:id="1027" w:name="_Toc132186977"/>
      <w:bookmarkStart w:id="1028" w:name="_Toc20706"/>
      <w:r>
        <w:rPr>
          <w:rFonts w:hint="eastAsia" w:ascii="黑体" w:hAnsi="黑体" w:cs="黑体"/>
          <w:b w:val="0"/>
          <w:sz w:val="28"/>
          <w:szCs w:val="28"/>
          <w:highlight w:val="none"/>
        </w:rPr>
        <w:t>一、项目信息</w:t>
      </w:r>
      <w:bookmarkEnd w:id="1010"/>
      <w:bookmarkEnd w:id="1011"/>
      <w:bookmarkEnd w:id="1012"/>
      <w:bookmarkEnd w:id="1013"/>
      <w:bookmarkEnd w:id="1014"/>
      <w:bookmarkEnd w:id="1015"/>
      <w:bookmarkEnd w:id="1016"/>
    </w:p>
    <w:p w14:paraId="770E9A3A">
      <w:pPr>
        <w:adjustRightInd w:val="0"/>
        <w:snapToGrid w:val="0"/>
        <w:spacing w:line="560" w:lineRule="exact"/>
        <w:ind w:firstLine="560" w:firstLineChars="200"/>
        <w:rPr>
          <w:rFonts w:cs="宋体" w:asciiTheme="minorEastAsia" w:hAnsiTheme="minorEastAsia" w:eastAsiaTheme="minorEastAsia"/>
          <w:bCs/>
          <w:sz w:val="28"/>
          <w:szCs w:val="28"/>
          <w:highlight w:val="none"/>
        </w:rPr>
      </w:pPr>
      <w:r>
        <w:rPr>
          <w:rFonts w:hint="eastAsia" w:cs="宋体" w:asciiTheme="minorEastAsia" w:hAnsiTheme="minorEastAsia" w:eastAsiaTheme="minorEastAsia"/>
          <w:bCs/>
          <w:sz w:val="28"/>
          <w:szCs w:val="28"/>
          <w:highlight w:val="none"/>
        </w:rPr>
        <w:t>签订日期：</w:t>
      </w:r>
      <w:r>
        <w:rPr>
          <w:rFonts w:cs="宋体" w:asciiTheme="minorEastAsia" w:hAnsiTheme="minorEastAsia" w:eastAsiaTheme="minorEastAsia"/>
          <w:bCs/>
          <w:sz w:val="28"/>
          <w:szCs w:val="28"/>
          <w:highlight w:val="none"/>
          <w:u w:val="single"/>
        </w:rPr>
        <w:t xml:space="preserve">   </w:t>
      </w:r>
      <w:r>
        <w:rPr>
          <w:rFonts w:hint="eastAsia" w:cs="宋体" w:asciiTheme="minorEastAsia" w:hAnsiTheme="minorEastAsia" w:eastAsiaTheme="minorEastAsia"/>
          <w:bCs/>
          <w:sz w:val="28"/>
          <w:szCs w:val="28"/>
          <w:highlight w:val="none"/>
        </w:rPr>
        <w:t>年</w:t>
      </w:r>
      <w:r>
        <w:rPr>
          <w:rFonts w:cs="宋体" w:asciiTheme="minorEastAsia" w:hAnsiTheme="minorEastAsia" w:eastAsiaTheme="minorEastAsia"/>
          <w:bCs/>
          <w:sz w:val="28"/>
          <w:szCs w:val="28"/>
          <w:highlight w:val="none"/>
          <w:u w:val="single"/>
        </w:rPr>
        <w:t xml:space="preserve">  </w:t>
      </w:r>
      <w:r>
        <w:rPr>
          <w:rFonts w:hint="eastAsia" w:cs="宋体" w:asciiTheme="minorEastAsia" w:hAnsiTheme="minorEastAsia" w:eastAsiaTheme="minorEastAsia"/>
          <w:bCs/>
          <w:sz w:val="28"/>
          <w:szCs w:val="28"/>
          <w:highlight w:val="none"/>
        </w:rPr>
        <w:t>月</w:t>
      </w:r>
      <w:r>
        <w:rPr>
          <w:rFonts w:cs="宋体" w:asciiTheme="minorEastAsia" w:hAnsiTheme="minorEastAsia" w:eastAsiaTheme="minorEastAsia"/>
          <w:bCs/>
          <w:sz w:val="28"/>
          <w:szCs w:val="28"/>
          <w:highlight w:val="none"/>
          <w:u w:val="single"/>
        </w:rPr>
        <w:t xml:space="preserve">  </w:t>
      </w:r>
      <w:r>
        <w:rPr>
          <w:rFonts w:hint="eastAsia" w:cs="宋体" w:asciiTheme="minorEastAsia" w:hAnsiTheme="minorEastAsia" w:eastAsiaTheme="minorEastAsia"/>
          <w:bCs/>
          <w:sz w:val="28"/>
          <w:szCs w:val="28"/>
          <w:highlight w:val="none"/>
        </w:rPr>
        <w:t>日</w:t>
      </w:r>
    </w:p>
    <w:p w14:paraId="7C3BD2F0">
      <w:pPr>
        <w:adjustRightInd w:val="0"/>
        <w:snapToGrid w:val="0"/>
        <w:spacing w:line="560" w:lineRule="exact"/>
        <w:ind w:firstLine="560" w:firstLineChars="200"/>
        <w:rPr>
          <w:rFonts w:cs="宋体" w:asciiTheme="minorEastAsia" w:hAnsiTheme="minorEastAsia" w:eastAsiaTheme="minorEastAsia"/>
          <w:bCs/>
          <w:sz w:val="28"/>
          <w:szCs w:val="28"/>
          <w:highlight w:val="none"/>
        </w:rPr>
      </w:pPr>
      <w:r>
        <w:rPr>
          <w:rFonts w:hint="eastAsia" w:cs="宋体" w:asciiTheme="minorEastAsia" w:hAnsiTheme="minorEastAsia" w:eastAsiaTheme="minorEastAsia"/>
          <w:bCs/>
          <w:sz w:val="28"/>
          <w:szCs w:val="28"/>
          <w:highlight w:val="none"/>
        </w:rPr>
        <w:t>签订地点：</w:t>
      </w:r>
      <w:r>
        <w:rPr>
          <w:rFonts w:cs="宋体" w:asciiTheme="minorEastAsia" w:hAnsiTheme="minorEastAsia" w:eastAsiaTheme="minorEastAsia"/>
          <w:bCs/>
          <w:sz w:val="28"/>
          <w:szCs w:val="28"/>
          <w:highlight w:val="none"/>
          <w:u w:val="single"/>
        </w:rPr>
        <w:t xml:space="preserve">              </w:t>
      </w:r>
    </w:p>
    <w:p w14:paraId="3E8A3B8D">
      <w:pPr>
        <w:pStyle w:val="5"/>
        <w:spacing w:before="0" w:after="0" w:line="560" w:lineRule="exact"/>
        <w:ind w:firstLine="560" w:firstLineChars="200"/>
        <w:rPr>
          <w:rFonts w:ascii="黑体" w:hAnsi="黑体" w:cs="黑体"/>
          <w:b w:val="0"/>
          <w:sz w:val="28"/>
          <w:szCs w:val="28"/>
          <w:highlight w:val="none"/>
        </w:rPr>
      </w:pPr>
      <w:bookmarkStart w:id="1029" w:name="_Toc8200"/>
      <w:bookmarkStart w:id="1030" w:name="_Toc18490"/>
      <w:bookmarkStart w:id="1031" w:name="_Toc13201"/>
      <w:bookmarkStart w:id="1032" w:name="_Toc4934"/>
      <w:bookmarkStart w:id="1033" w:name="_Toc14603"/>
      <w:bookmarkStart w:id="1034" w:name="_Toc10083"/>
      <w:bookmarkStart w:id="1035" w:name="_Toc150421251"/>
      <w:r>
        <w:rPr>
          <w:rFonts w:hint="eastAsia" w:ascii="黑体" w:hAnsi="黑体" w:cs="黑体"/>
          <w:b w:val="0"/>
          <w:sz w:val="28"/>
          <w:szCs w:val="28"/>
          <w:highlight w:val="none"/>
        </w:rPr>
        <w:t>二、合同标的及金额</w:t>
      </w:r>
      <w:bookmarkEnd w:id="1029"/>
      <w:bookmarkEnd w:id="1030"/>
      <w:bookmarkEnd w:id="1031"/>
      <w:bookmarkEnd w:id="1032"/>
      <w:bookmarkEnd w:id="1033"/>
      <w:bookmarkEnd w:id="1034"/>
      <w:bookmarkEnd w:id="1035"/>
    </w:p>
    <w:tbl>
      <w:tblPr>
        <w:tblStyle w:val="42"/>
        <w:tblW w:w="963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5"/>
        <w:gridCol w:w="948"/>
        <w:gridCol w:w="1178"/>
        <w:gridCol w:w="992"/>
        <w:gridCol w:w="709"/>
        <w:gridCol w:w="841"/>
        <w:gridCol w:w="1285"/>
        <w:gridCol w:w="1054"/>
        <w:gridCol w:w="1134"/>
        <w:gridCol w:w="708"/>
      </w:tblGrid>
      <w:tr w14:paraId="478C2A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85" w:type="dxa"/>
            <w:tcBorders>
              <w:top w:val="single" w:color="auto" w:sz="4" w:space="0"/>
              <w:left w:val="single" w:color="auto" w:sz="4" w:space="0"/>
              <w:bottom w:val="single" w:color="auto" w:sz="4" w:space="0"/>
              <w:right w:val="single" w:color="auto" w:sz="4" w:space="0"/>
            </w:tcBorders>
            <w:vAlign w:val="center"/>
          </w:tcPr>
          <w:p w14:paraId="1CF0EE61">
            <w:pPr>
              <w:spacing w:line="360" w:lineRule="exact"/>
              <w:jc w:val="center"/>
              <w:rPr>
                <w:rFonts w:cs="宋体" w:asciiTheme="minorEastAsia" w:hAnsiTheme="minorEastAsia" w:eastAsiaTheme="minorEastAsia"/>
                <w:bCs/>
                <w:spacing w:val="-4"/>
                <w:sz w:val="24"/>
                <w:highlight w:val="none"/>
              </w:rPr>
            </w:pPr>
            <w:r>
              <w:rPr>
                <w:rFonts w:hint="eastAsia" w:cs="宋体" w:asciiTheme="minorEastAsia" w:hAnsiTheme="minorEastAsia" w:eastAsiaTheme="minorEastAsia"/>
                <w:bCs/>
                <w:spacing w:val="-4"/>
                <w:sz w:val="24"/>
                <w:highlight w:val="none"/>
              </w:rPr>
              <w:t>序号</w:t>
            </w:r>
          </w:p>
        </w:tc>
        <w:tc>
          <w:tcPr>
            <w:tcW w:w="948" w:type="dxa"/>
            <w:tcBorders>
              <w:top w:val="single" w:color="auto" w:sz="4" w:space="0"/>
              <w:left w:val="single" w:color="auto" w:sz="4" w:space="0"/>
              <w:bottom w:val="single" w:color="auto" w:sz="4" w:space="0"/>
              <w:right w:val="single" w:color="auto" w:sz="4" w:space="0"/>
            </w:tcBorders>
            <w:vAlign w:val="center"/>
          </w:tcPr>
          <w:p w14:paraId="7D0A0E0F">
            <w:pPr>
              <w:spacing w:line="360" w:lineRule="exact"/>
              <w:jc w:val="center"/>
              <w:rPr>
                <w:rFonts w:cs="宋体" w:asciiTheme="minorEastAsia" w:hAnsiTheme="minorEastAsia" w:eastAsiaTheme="minorEastAsia"/>
                <w:bCs/>
                <w:spacing w:val="-4"/>
                <w:sz w:val="24"/>
                <w:highlight w:val="none"/>
              </w:rPr>
            </w:pPr>
            <w:r>
              <w:rPr>
                <w:rFonts w:hint="eastAsia" w:cs="宋体" w:asciiTheme="minorEastAsia" w:hAnsiTheme="minorEastAsia" w:eastAsiaTheme="minorEastAsia"/>
                <w:bCs/>
                <w:spacing w:val="-4"/>
                <w:sz w:val="24"/>
                <w:highlight w:val="none"/>
              </w:rPr>
              <w:t>物资</w:t>
            </w:r>
          </w:p>
          <w:p w14:paraId="382C7D16">
            <w:pPr>
              <w:spacing w:line="360" w:lineRule="exact"/>
              <w:jc w:val="center"/>
              <w:rPr>
                <w:rFonts w:cs="宋体" w:asciiTheme="minorEastAsia" w:hAnsiTheme="minorEastAsia" w:eastAsiaTheme="minorEastAsia"/>
                <w:bCs/>
                <w:spacing w:val="-4"/>
                <w:sz w:val="24"/>
                <w:highlight w:val="none"/>
              </w:rPr>
            </w:pPr>
            <w:r>
              <w:rPr>
                <w:rFonts w:hint="eastAsia" w:cs="宋体" w:asciiTheme="minorEastAsia" w:hAnsiTheme="minorEastAsia" w:eastAsiaTheme="minorEastAsia"/>
                <w:bCs/>
                <w:spacing w:val="-4"/>
                <w:sz w:val="24"/>
                <w:highlight w:val="none"/>
              </w:rPr>
              <w:t>名称</w:t>
            </w:r>
          </w:p>
        </w:tc>
        <w:tc>
          <w:tcPr>
            <w:tcW w:w="1178" w:type="dxa"/>
            <w:tcBorders>
              <w:top w:val="single" w:color="auto" w:sz="4" w:space="0"/>
              <w:left w:val="single" w:color="auto" w:sz="4" w:space="0"/>
              <w:bottom w:val="single" w:color="auto" w:sz="4" w:space="0"/>
              <w:right w:val="single" w:color="auto" w:sz="4" w:space="0"/>
            </w:tcBorders>
            <w:vAlign w:val="center"/>
          </w:tcPr>
          <w:p w14:paraId="6222D808">
            <w:pPr>
              <w:spacing w:line="360" w:lineRule="exact"/>
              <w:jc w:val="center"/>
              <w:rPr>
                <w:rFonts w:cs="宋体" w:asciiTheme="minorEastAsia" w:hAnsiTheme="minorEastAsia" w:eastAsiaTheme="minorEastAsia"/>
                <w:bCs/>
                <w:spacing w:val="-4"/>
                <w:sz w:val="24"/>
                <w:highlight w:val="none"/>
              </w:rPr>
            </w:pPr>
            <w:r>
              <w:rPr>
                <w:rFonts w:hint="eastAsia" w:cs="宋体" w:asciiTheme="minorEastAsia" w:hAnsiTheme="minorEastAsia" w:eastAsiaTheme="minorEastAsia"/>
                <w:bCs/>
                <w:spacing w:val="-4"/>
                <w:sz w:val="24"/>
                <w:highlight w:val="none"/>
              </w:rPr>
              <w:t>品牌及规格型号</w:t>
            </w:r>
          </w:p>
        </w:tc>
        <w:tc>
          <w:tcPr>
            <w:tcW w:w="992" w:type="dxa"/>
            <w:tcBorders>
              <w:top w:val="single" w:color="auto" w:sz="4" w:space="0"/>
              <w:left w:val="single" w:color="auto" w:sz="4" w:space="0"/>
              <w:bottom w:val="single" w:color="auto" w:sz="4" w:space="0"/>
              <w:right w:val="single" w:color="auto" w:sz="4" w:space="0"/>
            </w:tcBorders>
            <w:vAlign w:val="center"/>
          </w:tcPr>
          <w:p w14:paraId="5C47EFDB">
            <w:pPr>
              <w:spacing w:line="360" w:lineRule="exact"/>
              <w:jc w:val="center"/>
              <w:rPr>
                <w:rFonts w:cs="宋体" w:asciiTheme="minorEastAsia" w:hAnsiTheme="minorEastAsia" w:eastAsiaTheme="minorEastAsia"/>
                <w:bCs/>
                <w:spacing w:val="-4"/>
                <w:sz w:val="24"/>
                <w:highlight w:val="none"/>
              </w:rPr>
            </w:pPr>
            <w:r>
              <w:rPr>
                <w:rFonts w:hint="eastAsia" w:cs="宋体" w:asciiTheme="minorEastAsia" w:hAnsiTheme="minorEastAsia" w:eastAsiaTheme="minorEastAsia"/>
                <w:bCs/>
                <w:spacing w:val="-4"/>
                <w:sz w:val="24"/>
                <w:highlight w:val="none"/>
              </w:rPr>
              <w:t>品种码</w:t>
            </w:r>
          </w:p>
        </w:tc>
        <w:tc>
          <w:tcPr>
            <w:tcW w:w="709" w:type="dxa"/>
            <w:tcBorders>
              <w:top w:val="single" w:color="auto" w:sz="4" w:space="0"/>
              <w:left w:val="single" w:color="auto" w:sz="4" w:space="0"/>
              <w:bottom w:val="single" w:color="auto" w:sz="4" w:space="0"/>
              <w:right w:val="single" w:color="auto" w:sz="4" w:space="0"/>
            </w:tcBorders>
            <w:vAlign w:val="center"/>
          </w:tcPr>
          <w:p w14:paraId="3A7B4D0E">
            <w:pPr>
              <w:spacing w:line="360" w:lineRule="exact"/>
              <w:jc w:val="center"/>
              <w:rPr>
                <w:rFonts w:cs="宋体" w:asciiTheme="minorEastAsia" w:hAnsiTheme="minorEastAsia" w:eastAsiaTheme="minorEastAsia"/>
                <w:bCs/>
                <w:spacing w:val="-4"/>
                <w:sz w:val="24"/>
                <w:highlight w:val="none"/>
              </w:rPr>
            </w:pPr>
            <w:r>
              <w:rPr>
                <w:rFonts w:hint="eastAsia" w:cs="宋体" w:asciiTheme="minorEastAsia" w:hAnsiTheme="minorEastAsia" w:eastAsiaTheme="minorEastAsia"/>
                <w:bCs/>
                <w:spacing w:val="-4"/>
                <w:sz w:val="24"/>
                <w:highlight w:val="none"/>
              </w:rPr>
              <w:t>计量单位</w:t>
            </w:r>
          </w:p>
        </w:tc>
        <w:tc>
          <w:tcPr>
            <w:tcW w:w="841" w:type="dxa"/>
            <w:tcBorders>
              <w:top w:val="single" w:color="auto" w:sz="4" w:space="0"/>
              <w:left w:val="single" w:color="auto" w:sz="4" w:space="0"/>
              <w:bottom w:val="single" w:color="auto" w:sz="4" w:space="0"/>
              <w:right w:val="single" w:color="auto" w:sz="4" w:space="0"/>
            </w:tcBorders>
            <w:vAlign w:val="center"/>
          </w:tcPr>
          <w:p w14:paraId="15A53CDD">
            <w:pPr>
              <w:spacing w:line="360" w:lineRule="exact"/>
              <w:jc w:val="center"/>
              <w:rPr>
                <w:rFonts w:cs="宋体" w:asciiTheme="minorEastAsia" w:hAnsiTheme="minorEastAsia" w:eastAsiaTheme="minorEastAsia"/>
                <w:bCs/>
                <w:spacing w:val="-4"/>
                <w:sz w:val="24"/>
                <w:highlight w:val="none"/>
              </w:rPr>
            </w:pPr>
            <w:r>
              <w:rPr>
                <w:rFonts w:hint="eastAsia" w:cs="宋体" w:asciiTheme="minorEastAsia" w:hAnsiTheme="minorEastAsia" w:eastAsiaTheme="minorEastAsia"/>
                <w:bCs/>
                <w:spacing w:val="-4"/>
                <w:sz w:val="24"/>
                <w:highlight w:val="none"/>
              </w:rPr>
              <w:t>数量</w:t>
            </w:r>
          </w:p>
        </w:tc>
        <w:tc>
          <w:tcPr>
            <w:tcW w:w="1285" w:type="dxa"/>
            <w:tcBorders>
              <w:top w:val="single" w:color="auto" w:sz="4" w:space="0"/>
              <w:left w:val="single" w:color="auto" w:sz="4" w:space="0"/>
              <w:bottom w:val="single" w:color="auto" w:sz="4" w:space="0"/>
              <w:right w:val="single" w:color="auto" w:sz="4" w:space="0"/>
            </w:tcBorders>
            <w:vAlign w:val="center"/>
          </w:tcPr>
          <w:p w14:paraId="0D984BCF">
            <w:pPr>
              <w:spacing w:line="360" w:lineRule="exact"/>
              <w:jc w:val="center"/>
              <w:rPr>
                <w:rFonts w:cs="宋体" w:asciiTheme="minorEastAsia" w:hAnsiTheme="minorEastAsia" w:eastAsiaTheme="minorEastAsia"/>
                <w:bCs/>
                <w:spacing w:val="-4"/>
                <w:sz w:val="24"/>
                <w:highlight w:val="none"/>
              </w:rPr>
            </w:pPr>
            <w:r>
              <w:rPr>
                <w:rFonts w:hint="eastAsia" w:cs="宋体" w:asciiTheme="minorEastAsia" w:hAnsiTheme="minorEastAsia" w:eastAsiaTheme="minorEastAsia"/>
                <w:bCs/>
                <w:spacing w:val="-4"/>
                <w:sz w:val="24"/>
                <w:highlight w:val="none"/>
              </w:rPr>
              <w:t>技术参数</w:t>
            </w:r>
          </w:p>
        </w:tc>
        <w:tc>
          <w:tcPr>
            <w:tcW w:w="1054" w:type="dxa"/>
            <w:tcBorders>
              <w:top w:val="single" w:color="auto" w:sz="4" w:space="0"/>
              <w:left w:val="single" w:color="auto" w:sz="4" w:space="0"/>
              <w:bottom w:val="single" w:color="auto" w:sz="4" w:space="0"/>
              <w:right w:val="single" w:color="auto" w:sz="4" w:space="0"/>
            </w:tcBorders>
            <w:vAlign w:val="center"/>
          </w:tcPr>
          <w:p w14:paraId="6C3DB2AF">
            <w:pPr>
              <w:spacing w:line="360" w:lineRule="exact"/>
              <w:jc w:val="center"/>
              <w:rPr>
                <w:rFonts w:cs="宋体" w:asciiTheme="minorEastAsia" w:hAnsiTheme="minorEastAsia" w:eastAsiaTheme="minorEastAsia"/>
                <w:bCs/>
                <w:spacing w:val="-4"/>
                <w:sz w:val="24"/>
                <w:highlight w:val="none"/>
              </w:rPr>
            </w:pPr>
            <w:r>
              <w:rPr>
                <w:rFonts w:hint="eastAsia" w:cs="宋体" w:asciiTheme="minorEastAsia" w:hAnsiTheme="minorEastAsia" w:eastAsiaTheme="minorEastAsia"/>
                <w:bCs/>
                <w:spacing w:val="-4"/>
                <w:sz w:val="24"/>
                <w:highlight w:val="none"/>
              </w:rPr>
              <w:t>单价</w:t>
            </w:r>
          </w:p>
          <w:p w14:paraId="58DB6BB1">
            <w:pPr>
              <w:spacing w:line="360" w:lineRule="exact"/>
              <w:jc w:val="center"/>
              <w:rPr>
                <w:rFonts w:cs="宋体" w:asciiTheme="minorEastAsia" w:hAnsiTheme="minorEastAsia" w:eastAsiaTheme="minorEastAsia"/>
                <w:bCs/>
                <w:spacing w:val="-4"/>
                <w:sz w:val="24"/>
                <w:highlight w:val="none"/>
              </w:rPr>
            </w:pPr>
            <w:r>
              <w:rPr>
                <w:rFonts w:hint="eastAsia" w:cs="宋体" w:asciiTheme="minorEastAsia" w:hAnsiTheme="minorEastAsia" w:eastAsiaTheme="minorEastAsia"/>
                <w:bCs/>
                <w:spacing w:val="-4"/>
                <w:sz w:val="24"/>
                <w:highlight w:val="none"/>
              </w:rPr>
              <w:t>（元）</w:t>
            </w:r>
          </w:p>
        </w:tc>
        <w:tc>
          <w:tcPr>
            <w:tcW w:w="1134" w:type="dxa"/>
            <w:tcBorders>
              <w:top w:val="single" w:color="auto" w:sz="4" w:space="0"/>
              <w:left w:val="single" w:color="auto" w:sz="4" w:space="0"/>
              <w:bottom w:val="single" w:color="auto" w:sz="4" w:space="0"/>
              <w:right w:val="single" w:color="auto" w:sz="4" w:space="0"/>
            </w:tcBorders>
            <w:vAlign w:val="center"/>
          </w:tcPr>
          <w:p w14:paraId="687C94A1">
            <w:pPr>
              <w:spacing w:line="360" w:lineRule="exact"/>
              <w:jc w:val="center"/>
              <w:rPr>
                <w:rFonts w:cs="宋体" w:asciiTheme="minorEastAsia" w:hAnsiTheme="minorEastAsia" w:eastAsiaTheme="minorEastAsia"/>
                <w:bCs/>
                <w:spacing w:val="-4"/>
                <w:sz w:val="24"/>
                <w:highlight w:val="none"/>
              </w:rPr>
            </w:pPr>
            <w:r>
              <w:rPr>
                <w:rFonts w:hint="eastAsia" w:cs="宋体" w:asciiTheme="minorEastAsia" w:hAnsiTheme="minorEastAsia" w:eastAsiaTheme="minorEastAsia"/>
                <w:bCs/>
                <w:spacing w:val="-4"/>
                <w:sz w:val="24"/>
                <w:highlight w:val="none"/>
              </w:rPr>
              <w:t>总价</w:t>
            </w:r>
          </w:p>
          <w:p w14:paraId="1A14B0E9">
            <w:pPr>
              <w:spacing w:line="360" w:lineRule="exact"/>
              <w:jc w:val="center"/>
              <w:rPr>
                <w:rFonts w:cs="宋体" w:asciiTheme="minorEastAsia" w:hAnsiTheme="minorEastAsia" w:eastAsiaTheme="minorEastAsia"/>
                <w:bCs/>
                <w:spacing w:val="-4"/>
                <w:sz w:val="24"/>
                <w:highlight w:val="none"/>
              </w:rPr>
            </w:pPr>
            <w:r>
              <w:rPr>
                <w:rFonts w:hint="eastAsia" w:cs="宋体" w:asciiTheme="minorEastAsia" w:hAnsiTheme="minorEastAsia" w:eastAsiaTheme="minorEastAsia"/>
                <w:bCs/>
                <w:spacing w:val="-4"/>
                <w:sz w:val="24"/>
                <w:highlight w:val="none"/>
              </w:rPr>
              <w:t>（元）</w:t>
            </w:r>
          </w:p>
        </w:tc>
        <w:tc>
          <w:tcPr>
            <w:tcW w:w="708" w:type="dxa"/>
            <w:tcBorders>
              <w:top w:val="single" w:color="auto" w:sz="4" w:space="0"/>
              <w:left w:val="single" w:color="auto" w:sz="4" w:space="0"/>
              <w:bottom w:val="single" w:color="auto" w:sz="4" w:space="0"/>
              <w:right w:val="single" w:color="auto" w:sz="4" w:space="0"/>
            </w:tcBorders>
            <w:vAlign w:val="center"/>
          </w:tcPr>
          <w:p w14:paraId="0B9268AC">
            <w:pPr>
              <w:spacing w:line="360" w:lineRule="exact"/>
              <w:jc w:val="center"/>
              <w:rPr>
                <w:rFonts w:cs="宋体" w:asciiTheme="minorEastAsia" w:hAnsiTheme="minorEastAsia" w:eastAsiaTheme="minorEastAsia"/>
                <w:bCs/>
                <w:spacing w:val="-4"/>
                <w:sz w:val="24"/>
                <w:highlight w:val="none"/>
              </w:rPr>
            </w:pPr>
            <w:r>
              <w:rPr>
                <w:rFonts w:hint="eastAsia" w:cs="宋体" w:asciiTheme="minorEastAsia" w:hAnsiTheme="minorEastAsia" w:eastAsiaTheme="minorEastAsia"/>
                <w:bCs/>
                <w:spacing w:val="-4"/>
                <w:sz w:val="24"/>
                <w:highlight w:val="none"/>
              </w:rPr>
              <w:t>备注</w:t>
            </w:r>
          </w:p>
        </w:tc>
      </w:tr>
      <w:tr w14:paraId="409F1F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 w:hRule="atLeast"/>
          <w:jc w:val="center"/>
        </w:trPr>
        <w:tc>
          <w:tcPr>
            <w:tcW w:w="785" w:type="dxa"/>
            <w:tcBorders>
              <w:top w:val="single" w:color="auto" w:sz="4" w:space="0"/>
              <w:left w:val="single" w:color="auto" w:sz="4" w:space="0"/>
              <w:bottom w:val="single" w:color="auto" w:sz="4" w:space="0"/>
              <w:right w:val="single" w:color="auto" w:sz="4" w:space="0"/>
            </w:tcBorders>
            <w:vAlign w:val="center"/>
          </w:tcPr>
          <w:p w14:paraId="2D6037A3">
            <w:pPr>
              <w:spacing w:line="360" w:lineRule="exact"/>
              <w:jc w:val="center"/>
              <w:rPr>
                <w:rFonts w:cs="宋体" w:asciiTheme="minorEastAsia" w:hAnsiTheme="minorEastAsia" w:eastAsiaTheme="minorEastAsia"/>
                <w:bCs/>
                <w:spacing w:val="-4"/>
                <w:sz w:val="24"/>
                <w:highlight w:val="none"/>
              </w:rPr>
            </w:pPr>
            <w:r>
              <w:rPr>
                <w:rFonts w:cs="宋体" w:asciiTheme="minorEastAsia" w:hAnsiTheme="minorEastAsia" w:eastAsiaTheme="minorEastAsia"/>
                <w:bCs/>
                <w:spacing w:val="-4"/>
                <w:sz w:val="24"/>
                <w:highlight w:val="none"/>
              </w:rPr>
              <w:t>1</w:t>
            </w:r>
          </w:p>
        </w:tc>
        <w:tc>
          <w:tcPr>
            <w:tcW w:w="948" w:type="dxa"/>
            <w:tcBorders>
              <w:top w:val="single" w:color="auto" w:sz="4" w:space="0"/>
              <w:left w:val="single" w:color="auto" w:sz="4" w:space="0"/>
              <w:bottom w:val="single" w:color="auto" w:sz="4" w:space="0"/>
              <w:right w:val="single" w:color="auto" w:sz="4" w:space="0"/>
            </w:tcBorders>
            <w:vAlign w:val="center"/>
          </w:tcPr>
          <w:p w14:paraId="193A1AC6">
            <w:pPr>
              <w:spacing w:line="360" w:lineRule="exact"/>
              <w:jc w:val="center"/>
              <w:rPr>
                <w:rFonts w:cs="宋体" w:asciiTheme="minorEastAsia" w:hAnsiTheme="minorEastAsia" w:eastAsiaTheme="minorEastAsia"/>
                <w:bCs/>
                <w:spacing w:val="-4"/>
                <w:sz w:val="24"/>
                <w:highlight w:val="none"/>
              </w:rPr>
            </w:pPr>
          </w:p>
        </w:tc>
        <w:tc>
          <w:tcPr>
            <w:tcW w:w="1178" w:type="dxa"/>
            <w:tcBorders>
              <w:top w:val="single" w:color="auto" w:sz="4" w:space="0"/>
              <w:left w:val="single" w:color="auto" w:sz="4" w:space="0"/>
              <w:bottom w:val="single" w:color="auto" w:sz="4" w:space="0"/>
              <w:right w:val="single" w:color="auto" w:sz="4" w:space="0"/>
            </w:tcBorders>
            <w:vAlign w:val="center"/>
          </w:tcPr>
          <w:p w14:paraId="11180C63">
            <w:pPr>
              <w:spacing w:line="360" w:lineRule="exact"/>
              <w:jc w:val="center"/>
              <w:rPr>
                <w:rFonts w:cs="宋体" w:asciiTheme="minorEastAsia" w:hAnsiTheme="minorEastAsia" w:eastAsiaTheme="minorEastAsia"/>
                <w:bCs/>
                <w:spacing w:val="-4"/>
                <w:sz w:val="24"/>
                <w:highlight w:val="none"/>
              </w:rPr>
            </w:pPr>
          </w:p>
        </w:tc>
        <w:tc>
          <w:tcPr>
            <w:tcW w:w="992" w:type="dxa"/>
            <w:tcBorders>
              <w:top w:val="single" w:color="auto" w:sz="4" w:space="0"/>
              <w:left w:val="single" w:color="auto" w:sz="4" w:space="0"/>
              <w:bottom w:val="single" w:color="auto" w:sz="4" w:space="0"/>
              <w:right w:val="single" w:color="auto" w:sz="4" w:space="0"/>
            </w:tcBorders>
            <w:vAlign w:val="center"/>
          </w:tcPr>
          <w:p w14:paraId="5DD86A6D">
            <w:pPr>
              <w:spacing w:line="360" w:lineRule="exact"/>
              <w:jc w:val="center"/>
              <w:rPr>
                <w:rFonts w:ascii="楷体" w:hAnsi="楷体" w:eastAsia="楷体" w:cs="宋体"/>
                <w:bCs/>
                <w:spacing w:val="-4"/>
                <w:sz w:val="24"/>
                <w:highlight w:val="none"/>
              </w:rPr>
            </w:pPr>
            <w:r>
              <w:rPr>
                <w:rFonts w:hint="eastAsia" w:ascii="楷体" w:hAnsi="楷体" w:eastAsia="楷体" w:cs="宋体"/>
                <w:bCs/>
                <w:spacing w:val="-4"/>
                <w:sz w:val="24"/>
                <w:highlight w:val="none"/>
              </w:rPr>
              <w:t>按照编目编码要求申请填写</w:t>
            </w:r>
          </w:p>
        </w:tc>
        <w:tc>
          <w:tcPr>
            <w:tcW w:w="709" w:type="dxa"/>
            <w:tcBorders>
              <w:top w:val="single" w:color="auto" w:sz="4" w:space="0"/>
              <w:left w:val="single" w:color="auto" w:sz="4" w:space="0"/>
              <w:bottom w:val="single" w:color="auto" w:sz="4" w:space="0"/>
              <w:right w:val="single" w:color="auto" w:sz="4" w:space="0"/>
            </w:tcBorders>
            <w:vAlign w:val="center"/>
          </w:tcPr>
          <w:p w14:paraId="72CD00F1">
            <w:pPr>
              <w:spacing w:line="360" w:lineRule="exact"/>
              <w:jc w:val="center"/>
              <w:rPr>
                <w:rFonts w:cs="宋体" w:asciiTheme="minorEastAsia" w:hAnsiTheme="minorEastAsia" w:eastAsiaTheme="minorEastAsia"/>
                <w:bCs/>
                <w:spacing w:val="-4"/>
                <w:sz w:val="24"/>
                <w:highlight w:val="none"/>
              </w:rPr>
            </w:pPr>
          </w:p>
        </w:tc>
        <w:tc>
          <w:tcPr>
            <w:tcW w:w="841" w:type="dxa"/>
            <w:tcBorders>
              <w:top w:val="single" w:color="auto" w:sz="4" w:space="0"/>
              <w:left w:val="single" w:color="auto" w:sz="4" w:space="0"/>
              <w:bottom w:val="single" w:color="auto" w:sz="4" w:space="0"/>
              <w:right w:val="single" w:color="auto" w:sz="4" w:space="0"/>
            </w:tcBorders>
            <w:vAlign w:val="center"/>
          </w:tcPr>
          <w:p w14:paraId="5525A65F">
            <w:pPr>
              <w:spacing w:line="360" w:lineRule="exact"/>
              <w:jc w:val="center"/>
              <w:rPr>
                <w:rFonts w:cs="宋体" w:asciiTheme="minorEastAsia" w:hAnsiTheme="minorEastAsia" w:eastAsiaTheme="minorEastAsia"/>
                <w:bCs/>
                <w:spacing w:val="-4"/>
                <w:sz w:val="24"/>
                <w:highlight w:val="none"/>
              </w:rPr>
            </w:pPr>
          </w:p>
        </w:tc>
        <w:tc>
          <w:tcPr>
            <w:tcW w:w="1285" w:type="dxa"/>
            <w:tcBorders>
              <w:top w:val="single" w:color="auto" w:sz="4" w:space="0"/>
              <w:left w:val="single" w:color="auto" w:sz="4" w:space="0"/>
              <w:bottom w:val="single" w:color="auto" w:sz="4" w:space="0"/>
              <w:right w:val="single" w:color="auto" w:sz="4" w:space="0"/>
            </w:tcBorders>
            <w:vAlign w:val="center"/>
          </w:tcPr>
          <w:p w14:paraId="4699D5D6">
            <w:pPr>
              <w:spacing w:line="360" w:lineRule="exact"/>
              <w:jc w:val="center"/>
              <w:rPr>
                <w:rFonts w:ascii="楷体" w:hAnsi="楷体" w:eastAsia="楷体" w:cs="宋体"/>
                <w:bCs/>
                <w:spacing w:val="-4"/>
                <w:sz w:val="24"/>
                <w:highlight w:val="none"/>
              </w:rPr>
            </w:pPr>
            <w:r>
              <w:rPr>
                <w:rFonts w:hint="eastAsia" w:ascii="楷体" w:hAnsi="楷体" w:eastAsia="楷体" w:cs="宋体"/>
                <w:bCs/>
                <w:spacing w:val="-4"/>
                <w:sz w:val="24"/>
                <w:highlight w:val="none"/>
              </w:rPr>
              <w:t>技术参数应与报价文件一致，如内容较多，可以附页形式呈现</w:t>
            </w:r>
          </w:p>
        </w:tc>
        <w:tc>
          <w:tcPr>
            <w:tcW w:w="1054" w:type="dxa"/>
            <w:tcBorders>
              <w:top w:val="single" w:color="auto" w:sz="4" w:space="0"/>
              <w:left w:val="single" w:color="auto" w:sz="4" w:space="0"/>
              <w:bottom w:val="single" w:color="auto" w:sz="4" w:space="0"/>
              <w:right w:val="single" w:color="auto" w:sz="4" w:space="0"/>
            </w:tcBorders>
            <w:vAlign w:val="center"/>
          </w:tcPr>
          <w:p w14:paraId="210A88F8">
            <w:pPr>
              <w:spacing w:line="360" w:lineRule="exact"/>
              <w:jc w:val="center"/>
              <w:rPr>
                <w:rFonts w:cs="宋体" w:asciiTheme="minorEastAsia" w:hAnsiTheme="minorEastAsia" w:eastAsiaTheme="minorEastAsia"/>
                <w:bCs/>
                <w:spacing w:val="-4"/>
                <w:sz w:val="24"/>
                <w:highlight w:val="none"/>
              </w:rPr>
            </w:pPr>
          </w:p>
        </w:tc>
        <w:tc>
          <w:tcPr>
            <w:tcW w:w="1134" w:type="dxa"/>
            <w:tcBorders>
              <w:top w:val="single" w:color="auto" w:sz="4" w:space="0"/>
              <w:left w:val="single" w:color="auto" w:sz="4" w:space="0"/>
              <w:bottom w:val="single" w:color="auto" w:sz="4" w:space="0"/>
              <w:right w:val="single" w:color="auto" w:sz="4" w:space="0"/>
            </w:tcBorders>
            <w:vAlign w:val="center"/>
          </w:tcPr>
          <w:p w14:paraId="60787027">
            <w:pPr>
              <w:spacing w:line="360" w:lineRule="exact"/>
              <w:jc w:val="center"/>
              <w:rPr>
                <w:rFonts w:cs="宋体" w:asciiTheme="minorEastAsia" w:hAnsiTheme="minorEastAsia" w:eastAsiaTheme="minorEastAsia"/>
                <w:bCs/>
                <w:spacing w:val="-4"/>
                <w:sz w:val="24"/>
                <w:highlight w:val="none"/>
              </w:rPr>
            </w:pPr>
          </w:p>
        </w:tc>
        <w:tc>
          <w:tcPr>
            <w:tcW w:w="708" w:type="dxa"/>
            <w:tcBorders>
              <w:top w:val="single" w:color="auto" w:sz="4" w:space="0"/>
              <w:left w:val="single" w:color="auto" w:sz="4" w:space="0"/>
              <w:bottom w:val="single" w:color="auto" w:sz="4" w:space="0"/>
              <w:right w:val="single" w:color="auto" w:sz="4" w:space="0"/>
            </w:tcBorders>
            <w:vAlign w:val="center"/>
          </w:tcPr>
          <w:p w14:paraId="410BCC6B">
            <w:pPr>
              <w:spacing w:line="360" w:lineRule="exact"/>
              <w:jc w:val="center"/>
              <w:rPr>
                <w:rFonts w:cs="宋体" w:asciiTheme="minorEastAsia" w:hAnsiTheme="minorEastAsia" w:eastAsiaTheme="minorEastAsia"/>
                <w:bCs/>
                <w:spacing w:val="-4"/>
                <w:sz w:val="24"/>
                <w:highlight w:val="none"/>
              </w:rPr>
            </w:pPr>
          </w:p>
        </w:tc>
      </w:tr>
      <w:tr w14:paraId="3114E5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785" w:type="dxa"/>
            <w:tcBorders>
              <w:top w:val="single" w:color="auto" w:sz="4" w:space="0"/>
              <w:left w:val="single" w:color="auto" w:sz="4" w:space="0"/>
              <w:bottom w:val="single" w:color="auto" w:sz="4" w:space="0"/>
              <w:right w:val="single" w:color="auto" w:sz="4" w:space="0"/>
            </w:tcBorders>
            <w:vAlign w:val="center"/>
          </w:tcPr>
          <w:p w14:paraId="10F206E2">
            <w:pPr>
              <w:spacing w:line="360" w:lineRule="exact"/>
              <w:jc w:val="center"/>
              <w:rPr>
                <w:rFonts w:cs="宋体" w:asciiTheme="minorEastAsia" w:hAnsiTheme="minorEastAsia" w:eastAsiaTheme="minorEastAsia"/>
                <w:bCs/>
                <w:spacing w:val="-4"/>
                <w:sz w:val="24"/>
                <w:highlight w:val="none"/>
              </w:rPr>
            </w:pPr>
            <w:r>
              <w:rPr>
                <w:rFonts w:hint="eastAsia" w:cs="宋体" w:asciiTheme="minorEastAsia" w:hAnsiTheme="minorEastAsia" w:eastAsiaTheme="minorEastAsia"/>
                <w:bCs/>
                <w:spacing w:val="-4"/>
                <w:sz w:val="24"/>
                <w:highlight w:val="none"/>
              </w:rPr>
              <w:t>……</w:t>
            </w:r>
          </w:p>
        </w:tc>
        <w:tc>
          <w:tcPr>
            <w:tcW w:w="948" w:type="dxa"/>
            <w:tcBorders>
              <w:top w:val="single" w:color="auto" w:sz="4" w:space="0"/>
              <w:left w:val="single" w:color="auto" w:sz="4" w:space="0"/>
              <w:bottom w:val="single" w:color="auto" w:sz="4" w:space="0"/>
              <w:right w:val="single" w:color="auto" w:sz="4" w:space="0"/>
            </w:tcBorders>
            <w:vAlign w:val="center"/>
          </w:tcPr>
          <w:p w14:paraId="68F7A1CE">
            <w:pPr>
              <w:spacing w:line="360" w:lineRule="exact"/>
              <w:jc w:val="center"/>
              <w:rPr>
                <w:rFonts w:cs="宋体" w:asciiTheme="minorEastAsia" w:hAnsiTheme="minorEastAsia" w:eastAsiaTheme="minorEastAsia"/>
                <w:bCs/>
                <w:spacing w:val="-4"/>
                <w:sz w:val="24"/>
                <w:highlight w:val="none"/>
              </w:rPr>
            </w:pPr>
          </w:p>
        </w:tc>
        <w:tc>
          <w:tcPr>
            <w:tcW w:w="1178" w:type="dxa"/>
            <w:tcBorders>
              <w:top w:val="single" w:color="auto" w:sz="4" w:space="0"/>
              <w:left w:val="single" w:color="auto" w:sz="4" w:space="0"/>
              <w:bottom w:val="single" w:color="auto" w:sz="4" w:space="0"/>
              <w:right w:val="single" w:color="auto" w:sz="4" w:space="0"/>
            </w:tcBorders>
            <w:vAlign w:val="center"/>
          </w:tcPr>
          <w:p w14:paraId="2B4EBEAE">
            <w:pPr>
              <w:spacing w:line="360" w:lineRule="exact"/>
              <w:jc w:val="center"/>
              <w:rPr>
                <w:rFonts w:cs="宋体" w:asciiTheme="minorEastAsia" w:hAnsiTheme="minorEastAsia" w:eastAsiaTheme="minorEastAsia"/>
                <w:bCs/>
                <w:spacing w:val="-4"/>
                <w:sz w:val="24"/>
                <w:highlight w:val="none"/>
              </w:rPr>
            </w:pPr>
          </w:p>
        </w:tc>
        <w:tc>
          <w:tcPr>
            <w:tcW w:w="992" w:type="dxa"/>
            <w:tcBorders>
              <w:top w:val="single" w:color="auto" w:sz="4" w:space="0"/>
              <w:left w:val="single" w:color="auto" w:sz="4" w:space="0"/>
              <w:bottom w:val="single" w:color="auto" w:sz="4" w:space="0"/>
              <w:right w:val="single" w:color="auto" w:sz="4" w:space="0"/>
            </w:tcBorders>
            <w:vAlign w:val="center"/>
          </w:tcPr>
          <w:p w14:paraId="08253A0C">
            <w:pPr>
              <w:spacing w:line="360" w:lineRule="exact"/>
              <w:jc w:val="center"/>
              <w:rPr>
                <w:rFonts w:cs="宋体" w:asciiTheme="minorEastAsia" w:hAnsiTheme="minorEastAsia" w:eastAsiaTheme="minorEastAsia"/>
                <w:bCs/>
                <w:spacing w:val="-4"/>
                <w:sz w:val="24"/>
                <w:highlight w:val="none"/>
              </w:rPr>
            </w:pPr>
          </w:p>
        </w:tc>
        <w:tc>
          <w:tcPr>
            <w:tcW w:w="709" w:type="dxa"/>
            <w:tcBorders>
              <w:top w:val="single" w:color="auto" w:sz="4" w:space="0"/>
              <w:left w:val="single" w:color="auto" w:sz="4" w:space="0"/>
              <w:bottom w:val="single" w:color="auto" w:sz="4" w:space="0"/>
              <w:right w:val="single" w:color="auto" w:sz="4" w:space="0"/>
            </w:tcBorders>
            <w:vAlign w:val="center"/>
          </w:tcPr>
          <w:p w14:paraId="0A58F8B9">
            <w:pPr>
              <w:spacing w:line="360" w:lineRule="exact"/>
              <w:jc w:val="center"/>
              <w:rPr>
                <w:rFonts w:cs="宋体" w:asciiTheme="minorEastAsia" w:hAnsiTheme="minorEastAsia" w:eastAsiaTheme="minorEastAsia"/>
                <w:bCs/>
                <w:spacing w:val="-4"/>
                <w:sz w:val="24"/>
                <w:highlight w:val="none"/>
              </w:rPr>
            </w:pPr>
          </w:p>
        </w:tc>
        <w:tc>
          <w:tcPr>
            <w:tcW w:w="841" w:type="dxa"/>
            <w:tcBorders>
              <w:top w:val="single" w:color="auto" w:sz="4" w:space="0"/>
              <w:left w:val="single" w:color="auto" w:sz="4" w:space="0"/>
              <w:bottom w:val="single" w:color="auto" w:sz="4" w:space="0"/>
              <w:right w:val="single" w:color="auto" w:sz="4" w:space="0"/>
            </w:tcBorders>
            <w:vAlign w:val="center"/>
          </w:tcPr>
          <w:p w14:paraId="7AAB34C2">
            <w:pPr>
              <w:spacing w:line="360" w:lineRule="exact"/>
              <w:jc w:val="center"/>
              <w:rPr>
                <w:rFonts w:cs="宋体" w:asciiTheme="minorEastAsia" w:hAnsiTheme="minorEastAsia" w:eastAsiaTheme="minorEastAsia"/>
                <w:bCs/>
                <w:spacing w:val="-4"/>
                <w:sz w:val="24"/>
                <w:highlight w:val="none"/>
              </w:rPr>
            </w:pPr>
          </w:p>
        </w:tc>
        <w:tc>
          <w:tcPr>
            <w:tcW w:w="1285" w:type="dxa"/>
            <w:tcBorders>
              <w:top w:val="single" w:color="auto" w:sz="4" w:space="0"/>
              <w:left w:val="single" w:color="auto" w:sz="4" w:space="0"/>
              <w:bottom w:val="single" w:color="auto" w:sz="4" w:space="0"/>
              <w:right w:val="single" w:color="auto" w:sz="4" w:space="0"/>
            </w:tcBorders>
            <w:vAlign w:val="center"/>
          </w:tcPr>
          <w:p w14:paraId="0FB91E61">
            <w:pPr>
              <w:spacing w:line="360" w:lineRule="exact"/>
              <w:jc w:val="center"/>
              <w:rPr>
                <w:rFonts w:cs="宋体" w:asciiTheme="minorEastAsia" w:hAnsiTheme="minorEastAsia" w:eastAsiaTheme="minorEastAsia"/>
                <w:bCs/>
                <w:spacing w:val="-4"/>
                <w:sz w:val="24"/>
                <w:highlight w:val="none"/>
              </w:rPr>
            </w:pPr>
          </w:p>
        </w:tc>
        <w:tc>
          <w:tcPr>
            <w:tcW w:w="1054" w:type="dxa"/>
            <w:tcBorders>
              <w:top w:val="single" w:color="auto" w:sz="4" w:space="0"/>
              <w:left w:val="single" w:color="auto" w:sz="4" w:space="0"/>
              <w:bottom w:val="single" w:color="auto" w:sz="4" w:space="0"/>
              <w:right w:val="single" w:color="auto" w:sz="4" w:space="0"/>
            </w:tcBorders>
            <w:vAlign w:val="center"/>
          </w:tcPr>
          <w:p w14:paraId="393A8B71">
            <w:pPr>
              <w:spacing w:line="360" w:lineRule="exact"/>
              <w:jc w:val="center"/>
              <w:rPr>
                <w:rFonts w:cs="宋体" w:asciiTheme="minorEastAsia" w:hAnsiTheme="minorEastAsia" w:eastAsiaTheme="minorEastAsia"/>
                <w:bCs/>
                <w:spacing w:val="-4"/>
                <w:sz w:val="24"/>
                <w:highlight w:val="none"/>
              </w:rPr>
            </w:pPr>
          </w:p>
        </w:tc>
        <w:tc>
          <w:tcPr>
            <w:tcW w:w="1134" w:type="dxa"/>
            <w:tcBorders>
              <w:top w:val="single" w:color="auto" w:sz="4" w:space="0"/>
              <w:left w:val="single" w:color="auto" w:sz="4" w:space="0"/>
              <w:bottom w:val="single" w:color="auto" w:sz="4" w:space="0"/>
              <w:right w:val="single" w:color="auto" w:sz="4" w:space="0"/>
            </w:tcBorders>
            <w:vAlign w:val="center"/>
          </w:tcPr>
          <w:p w14:paraId="034A8419">
            <w:pPr>
              <w:spacing w:line="360" w:lineRule="exact"/>
              <w:jc w:val="center"/>
              <w:rPr>
                <w:rFonts w:cs="宋体" w:asciiTheme="minorEastAsia" w:hAnsiTheme="minorEastAsia" w:eastAsiaTheme="minorEastAsia"/>
                <w:bCs/>
                <w:spacing w:val="-4"/>
                <w:sz w:val="24"/>
                <w:highlight w:val="none"/>
              </w:rPr>
            </w:pPr>
          </w:p>
        </w:tc>
        <w:tc>
          <w:tcPr>
            <w:tcW w:w="708" w:type="dxa"/>
            <w:tcBorders>
              <w:top w:val="single" w:color="auto" w:sz="4" w:space="0"/>
              <w:left w:val="single" w:color="auto" w:sz="4" w:space="0"/>
              <w:bottom w:val="single" w:color="auto" w:sz="4" w:space="0"/>
              <w:right w:val="single" w:color="auto" w:sz="4" w:space="0"/>
            </w:tcBorders>
            <w:vAlign w:val="center"/>
          </w:tcPr>
          <w:p w14:paraId="062F1BB0">
            <w:pPr>
              <w:spacing w:line="360" w:lineRule="exact"/>
              <w:jc w:val="center"/>
              <w:rPr>
                <w:rFonts w:cs="宋体" w:asciiTheme="minorEastAsia" w:hAnsiTheme="minorEastAsia" w:eastAsiaTheme="minorEastAsia"/>
                <w:bCs/>
                <w:spacing w:val="-4"/>
                <w:sz w:val="24"/>
                <w:highlight w:val="none"/>
              </w:rPr>
            </w:pPr>
          </w:p>
        </w:tc>
      </w:tr>
      <w:tr w14:paraId="774BEF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7792" w:type="dxa"/>
            <w:gridSpan w:val="8"/>
            <w:tcBorders>
              <w:top w:val="single" w:color="auto" w:sz="4" w:space="0"/>
              <w:left w:val="single" w:color="auto" w:sz="4" w:space="0"/>
              <w:bottom w:val="single" w:color="auto" w:sz="4" w:space="0"/>
              <w:right w:val="single" w:color="auto" w:sz="4" w:space="0"/>
            </w:tcBorders>
          </w:tcPr>
          <w:p w14:paraId="4C17ABB8">
            <w:pPr>
              <w:spacing w:line="360" w:lineRule="exact"/>
              <w:jc w:val="center"/>
              <w:rPr>
                <w:rFonts w:cs="宋体" w:asciiTheme="minorEastAsia" w:hAnsiTheme="minorEastAsia" w:eastAsiaTheme="minorEastAsia"/>
                <w:bCs/>
                <w:spacing w:val="-4"/>
                <w:sz w:val="24"/>
                <w:highlight w:val="none"/>
              </w:rPr>
            </w:pPr>
            <w:r>
              <w:rPr>
                <w:rFonts w:hint="eastAsia" w:cs="宋体" w:asciiTheme="minorEastAsia" w:hAnsiTheme="minorEastAsia" w:eastAsiaTheme="minorEastAsia"/>
                <w:bCs/>
                <w:spacing w:val="-4"/>
                <w:sz w:val="24"/>
                <w:highlight w:val="none"/>
              </w:rPr>
              <w:t>合</w:t>
            </w:r>
            <w:r>
              <w:rPr>
                <w:rFonts w:cs="宋体" w:asciiTheme="minorEastAsia" w:hAnsiTheme="minorEastAsia" w:eastAsiaTheme="minorEastAsia"/>
                <w:bCs/>
                <w:spacing w:val="-4"/>
                <w:sz w:val="24"/>
                <w:highlight w:val="none"/>
              </w:rPr>
              <w:t xml:space="preserve">  </w:t>
            </w:r>
            <w:r>
              <w:rPr>
                <w:rFonts w:hint="eastAsia" w:cs="宋体" w:asciiTheme="minorEastAsia" w:hAnsiTheme="minorEastAsia" w:eastAsiaTheme="minorEastAsia"/>
                <w:bCs/>
                <w:spacing w:val="-4"/>
                <w:sz w:val="24"/>
                <w:highlight w:val="none"/>
              </w:rPr>
              <w:t>计</w:t>
            </w:r>
          </w:p>
        </w:tc>
        <w:tc>
          <w:tcPr>
            <w:tcW w:w="1134" w:type="dxa"/>
            <w:tcBorders>
              <w:top w:val="single" w:color="auto" w:sz="4" w:space="0"/>
              <w:left w:val="single" w:color="auto" w:sz="4" w:space="0"/>
              <w:bottom w:val="single" w:color="auto" w:sz="4" w:space="0"/>
              <w:right w:val="single" w:color="auto" w:sz="4" w:space="0"/>
            </w:tcBorders>
            <w:vAlign w:val="center"/>
          </w:tcPr>
          <w:p w14:paraId="023F4D53">
            <w:pPr>
              <w:spacing w:line="360" w:lineRule="exact"/>
              <w:rPr>
                <w:rFonts w:cs="宋体" w:asciiTheme="minorEastAsia" w:hAnsiTheme="minorEastAsia" w:eastAsiaTheme="minorEastAsia"/>
                <w:bCs/>
                <w:spacing w:val="-4"/>
                <w:sz w:val="24"/>
                <w:highlight w:val="none"/>
              </w:rPr>
            </w:pPr>
          </w:p>
        </w:tc>
        <w:tc>
          <w:tcPr>
            <w:tcW w:w="708" w:type="dxa"/>
            <w:tcBorders>
              <w:top w:val="single" w:color="auto" w:sz="4" w:space="0"/>
              <w:left w:val="single" w:color="auto" w:sz="4" w:space="0"/>
              <w:bottom w:val="single" w:color="auto" w:sz="4" w:space="0"/>
              <w:right w:val="single" w:color="auto" w:sz="4" w:space="0"/>
            </w:tcBorders>
            <w:vAlign w:val="center"/>
          </w:tcPr>
          <w:p w14:paraId="74514F34">
            <w:pPr>
              <w:spacing w:line="360" w:lineRule="exact"/>
              <w:jc w:val="center"/>
              <w:rPr>
                <w:rFonts w:cs="宋体" w:asciiTheme="minorEastAsia" w:hAnsiTheme="minorEastAsia" w:eastAsiaTheme="minorEastAsia"/>
                <w:bCs/>
                <w:spacing w:val="-4"/>
                <w:sz w:val="24"/>
                <w:highlight w:val="none"/>
              </w:rPr>
            </w:pPr>
          </w:p>
        </w:tc>
      </w:tr>
      <w:tr w14:paraId="115D7B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jc w:val="center"/>
        </w:trPr>
        <w:tc>
          <w:tcPr>
            <w:tcW w:w="9634" w:type="dxa"/>
            <w:gridSpan w:val="10"/>
            <w:tcBorders>
              <w:top w:val="single" w:color="auto" w:sz="4" w:space="0"/>
              <w:left w:val="single" w:color="auto" w:sz="4" w:space="0"/>
              <w:bottom w:val="single" w:color="auto" w:sz="4" w:space="0"/>
              <w:right w:val="single" w:color="auto" w:sz="4" w:space="0"/>
            </w:tcBorders>
            <w:vAlign w:val="center"/>
          </w:tcPr>
          <w:p w14:paraId="4958BEC6">
            <w:pPr>
              <w:spacing w:line="360" w:lineRule="exact"/>
              <w:rPr>
                <w:rFonts w:cs="宋体" w:asciiTheme="minorEastAsia" w:hAnsiTheme="minorEastAsia" w:eastAsiaTheme="minorEastAsia"/>
                <w:bCs/>
                <w:spacing w:val="-4"/>
                <w:sz w:val="24"/>
                <w:highlight w:val="none"/>
              </w:rPr>
            </w:pPr>
            <w:r>
              <w:rPr>
                <w:rFonts w:hint="eastAsia" w:cs="宋体" w:asciiTheme="minorEastAsia" w:hAnsiTheme="minorEastAsia" w:eastAsiaTheme="minorEastAsia"/>
                <w:bCs/>
                <w:spacing w:val="-4"/>
                <w:sz w:val="24"/>
                <w:highlight w:val="none"/>
              </w:rPr>
              <w:t>金额合计（人民币大写）：</w:t>
            </w:r>
            <w:r>
              <w:rPr>
                <w:rFonts w:cs="宋体" w:asciiTheme="minorEastAsia" w:hAnsiTheme="minorEastAsia" w:eastAsiaTheme="minorEastAsia"/>
                <w:bCs/>
                <w:sz w:val="24"/>
                <w:highlight w:val="none"/>
                <w:u w:val="single"/>
              </w:rPr>
              <w:t xml:space="preserve">                   </w:t>
            </w:r>
            <w:r>
              <w:rPr>
                <w:rFonts w:hint="eastAsia" w:cs="宋体" w:asciiTheme="minorEastAsia" w:hAnsiTheme="minorEastAsia" w:eastAsiaTheme="minorEastAsia"/>
                <w:bCs/>
                <w:spacing w:val="-4"/>
                <w:sz w:val="24"/>
                <w:highlight w:val="none"/>
              </w:rPr>
              <w:t>元</w:t>
            </w:r>
            <w:r>
              <w:rPr>
                <w:rFonts w:cs="宋体" w:asciiTheme="minorEastAsia" w:hAnsiTheme="minorEastAsia" w:eastAsiaTheme="minorEastAsia"/>
                <w:bCs/>
                <w:sz w:val="24"/>
                <w:highlight w:val="none"/>
              </w:rPr>
              <w:t xml:space="preserve">      （小写）：</w:t>
            </w:r>
            <w:r>
              <w:rPr>
                <w:rFonts w:cs="Calibri" w:asciiTheme="minorEastAsia" w:hAnsiTheme="minorEastAsia" w:eastAsiaTheme="minorEastAsia"/>
                <w:bCs/>
                <w:sz w:val="24"/>
                <w:highlight w:val="none"/>
              </w:rPr>
              <w:t>¥</w:t>
            </w:r>
            <w:r>
              <w:rPr>
                <w:rFonts w:cs="宋体" w:asciiTheme="minorEastAsia" w:hAnsiTheme="minorEastAsia" w:eastAsiaTheme="minorEastAsia"/>
                <w:bCs/>
                <w:sz w:val="24"/>
                <w:highlight w:val="none"/>
                <w:u w:val="single"/>
              </w:rPr>
              <w:t xml:space="preserve">                 </w:t>
            </w:r>
          </w:p>
        </w:tc>
      </w:tr>
    </w:tbl>
    <w:p w14:paraId="7C0C1D38">
      <w:pPr>
        <w:spacing w:line="560" w:lineRule="exact"/>
        <w:ind w:firstLine="560" w:firstLineChars="200"/>
        <w:rPr>
          <w:rFonts w:asciiTheme="minorEastAsia" w:hAnsiTheme="minorEastAsia" w:eastAsiaTheme="minorEastAsia"/>
          <w:sz w:val="28"/>
          <w:szCs w:val="28"/>
          <w:highlight w:val="none"/>
        </w:rPr>
      </w:pPr>
      <w:r>
        <w:rPr>
          <w:rFonts w:hint="eastAsia" w:asciiTheme="minorEastAsia" w:hAnsiTheme="minorEastAsia" w:eastAsiaTheme="minorEastAsia"/>
          <w:sz w:val="28"/>
          <w:szCs w:val="28"/>
          <w:highlight w:val="none"/>
        </w:rPr>
        <w:t>备注：</w:t>
      </w:r>
      <w:r>
        <w:rPr>
          <w:rFonts w:asciiTheme="minorEastAsia" w:hAnsiTheme="minorEastAsia" w:eastAsiaTheme="minorEastAsia"/>
          <w:sz w:val="28"/>
          <w:szCs w:val="28"/>
          <w:highlight w:val="none"/>
          <w:u w:val="single"/>
        </w:rPr>
        <w:t xml:space="preserve">                  </w:t>
      </w:r>
      <w:r>
        <w:rPr>
          <w:rFonts w:hint="eastAsia" w:asciiTheme="minorEastAsia" w:hAnsiTheme="minorEastAsia" w:eastAsiaTheme="minorEastAsia"/>
          <w:sz w:val="28"/>
          <w:szCs w:val="28"/>
          <w:highlight w:val="none"/>
        </w:rPr>
        <w:t>。</w:t>
      </w:r>
    </w:p>
    <w:p w14:paraId="25536453">
      <w:pPr>
        <w:pStyle w:val="5"/>
        <w:spacing w:before="0" w:after="0" w:line="560" w:lineRule="exact"/>
        <w:ind w:firstLine="560" w:firstLineChars="200"/>
        <w:rPr>
          <w:rFonts w:ascii="黑体" w:hAnsi="黑体" w:cs="黑体"/>
          <w:b w:val="0"/>
          <w:sz w:val="28"/>
          <w:szCs w:val="28"/>
          <w:highlight w:val="none"/>
        </w:rPr>
      </w:pPr>
      <w:bookmarkStart w:id="1036" w:name="_Toc4211"/>
      <w:bookmarkStart w:id="1037" w:name="_Toc2900"/>
      <w:bookmarkStart w:id="1038" w:name="_Toc27966"/>
      <w:bookmarkStart w:id="1039" w:name="_Toc1029"/>
      <w:bookmarkStart w:id="1040" w:name="_Toc6381"/>
      <w:bookmarkStart w:id="1041" w:name="_Toc14689"/>
      <w:bookmarkStart w:id="1042" w:name="_Toc150421252"/>
      <w:r>
        <w:rPr>
          <w:rFonts w:hint="eastAsia" w:ascii="黑体" w:hAnsi="黑体" w:cs="黑体"/>
          <w:b w:val="0"/>
          <w:sz w:val="28"/>
          <w:szCs w:val="28"/>
          <w:highlight w:val="none"/>
        </w:rPr>
        <w:t>三、</w:t>
      </w:r>
      <w:bookmarkStart w:id="1043" w:name="_Hlk129329253"/>
      <w:r>
        <w:rPr>
          <w:rFonts w:hint="eastAsia" w:ascii="黑体" w:hAnsi="黑体" w:cs="黑体"/>
          <w:b w:val="0"/>
          <w:sz w:val="28"/>
          <w:szCs w:val="28"/>
          <w:highlight w:val="none"/>
        </w:rPr>
        <w:t>交付时间</w:t>
      </w:r>
      <w:bookmarkEnd w:id="1043"/>
      <w:r>
        <w:rPr>
          <w:rFonts w:hint="eastAsia" w:ascii="黑体" w:hAnsi="黑体" w:cs="黑体"/>
          <w:b w:val="0"/>
          <w:sz w:val="28"/>
          <w:szCs w:val="28"/>
          <w:highlight w:val="none"/>
        </w:rPr>
        <w:t>、地点及方式</w:t>
      </w:r>
      <w:bookmarkEnd w:id="1036"/>
      <w:bookmarkEnd w:id="1037"/>
      <w:bookmarkEnd w:id="1038"/>
      <w:bookmarkEnd w:id="1039"/>
      <w:bookmarkEnd w:id="1040"/>
      <w:bookmarkEnd w:id="1041"/>
      <w:bookmarkEnd w:id="1042"/>
    </w:p>
    <w:p w14:paraId="42DB1899">
      <w:pPr>
        <w:spacing w:line="560" w:lineRule="exact"/>
        <w:ind w:firstLine="560" w:firstLineChars="200"/>
        <w:rPr>
          <w:rFonts w:cs="宋体" w:asciiTheme="minorEastAsia" w:hAnsiTheme="minorEastAsia" w:eastAsiaTheme="minorEastAsia"/>
          <w:bCs/>
          <w:sz w:val="28"/>
          <w:szCs w:val="28"/>
          <w:highlight w:val="none"/>
        </w:rPr>
      </w:pPr>
      <w:bookmarkStart w:id="1044" w:name="_Hlk129332881"/>
      <w:r>
        <w:rPr>
          <w:rFonts w:hint="eastAsia" w:cs="宋体" w:asciiTheme="minorEastAsia" w:hAnsiTheme="minorEastAsia" w:eastAsiaTheme="minorEastAsia"/>
          <w:bCs/>
          <w:sz w:val="28"/>
          <w:szCs w:val="28"/>
          <w:highlight w:val="none"/>
        </w:rPr>
        <w:t>（一）</w:t>
      </w:r>
      <w:bookmarkEnd w:id="1044"/>
      <w:r>
        <w:rPr>
          <w:rFonts w:hint="eastAsia" w:cs="宋体" w:asciiTheme="minorEastAsia" w:hAnsiTheme="minorEastAsia" w:eastAsiaTheme="minorEastAsia"/>
          <w:bCs/>
          <w:sz w:val="28"/>
          <w:szCs w:val="28"/>
          <w:highlight w:val="none"/>
        </w:rPr>
        <w:t>交付时间：</w:t>
      </w:r>
      <w:r>
        <w:rPr>
          <w:rFonts w:cs="宋体" w:asciiTheme="minorEastAsia" w:hAnsiTheme="minorEastAsia" w:eastAsiaTheme="minorEastAsia"/>
          <w:bCs/>
          <w:sz w:val="28"/>
          <w:szCs w:val="28"/>
          <w:highlight w:val="none"/>
          <w:u w:val="single"/>
        </w:rPr>
        <w:t xml:space="preserve">                          </w:t>
      </w:r>
    </w:p>
    <w:p w14:paraId="4DB32223">
      <w:pPr>
        <w:spacing w:line="560" w:lineRule="exact"/>
        <w:ind w:firstLine="560" w:firstLineChars="200"/>
        <w:rPr>
          <w:rFonts w:cs="宋体" w:asciiTheme="minorEastAsia" w:hAnsiTheme="minorEastAsia" w:eastAsiaTheme="minorEastAsia"/>
          <w:bCs/>
          <w:sz w:val="28"/>
          <w:szCs w:val="28"/>
          <w:highlight w:val="none"/>
          <w:u w:val="single"/>
        </w:rPr>
      </w:pPr>
      <w:r>
        <w:rPr>
          <w:rFonts w:hint="eastAsia" w:cs="宋体" w:asciiTheme="minorEastAsia" w:hAnsiTheme="minorEastAsia" w:eastAsiaTheme="minorEastAsia"/>
          <w:bCs/>
          <w:sz w:val="28"/>
          <w:szCs w:val="28"/>
          <w:highlight w:val="none"/>
        </w:rPr>
        <w:t>（二）交付地点：</w:t>
      </w:r>
      <w:r>
        <w:rPr>
          <w:rFonts w:cs="宋体" w:asciiTheme="minorEastAsia" w:hAnsiTheme="minorEastAsia" w:eastAsiaTheme="minorEastAsia"/>
          <w:bCs/>
          <w:sz w:val="28"/>
          <w:szCs w:val="28"/>
          <w:highlight w:val="none"/>
          <w:u w:val="single"/>
        </w:rPr>
        <w:t xml:space="preserve">                          </w:t>
      </w:r>
    </w:p>
    <w:p w14:paraId="5A8751D5">
      <w:pPr>
        <w:spacing w:line="560" w:lineRule="exact"/>
        <w:ind w:firstLine="560" w:firstLineChars="200"/>
        <w:rPr>
          <w:rFonts w:cs="宋体" w:asciiTheme="minorEastAsia" w:hAnsiTheme="minorEastAsia" w:eastAsiaTheme="minorEastAsia"/>
          <w:bCs/>
          <w:sz w:val="28"/>
          <w:szCs w:val="28"/>
          <w:highlight w:val="none"/>
          <w:u w:val="single"/>
        </w:rPr>
      </w:pPr>
      <w:r>
        <w:rPr>
          <w:rFonts w:hint="eastAsia" w:cs="宋体" w:asciiTheme="minorEastAsia" w:hAnsiTheme="minorEastAsia" w:eastAsiaTheme="minorEastAsia"/>
          <w:bCs/>
          <w:sz w:val="28"/>
          <w:szCs w:val="28"/>
          <w:highlight w:val="none"/>
        </w:rPr>
        <w:t>（三）交付方式：</w:t>
      </w:r>
      <w:r>
        <w:rPr>
          <w:rFonts w:cs="宋体" w:asciiTheme="minorEastAsia" w:hAnsiTheme="minorEastAsia" w:eastAsiaTheme="minorEastAsia"/>
          <w:bCs/>
          <w:sz w:val="28"/>
          <w:szCs w:val="28"/>
          <w:highlight w:val="none"/>
          <w:u w:val="single"/>
        </w:rPr>
        <w:t xml:space="preserve">                          </w:t>
      </w:r>
    </w:p>
    <w:p w14:paraId="7C05426A">
      <w:pPr>
        <w:pStyle w:val="5"/>
        <w:spacing w:before="0" w:after="0" w:line="560" w:lineRule="exact"/>
        <w:ind w:firstLine="560" w:firstLineChars="200"/>
        <w:rPr>
          <w:rFonts w:ascii="黑体" w:hAnsi="黑体" w:cs="黑体"/>
          <w:b w:val="0"/>
          <w:sz w:val="28"/>
          <w:szCs w:val="28"/>
          <w:highlight w:val="none"/>
        </w:rPr>
      </w:pPr>
      <w:bookmarkStart w:id="1045" w:name="_Toc4752"/>
      <w:bookmarkStart w:id="1046" w:name="_Toc14354"/>
      <w:bookmarkStart w:id="1047" w:name="_Toc4735"/>
      <w:bookmarkStart w:id="1048" w:name="_Toc1350"/>
      <w:bookmarkStart w:id="1049" w:name="_Toc1117"/>
      <w:bookmarkStart w:id="1050" w:name="_Toc32009"/>
      <w:bookmarkStart w:id="1051" w:name="_Toc150421253"/>
      <w:r>
        <w:rPr>
          <w:rFonts w:hint="eastAsia" w:ascii="黑体" w:hAnsi="黑体" w:cs="黑体"/>
          <w:b w:val="0"/>
          <w:sz w:val="28"/>
          <w:szCs w:val="28"/>
          <w:highlight w:val="none"/>
        </w:rPr>
        <w:t>四、运输和保险</w:t>
      </w:r>
      <w:bookmarkEnd w:id="1045"/>
      <w:bookmarkEnd w:id="1046"/>
      <w:bookmarkEnd w:id="1047"/>
      <w:bookmarkEnd w:id="1048"/>
      <w:bookmarkEnd w:id="1049"/>
      <w:bookmarkEnd w:id="1050"/>
      <w:bookmarkEnd w:id="1051"/>
    </w:p>
    <w:p w14:paraId="5292A06E">
      <w:pPr>
        <w:spacing w:line="560" w:lineRule="exact"/>
        <w:ind w:firstLine="560" w:firstLineChars="200"/>
        <w:rPr>
          <w:rFonts w:asciiTheme="minorEastAsia" w:hAnsiTheme="minorEastAsia" w:eastAsiaTheme="minorEastAsia"/>
          <w:bCs/>
          <w:sz w:val="28"/>
          <w:szCs w:val="28"/>
          <w:highlight w:val="none"/>
        </w:rPr>
      </w:pPr>
      <w:r>
        <w:rPr>
          <w:rFonts w:hint="eastAsia" w:asciiTheme="minorEastAsia" w:hAnsiTheme="minorEastAsia" w:eastAsiaTheme="minorEastAsia"/>
          <w:bCs/>
          <w:sz w:val="28"/>
          <w:szCs w:val="28"/>
          <w:highlight w:val="none"/>
        </w:rPr>
        <w:t>（一）乙方负责将物资运抵合同约定的甲方指定地点或其他同意的地点。</w:t>
      </w:r>
    </w:p>
    <w:p w14:paraId="1FA30051">
      <w:pPr>
        <w:spacing w:line="560" w:lineRule="exact"/>
        <w:ind w:firstLine="560" w:firstLineChars="200"/>
        <w:rPr>
          <w:rFonts w:asciiTheme="minorEastAsia" w:hAnsiTheme="minorEastAsia" w:eastAsiaTheme="minorEastAsia"/>
          <w:bCs/>
          <w:sz w:val="28"/>
          <w:szCs w:val="28"/>
          <w:highlight w:val="none"/>
        </w:rPr>
      </w:pPr>
      <w:r>
        <w:rPr>
          <w:rFonts w:hint="eastAsia" w:asciiTheme="minorEastAsia" w:hAnsiTheme="minorEastAsia" w:eastAsiaTheme="minorEastAsia"/>
          <w:bCs/>
          <w:sz w:val="28"/>
          <w:szCs w:val="28"/>
          <w:highlight w:val="none"/>
        </w:rPr>
        <w:t>□以上所发生的相关费用应包括在合同总价中。</w:t>
      </w:r>
    </w:p>
    <w:p w14:paraId="685886ED">
      <w:pPr>
        <w:spacing w:line="560" w:lineRule="exact"/>
        <w:ind w:firstLine="560" w:firstLineChars="200"/>
        <w:rPr>
          <w:rFonts w:asciiTheme="minorEastAsia" w:hAnsiTheme="minorEastAsia" w:eastAsiaTheme="minorEastAsia"/>
          <w:bCs/>
          <w:sz w:val="28"/>
          <w:szCs w:val="28"/>
          <w:highlight w:val="none"/>
        </w:rPr>
      </w:pPr>
      <w:r>
        <w:rPr>
          <w:rFonts w:hint="eastAsia" w:asciiTheme="minorEastAsia" w:hAnsiTheme="minorEastAsia" w:eastAsiaTheme="minorEastAsia"/>
          <w:bCs/>
          <w:sz w:val="28"/>
          <w:szCs w:val="28"/>
          <w:highlight w:val="none"/>
        </w:rPr>
        <w:t>□以上所发生的相关费用凭发票提交甲方据实结算。</w:t>
      </w:r>
    </w:p>
    <w:p w14:paraId="717EFF30">
      <w:pPr>
        <w:spacing w:line="560" w:lineRule="exact"/>
        <w:ind w:firstLine="560" w:firstLineChars="200"/>
        <w:rPr>
          <w:rFonts w:asciiTheme="minorEastAsia" w:hAnsiTheme="minorEastAsia" w:eastAsiaTheme="minorEastAsia"/>
          <w:highlight w:val="none"/>
        </w:rPr>
      </w:pPr>
      <w:r>
        <w:rPr>
          <w:rFonts w:hint="eastAsia" w:asciiTheme="minorEastAsia" w:hAnsiTheme="minorEastAsia" w:eastAsiaTheme="minorEastAsia"/>
          <w:bCs/>
          <w:sz w:val="28"/>
          <w:szCs w:val="28"/>
          <w:highlight w:val="none"/>
        </w:rPr>
        <w:t>（二）乙方应对本合同下交付的物资在运输、存放及交货过程中的丢失或损坏等问题负责。</w:t>
      </w:r>
    </w:p>
    <w:p w14:paraId="2BACFC66">
      <w:pPr>
        <w:pStyle w:val="5"/>
        <w:spacing w:before="0" w:after="0" w:line="560" w:lineRule="exact"/>
        <w:ind w:firstLine="560" w:firstLineChars="200"/>
        <w:rPr>
          <w:rFonts w:ascii="黑体" w:hAnsi="黑体" w:cs="黑体"/>
          <w:b w:val="0"/>
          <w:sz w:val="28"/>
          <w:szCs w:val="28"/>
          <w:highlight w:val="none"/>
        </w:rPr>
      </w:pPr>
      <w:bookmarkStart w:id="1052" w:name="_Toc13136"/>
      <w:bookmarkStart w:id="1053" w:name="_Toc18751"/>
      <w:bookmarkStart w:id="1054" w:name="_Toc150421254"/>
      <w:bookmarkStart w:id="1055" w:name="_Toc11928"/>
      <w:bookmarkStart w:id="1056" w:name="_Toc13977"/>
      <w:bookmarkStart w:id="1057" w:name="_Toc29299"/>
      <w:bookmarkStart w:id="1058" w:name="_Toc10676"/>
      <w:r>
        <w:rPr>
          <w:rFonts w:hint="eastAsia" w:ascii="黑体" w:hAnsi="黑体" w:cs="黑体"/>
          <w:b w:val="0"/>
          <w:sz w:val="28"/>
          <w:szCs w:val="28"/>
          <w:highlight w:val="none"/>
        </w:rPr>
        <w:t>五、</w:t>
      </w:r>
      <w:bookmarkStart w:id="1059" w:name="_Hlk129332993"/>
      <w:r>
        <w:rPr>
          <w:rFonts w:hint="eastAsia" w:ascii="黑体" w:hAnsi="黑体" w:cs="黑体"/>
          <w:b w:val="0"/>
          <w:sz w:val="28"/>
          <w:szCs w:val="28"/>
          <w:highlight w:val="none"/>
        </w:rPr>
        <w:t>履约验收</w:t>
      </w:r>
      <w:bookmarkEnd w:id="1052"/>
      <w:bookmarkEnd w:id="1053"/>
      <w:bookmarkEnd w:id="1054"/>
      <w:bookmarkEnd w:id="1055"/>
      <w:bookmarkEnd w:id="1056"/>
      <w:bookmarkEnd w:id="1057"/>
      <w:bookmarkEnd w:id="1058"/>
      <w:bookmarkEnd w:id="1059"/>
    </w:p>
    <w:p w14:paraId="32081E4B">
      <w:pPr>
        <w:adjustRightInd w:val="0"/>
        <w:snapToGrid w:val="0"/>
        <w:spacing w:line="560" w:lineRule="exact"/>
        <w:ind w:firstLine="560" w:firstLineChars="200"/>
        <w:rPr>
          <w:rFonts w:asciiTheme="minorEastAsia" w:hAnsiTheme="minorEastAsia" w:eastAsiaTheme="minorEastAsia"/>
          <w:bCs/>
          <w:sz w:val="28"/>
          <w:szCs w:val="28"/>
          <w:highlight w:val="none"/>
        </w:rPr>
      </w:pPr>
      <w:bookmarkStart w:id="1060" w:name="_Hlk129328228"/>
      <w:r>
        <w:rPr>
          <w:rFonts w:hint="eastAsia" w:asciiTheme="minorEastAsia" w:hAnsiTheme="minorEastAsia" w:eastAsiaTheme="minorEastAsia"/>
          <w:bCs/>
          <w:sz w:val="28"/>
          <w:szCs w:val="28"/>
          <w:highlight w:val="none"/>
        </w:rPr>
        <w:t>物资</w:t>
      </w:r>
      <w:bookmarkEnd w:id="1060"/>
      <w:bookmarkStart w:id="1061" w:name="_Hlk129328246"/>
      <w:r>
        <w:rPr>
          <w:rFonts w:hint="eastAsia" w:asciiTheme="minorEastAsia" w:hAnsiTheme="minorEastAsia" w:eastAsiaTheme="minorEastAsia"/>
          <w:bCs/>
          <w:sz w:val="28"/>
          <w:szCs w:val="28"/>
          <w:highlight w:val="none"/>
        </w:rPr>
        <w:t>履约验收</w:t>
      </w:r>
      <w:bookmarkEnd w:id="1061"/>
      <w:r>
        <w:rPr>
          <w:rFonts w:hint="eastAsia" w:asciiTheme="minorEastAsia" w:hAnsiTheme="minorEastAsia" w:eastAsiaTheme="minorEastAsia"/>
          <w:bCs/>
          <w:sz w:val="28"/>
          <w:szCs w:val="28"/>
          <w:highlight w:val="none"/>
        </w:rPr>
        <w:t>，其方式、程序、内容和验收标准等事项，按甲方规定执行。</w:t>
      </w:r>
    </w:p>
    <w:p w14:paraId="72C577AF">
      <w:pPr>
        <w:adjustRightInd w:val="0"/>
        <w:snapToGrid w:val="0"/>
        <w:spacing w:line="560" w:lineRule="exact"/>
        <w:ind w:firstLine="560" w:firstLineChars="200"/>
        <w:rPr>
          <w:rFonts w:asciiTheme="minorEastAsia" w:hAnsiTheme="minorEastAsia" w:eastAsiaTheme="minorEastAsia"/>
          <w:bCs/>
          <w:sz w:val="28"/>
          <w:szCs w:val="28"/>
          <w:highlight w:val="none"/>
        </w:rPr>
      </w:pPr>
      <w:r>
        <w:rPr>
          <w:rFonts w:hint="eastAsia" w:asciiTheme="minorEastAsia" w:hAnsiTheme="minorEastAsia" w:eastAsiaTheme="minorEastAsia"/>
          <w:sz w:val="28"/>
          <w:szCs w:val="28"/>
          <w:highlight w:val="none"/>
        </w:rPr>
        <w:t>□</w:t>
      </w:r>
      <w:r>
        <w:rPr>
          <w:rFonts w:hint="eastAsia" w:asciiTheme="minorEastAsia" w:hAnsiTheme="minorEastAsia" w:eastAsiaTheme="minorEastAsia"/>
          <w:bCs/>
          <w:sz w:val="28"/>
          <w:szCs w:val="28"/>
          <w:highlight w:val="none"/>
        </w:rPr>
        <w:t>（一</w:t>
      </w:r>
      <w:r>
        <w:rPr>
          <w:rFonts w:asciiTheme="minorEastAsia" w:hAnsiTheme="minorEastAsia" w:eastAsiaTheme="minorEastAsia"/>
          <w:bCs/>
          <w:sz w:val="28"/>
          <w:szCs w:val="28"/>
          <w:highlight w:val="none"/>
        </w:rPr>
        <w:t>）</w:t>
      </w:r>
      <w:r>
        <w:rPr>
          <w:rFonts w:hint="eastAsia" w:asciiTheme="minorEastAsia" w:hAnsiTheme="minorEastAsia" w:eastAsiaTheme="minorEastAsia"/>
          <w:bCs/>
          <w:sz w:val="28"/>
          <w:szCs w:val="28"/>
          <w:highlight w:val="none"/>
        </w:rPr>
        <w:t>首件</w:t>
      </w:r>
      <w:r>
        <w:rPr>
          <w:rFonts w:asciiTheme="minorEastAsia" w:hAnsiTheme="minorEastAsia" w:eastAsiaTheme="minorEastAsia"/>
          <w:bCs/>
          <w:sz w:val="28"/>
          <w:szCs w:val="28"/>
          <w:highlight w:val="none"/>
        </w:rPr>
        <w:t>或首批检验</w:t>
      </w:r>
    </w:p>
    <w:p w14:paraId="0B9B4040">
      <w:pPr>
        <w:spacing w:line="560" w:lineRule="exact"/>
        <w:ind w:firstLine="560" w:firstLineChars="200"/>
        <w:rPr>
          <w:rFonts w:asciiTheme="minorEastAsia" w:hAnsiTheme="minorEastAsia" w:eastAsiaTheme="minorEastAsia"/>
          <w:highlight w:val="none"/>
        </w:rPr>
      </w:pPr>
      <w:r>
        <w:rPr>
          <w:rFonts w:hint="eastAsia" w:asciiTheme="minorEastAsia" w:hAnsiTheme="minorEastAsia" w:eastAsiaTheme="minorEastAsia"/>
          <w:bCs/>
          <w:sz w:val="28"/>
          <w:szCs w:val="28"/>
          <w:highlight w:val="none"/>
        </w:rPr>
        <w:t>乙方未生产过的产品，以及最近连续</w:t>
      </w:r>
      <w:r>
        <w:rPr>
          <w:rFonts w:asciiTheme="minorEastAsia" w:hAnsiTheme="minorEastAsia" w:eastAsiaTheme="minorEastAsia"/>
          <w:bCs/>
          <w:sz w:val="28"/>
          <w:szCs w:val="28"/>
          <w:highlight w:val="none"/>
        </w:rPr>
        <w:t>2年未生产过的产品，应当进行首件或者首批产品质量检验，即为首检。通过首检的产品，方可投入批量生产；未通过首检的，甲方将书面通知乙方限期整改，整改后进行第二次检验，检验合格后方可投入批量生产。第二次检验仍未通过的，甲方有权取消采购合同，由此造成的损失，由乙方承担。按照采购合同应当进行首检，乙方未申请首检且直接投入批量生产的，或者首</w:t>
      </w:r>
      <w:r>
        <w:rPr>
          <w:rFonts w:hint="eastAsia" w:asciiTheme="minorEastAsia" w:hAnsiTheme="minorEastAsia" w:eastAsiaTheme="minorEastAsia"/>
          <w:bCs/>
          <w:sz w:val="28"/>
          <w:szCs w:val="28"/>
          <w:highlight w:val="none"/>
        </w:rPr>
        <w:t>检以及二次检验未通过但乙方擅自投入批量生产的，甲方将取消或解除采购合同，由此造成的损失，由乙方承担。</w:t>
      </w:r>
    </w:p>
    <w:p w14:paraId="1E008940">
      <w:pPr>
        <w:adjustRightInd w:val="0"/>
        <w:snapToGrid w:val="0"/>
        <w:spacing w:line="560" w:lineRule="exact"/>
        <w:ind w:firstLine="560" w:firstLineChars="200"/>
        <w:rPr>
          <w:rFonts w:asciiTheme="minorEastAsia" w:hAnsiTheme="minorEastAsia" w:eastAsiaTheme="minorEastAsia"/>
          <w:sz w:val="28"/>
          <w:szCs w:val="28"/>
          <w:highlight w:val="none"/>
        </w:rPr>
      </w:pPr>
      <w:r>
        <w:rPr>
          <w:rFonts w:hint="eastAsia" w:asciiTheme="minorEastAsia" w:hAnsiTheme="minorEastAsia" w:eastAsiaTheme="minorEastAsia"/>
          <w:sz w:val="28"/>
          <w:szCs w:val="28"/>
          <w:highlight w:val="none"/>
        </w:rPr>
        <w:t>□（二）</w:t>
      </w:r>
      <w:bookmarkStart w:id="1062" w:name="_Hlk129333606"/>
      <w:r>
        <w:rPr>
          <w:rFonts w:hint="eastAsia" w:asciiTheme="minorEastAsia" w:hAnsiTheme="minorEastAsia" w:eastAsiaTheme="minorEastAsia"/>
          <w:sz w:val="28"/>
          <w:szCs w:val="28"/>
          <w:highlight w:val="none"/>
        </w:rPr>
        <w:t>出厂检验</w:t>
      </w:r>
      <w:bookmarkEnd w:id="1062"/>
    </w:p>
    <w:p w14:paraId="1FFBBF43">
      <w:pPr>
        <w:adjustRightInd w:val="0"/>
        <w:snapToGrid w:val="0"/>
        <w:spacing w:line="560" w:lineRule="exact"/>
        <w:ind w:firstLine="560" w:firstLineChars="200"/>
        <w:rPr>
          <w:rFonts w:asciiTheme="minorEastAsia" w:hAnsiTheme="minorEastAsia" w:eastAsiaTheme="minorEastAsia"/>
          <w:bCs/>
          <w:sz w:val="28"/>
          <w:szCs w:val="28"/>
          <w:highlight w:val="none"/>
        </w:rPr>
      </w:pPr>
      <w:r>
        <w:rPr>
          <w:rFonts w:hint="eastAsia" w:asciiTheme="minorEastAsia" w:hAnsiTheme="minorEastAsia" w:eastAsiaTheme="minorEastAsia"/>
          <w:sz w:val="28"/>
          <w:szCs w:val="28"/>
          <w:highlight w:val="none"/>
        </w:rPr>
        <w:t>□</w:t>
      </w:r>
      <w:r>
        <w:rPr>
          <w:rFonts w:asciiTheme="minorEastAsia" w:hAnsiTheme="minorEastAsia" w:eastAsiaTheme="minorEastAsia"/>
          <w:bCs/>
          <w:sz w:val="28"/>
          <w:szCs w:val="28"/>
          <w:highlight w:val="none"/>
        </w:rPr>
        <w:t>1</w:t>
      </w:r>
      <w:bookmarkStart w:id="1063" w:name="_Hlk129326709"/>
      <w:r>
        <w:rPr>
          <w:rFonts w:asciiTheme="minorEastAsia" w:hAnsiTheme="minorEastAsia" w:eastAsiaTheme="minorEastAsia"/>
          <w:bCs/>
          <w:sz w:val="28"/>
          <w:szCs w:val="28"/>
          <w:highlight w:val="none"/>
        </w:rPr>
        <w:t>.乙方自行出厂检验</w:t>
      </w:r>
      <w:bookmarkEnd w:id="1063"/>
      <w:r>
        <w:rPr>
          <w:rFonts w:hint="eastAsia" w:asciiTheme="minorEastAsia" w:hAnsiTheme="minorEastAsia" w:eastAsiaTheme="minorEastAsia"/>
          <w:bCs/>
          <w:sz w:val="28"/>
          <w:szCs w:val="28"/>
          <w:highlight w:val="none"/>
        </w:rPr>
        <w:t>。</w:t>
      </w:r>
      <w:bookmarkStart w:id="1064" w:name="_Hlk129299834"/>
    </w:p>
    <w:p w14:paraId="2C69F5C9">
      <w:pPr>
        <w:adjustRightInd w:val="0"/>
        <w:snapToGrid w:val="0"/>
        <w:spacing w:line="560" w:lineRule="exact"/>
        <w:ind w:firstLine="560" w:firstLineChars="200"/>
        <w:rPr>
          <w:rFonts w:asciiTheme="minorEastAsia" w:hAnsiTheme="minorEastAsia" w:eastAsiaTheme="minorEastAsia"/>
          <w:bCs/>
          <w:sz w:val="28"/>
          <w:szCs w:val="28"/>
          <w:highlight w:val="none"/>
        </w:rPr>
      </w:pPr>
      <w:bookmarkStart w:id="1065" w:name="_Hlk129301796"/>
      <w:r>
        <w:rPr>
          <w:rFonts w:hint="eastAsia" w:asciiTheme="minorEastAsia" w:hAnsiTheme="minorEastAsia" w:eastAsiaTheme="minorEastAsia"/>
          <w:bCs/>
          <w:sz w:val="28"/>
          <w:szCs w:val="28"/>
          <w:highlight w:val="none"/>
        </w:rPr>
        <w:t>物资</w:t>
      </w:r>
      <w:bookmarkEnd w:id="1065"/>
      <w:r>
        <w:rPr>
          <w:rFonts w:hint="eastAsia" w:asciiTheme="minorEastAsia" w:hAnsiTheme="minorEastAsia" w:eastAsiaTheme="minorEastAsia"/>
          <w:bCs/>
          <w:sz w:val="28"/>
          <w:szCs w:val="28"/>
          <w:highlight w:val="none"/>
        </w:rPr>
        <w:t>在出厂前，乙方按合同约定的标准和事项自行对其质量进行检验。出厂检验合格，乙方出具质量合格证，或质量合格证明文件，并在交货时向甲方提交。</w:t>
      </w:r>
      <w:bookmarkEnd w:id="1064"/>
    </w:p>
    <w:p w14:paraId="50A5B85C">
      <w:pPr>
        <w:adjustRightInd w:val="0"/>
        <w:snapToGrid w:val="0"/>
        <w:spacing w:line="560" w:lineRule="exact"/>
        <w:ind w:firstLine="560" w:firstLineChars="200"/>
        <w:rPr>
          <w:rFonts w:asciiTheme="minorEastAsia" w:hAnsiTheme="minorEastAsia" w:eastAsiaTheme="minorEastAsia"/>
          <w:bCs/>
          <w:sz w:val="28"/>
          <w:szCs w:val="28"/>
          <w:highlight w:val="none"/>
        </w:rPr>
      </w:pPr>
      <w:r>
        <w:rPr>
          <w:rFonts w:hint="eastAsia" w:asciiTheme="minorEastAsia" w:hAnsiTheme="minorEastAsia" w:eastAsiaTheme="minorEastAsia"/>
          <w:sz w:val="28"/>
          <w:szCs w:val="28"/>
          <w:highlight w:val="none"/>
        </w:rPr>
        <w:t>□</w:t>
      </w:r>
      <w:r>
        <w:rPr>
          <w:rFonts w:asciiTheme="minorEastAsia" w:hAnsiTheme="minorEastAsia" w:eastAsiaTheme="minorEastAsia"/>
          <w:bCs/>
          <w:sz w:val="28"/>
          <w:szCs w:val="28"/>
          <w:highlight w:val="none"/>
        </w:rPr>
        <w:t>2</w:t>
      </w:r>
      <w:bookmarkStart w:id="1066" w:name="_Hlk129300295"/>
      <w:r>
        <w:rPr>
          <w:rFonts w:asciiTheme="minorEastAsia" w:hAnsiTheme="minorEastAsia" w:eastAsiaTheme="minorEastAsia"/>
          <w:bCs/>
          <w:sz w:val="28"/>
          <w:szCs w:val="28"/>
          <w:highlight w:val="none"/>
        </w:rPr>
        <w:t>.甲方</w:t>
      </w:r>
      <w:bookmarkEnd w:id="1066"/>
      <w:r>
        <w:rPr>
          <w:rFonts w:hint="eastAsia" w:asciiTheme="minorEastAsia" w:hAnsiTheme="minorEastAsia" w:eastAsiaTheme="minorEastAsia"/>
          <w:bCs/>
          <w:sz w:val="28"/>
          <w:szCs w:val="28"/>
          <w:highlight w:val="none"/>
        </w:rPr>
        <w:t>参与出厂检验。</w:t>
      </w:r>
    </w:p>
    <w:p w14:paraId="2935C77E">
      <w:pPr>
        <w:adjustRightInd w:val="0"/>
        <w:snapToGrid w:val="0"/>
        <w:spacing w:line="560" w:lineRule="exact"/>
        <w:ind w:firstLine="560" w:firstLineChars="200"/>
        <w:rPr>
          <w:rFonts w:asciiTheme="minorEastAsia" w:hAnsiTheme="minorEastAsia" w:eastAsiaTheme="minorEastAsia"/>
          <w:bCs/>
          <w:sz w:val="28"/>
          <w:szCs w:val="28"/>
          <w:highlight w:val="none"/>
        </w:rPr>
      </w:pPr>
      <w:r>
        <w:rPr>
          <w:rFonts w:hint="eastAsia" w:asciiTheme="minorEastAsia" w:hAnsiTheme="minorEastAsia" w:eastAsiaTheme="minorEastAsia"/>
          <w:bCs/>
          <w:sz w:val="28"/>
          <w:szCs w:val="28"/>
          <w:highlight w:val="none"/>
        </w:rPr>
        <w:t>（</w:t>
      </w:r>
      <w:r>
        <w:rPr>
          <w:rFonts w:asciiTheme="minorEastAsia" w:hAnsiTheme="minorEastAsia" w:eastAsiaTheme="minorEastAsia"/>
          <w:bCs/>
          <w:sz w:val="28"/>
          <w:szCs w:val="28"/>
          <w:highlight w:val="none"/>
        </w:rPr>
        <w:t>1）</w:t>
      </w:r>
      <w:bookmarkStart w:id="1067" w:name="_Hlk129300325"/>
      <w:r>
        <w:rPr>
          <w:rFonts w:hint="eastAsia" w:asciiTheme="minorEastAsia" w:hAnsiTheme="minorEastAsia" w:eastAsiaTheme="minorEastAsia"/>
          <w:bCs/>
          <w:sz w:val="28"/>
          <w:szCs w:val="28"/>
          <w:highlight w:val="none"/>
        </w:rPr>
        <w:t>物资</w:t>
      </w:r>
      <w:bookmarkEnd w:id="1067"/>
      <w:r>
        <w:rPr>
          <w:rFonts w:hint="eastAsia" w:asciiTheme="minorEastAsia" w:hAnsiTheme="minorEastAsia" w:eastAsiaTheme="minorEastAsia"/>
          <w:bCs/>
          <w:sz w:val="28"/>
          <w:szCs w:val="28"/>
          <w:highlight w:val="none"/>
        </w:rPr>
        <w:t>交货前，乙方应会同甲方代表根据合同约定对合同设备进行交货前检验并出具交货前检验记录，有关费用由乙方承担。乙方应免费为甲方代表提供工作条件及便利，包括但不限于必要的办公场所、技术资料、检测工具及出入许可等。</w:t>
      </w:r>
    </w:p>
    <w:p w14:paraId="495A8C79">
      <w:pPr>
        <w:adjustRightInd w:val="0"/>
        <w:snapToGrid w:val="0"/>
        <w:spacing w:line="560" w:lineRule="exact"/>
        <w:ind w:firstLine="560" w:firstLineChars="200"/>
        <w:rPr>
          <w:rFonts w:asciiTheme="minorEastAsia" w:hAnsiTheme="minorEastAsia" w:eastAsiaTheme="minorEastAsia"/>
          <w:bCs/>
          <w:sz w:val="28"/>
          <w:szCs w:val="28"/>
          <w:highlight w:val="none"/>
        </w:rPr>
      </w:pPr>
      <w:r>
        <w:rPr>
          <w:rFonts w:hint="eastAsia" w:asciiTheme="minorEastAsia" w:hAnsiTheme="minorEastAsia" w:eastAsiaTheme="minorEastAsia"/>
          <w:bCs/>
          <w:sz w:val="28"/>
          <w:szCs w:val="28"/>
          <w:highlight w:val="none"/>
        </w:rPr>
        <w:t>（</w:t>
      </w:r>
      <w:r>
        <w:rPr>
          <w:rFonts w:asciiTheme="minorEastAsia" w:hAnsiTheme="minorEastAsia" w:eastAsiaTheme="minorEastAsia"/>
          <w:bCs/>
          <w:sz w:val="28"/>
          <w:szCs w:val="28"/>
          <w:highlight w:val="none"/>
        </w:rPr>
        <w:t>2）甲方代表在检验中如发现物资不符合合同约定的标准，有权提出异议。乙方应予以整改，由此增加的费用</w:t>
      </w:r>
      <w:bookmarkStart w:id="1068" w:name="_Hlk129326767"/>
      <w:r>
        <w:rPr>
          <w:rFonts w:hint="eastAsia" w:asciiTheme="minorEastAsia" w:hAnsiTheme="minorEastAsia" w:eastAsiaTheme="minorEastAsia"/>
          <w:bCs/>
          <w:sz w:val="28"/>
          <w:szCs w:val="28"/>
          <w:highlight w:val="none"/>
        </w:rPr>
        <w:t>或</w:t>
      </w:r>
      <w:bookmarkEnd w:id="1068"/>
      <w:r>
        <w:rPr>
          <w:rFonts w:hint="eastAsia" w:asciiTheme="minorEastAsia" w:hAnsiTheme="minorEastAsia" w:eastAsiaTheme="minorEastAsia"/>
          <w:bCs/>
          <w:sz w:val="28"/>
          <w:szCs w:val="28"/>
          <w:highlight w:val="none"/>
        </w:rPr>
        <w:t>造成的延误由乙方负责。</w:t>
      </w:r>
    </w:p>
    <w:p w14:paraId="47CE52FE">
      <w:pPr>
        <w:spacing w:line="560" w:lineRule="exact"/>
        <w:ind w:firstLine="560" w:firstLineChars="200"/>
        <w:rPr>
          <w:rFonts w:asciiTheme="minorEastAsia" w:hAnsiTheme="minorEastAsia" w:eastAsiaTheme="minorEastAsia"/>
          <w:bCs/>
          <w:sz w:val="28"/>
          <w:szCs w:val="28"/>
          <w:highlight w:val="none"/>
        </w:rPr>
      </w:pPr>
      <w:r>
        <w:rPr>
          <w:rFonts w:hint="eastAsia" w:asciiTheme="minorEastAsia" w:hAnsiTheme="minorEastAsia" w:eastAsiaTheme="minorEastAsia"/>
          <w:bCs/>
          <w:sz w:val="28"/>
          <w:szCs w:val="28"/>
          <w:highlight w:val="none"/>
        </w:rPr>
        <w:t>（</w:t>
      </w:r>
      <w:r>
        <w:rPr>
          <w:rFonts w:asciiTheme="minorEastAsia" w:hAnsiTheme="minorEastAsia" w:eastAsiaTheme="minorEastAsia"/>
          <w:bCs/>
          <w:sz w:val="28"/>
          <w:szCs w:val="28"/>
          <w:highlight w:val="none"/>
        </w:rPr>
        <w:t>3）甲方代表参与交货前检验及签署交货前检验记录的行为，</w:t>
      </w:r>
      <w:r>
        <w:rPr>
          <w:rFonts w:hint="eastAsia" w:asciiTheme="minorEastAsia" w:hAnsiTheme="minorEastAsia" w:eastAsiaTheme="minorEastAsia"/>
          <w:bCs/>
          <w:sz w:val="28"/>
          <w:szCs w:val="28"/>
          <w:highlight w:val="none"/>
        </w:rPr>
        <w:t>不视为对物资质量的确认，不影响乙方交货后甲方依照合同约定对物资提出质量异议或退货的权利，亦不免除乙方依照合同约定对物资所应承担的任何义务或责任。</w:t>
      </w:r>
    </w:p>
    <w:p w14:paraId="31D06381">
      <w:pPr>
        <w:adjustRightInd w:val="0"/>
        <w:snapToGrid w:val="0"/>
        <w:spacing w:line="560" w:lineRule="exact"/>
        <w:ind w:firstLine="560" w:firstLineChars="200"/>
        <w:rPr>
          <w:rFonts w:asciiTheme="minorEastAsia" w:hAnsiTheme="minorEastAsia" w:eastAsiaTheme="minorEastAsia"/>
          <w:bCs/>
          <w:sz w:val="28"/>
          <w:szCs w:val="28"/>
          <w:highlight w:val="none"/>
        </w:rPr>
      </w:pPr>
      <w:r>
        <w:rPr>
          <w:rFonts w:hint="eastAsia" w:asciiTheme="minorEastAsia" w:hAnsiTheme="minorEastAsia" w:eastAsiaTheme="minorEastAsia"/>
          <w:sz w:val="28"/>
          <w:szCs w:val="28"/>
          <w:highlight w:val="none"/>
        </w:rPr>
        <w:t>□</w:t>
      </w:r>
      <w:r>
        <w:rPr>
          <w:rFonts w:asciiTheme="minorEastAsia" w:hAnsiTheme="minorEastAsia" w:eastAsiaTheme="minorEastAsia"/>
          <w:bCs/>
          <w:sz w:val="28"/>
          <w:szCs w:val="28"/>
          <w:highlight w:val="none"/>
        </w:rPr>
        <w:t>3</w:t>
      </w:r>
      <w:bookmarkStart w:id="1069" w:name="_Hlk129326741"/>
      <w:r>
        <w:rPr>
          <w:rFonts w:asciiTheme="minorEastAsia" w:hAnsiTheme="minorEastAsia" w:eastAsiaTheme="minorEastAsia"/>
          <w:bCs/>
          <w:sz w:val="28"/>
          <w:szCs w:val="28"/>
          <w:highlight w:val="none"/>
        </w:rPr>
        <w:t>.甲方监造</w:t>
      </w:r>
      <w:bookmarkEnd w:id="1069"/>
    </w:p>
    <w:p w14:paraId="29F34842">
      <w:pPr>
        <w:adjustRightInd w:val="0"/>
        <w:snapToGrid w:val="0"/>
        <w:spacing w:line="560" w:lineRule="exact"/>
        <w:ind w:firstLine="560" w:firstLineChars="200"/>
        <w:rPr>
          <w:rFonts w:asciiTheme="minorEastAsia" w:hAnsiTheme="minorEastAsia" w:eastAsiaTheme="minorEastAsia"/>
          <w:bCs/>
          <w:sz w:val="28"/>
          <w:szCs w:val="28"/>
          <w:highlight w:val="none"/>
        </w:rPr>
      </w:pPr>
      <w:r>
        <w:rPr>
          <w:rFonts w:hint="eastAsia" w:asciiTheme="minorEastAsia" w:hAnsiTheme="minorEastAsia" w:eastAsiaTheme="minorEastAsia"/>
          <w:bCs/>
          <w:sz w:val="28"/>
          <w:szCs w:val="28"/>
          <w:highlight w:val="none"/>
        </w:rPr>
        <w:t>（</w:t>
      </w:r>
      <w:r>
        <w:rPr>
          <w:rFonts w:asciiTheme="minorEastAsia" w:hAnsiTheme="minorEastAsia" w:eastAsiaTheme="minorEastAsia"/>
          <w:bCs/>
          <w:sz w:val="28"/>
          <w:szCs w:val="28"/>
          <w:highlight w:val="none"/>
        </w:rPr>
        <w:t>1）在</w:t>
      </w:r>
      <w:bookmarkStart w:id="1070" w:name="_Hlk129300439"/>
      <w:r>
        <w:rPr>
          <w:rFonts w:hint="eastAsia" w:asciiTheme="minorEastAsia" w:hAnsiTheme="minorEastAsia" w:eastAsiaTheme="minorEastAsia"/>
          <w:bCs/>
          <w:sz w:val="28"/>
          <w:szCs w:val="28"/>
          <w:highlight w:val="none"/>
        </w:rPr>
        <w:t>物资</w:t>
      </w:r>
      <w:bookmarkEnd w:id="1070"/>
      <w:r>
        <w:rPr>
          <w:rFonts w:hint="eastAsia" w:asciiTheme="minorEastAsia" w:hAnsiTheme="minorEastAsia" w:eastAsiaTheme="minorEastAsia"/>
          <w:bCs/>
          <w:sz w:val="28"/>
          <w:szCs w:val="28"/>
          <w:highlight w:val="none"/>
        </w:rPr>
        <w:t>的制造过程中，甲方可派出监造人员或者</w:t>
      </w:r>
      <w:r>
        <w:rPr>
          <w:rFonts w:asciiTheme="minorEastAsia" w:hAnsiTheme="minorEastAsia" w:eastAsiaTheme="minorEastAsia"/>
          <w:bCs/>
          <w:sz w:val="28"/>
          <w:szCs w:val="28"/>
          <w:highlight w:val="none"/>
        </w:rPr>
        <w:t>委托第三方专业机构</w:t>
      </w:r>
      <w:r>
        <w:rPr>
          <w:rFonts w:hint="eastAsia" w:asciiTheme="minorEastAsia" w:hAnsiTheme="minorEastAsia" w:eastAsiaTheme="minorEastAsia"/>
          <w:bCs/>
          <w:sz w:val="28"/>
          <w:szCs w:val="28"/>
          <w:highlight w:val="none"/>
        </w:rPr>
        <w:t>，对物资的生产制造进行监造，监督生产、作业的进度和质量等情况。采用甲方监造的，乙方应予配合。乙方应免费为甲方监造人员或者</w:t>
      </w:r>
      <w:r>
        <w:rPr>
          <w:rFonts w:asciiTheme="minorEastAsia" w:hAnsiTheme="minorEastAsia" w:eastAsiaTheme="minorEastAsia"/>
          <w:bCs/>
          <w:sz w:val="28"/>
          <w:szCs w:val="28"/>
          <w:highlight w:val="none"/>
        </w:rPr>
        <w:t>被委托的第三方机构</w:t>
      </w:r>
      <w:r>
        <w:rPr>
          <w:rFonts w:hint="eastAsia" w:asciiTheme="minorEastAsia" w:hAnsiTheme="minorEastAsia" w:eastAsiaTheme="minorEastAsia"/>
          <w:bCs/>
          <w:sz w:val="28"/>
          <w:szCs w:val="28"/>
          <w:highlight w:val="none"/>
        </w:rPr>
        <w:t>提供工作条件及便利，包括但不限于必要的办公场所、技术资料、检测工具及出入许可等。</w:t>
      </w:r>
    </w:p>
    <w:p w14:paraId="152E1C9F">
      <w:pPr>
        <w:adjustRightInd w:val="0"/>
        <w:snapToGrid w:val="0"/>
        <w:spacing w:line="560" w:lineRule="exact"/>
        <w:ind w:firstLine="560" w:firstLineChars="200"/>
        <w:rPr>
          <w:rFonts w:asciiTheme="minorEastAsia" w:hAnsiTheme="minorEastAsia" w:eastAsiaTheme="minorEastAsia"/>
          <w:bCs/>
          <w:sz w:val="28"/>
          <w:szCs w:val="28"/>
          <w:highlight w:val="none"/>
        </w:rPr>
      </w:pPr>
      <w:r>
        <w:rPr>
          <w:rFonts w:hint="eastAsia" w:asciiTheme="minorEastAsia" w:hAnsiTheme="minorEastAsia" w:eastAsiaTheme="minorEastAsia"/>
          <w:bCs/>
          <w:sz w:val="28"/>
          <w:szCs w:val="28"/>
          <w:highlight w:val="none"/>
        </w:rPr>
        <w:t>（</w:t>
      </w:r>
      <w:r>
        <w:rPr>
          <w:rFonts w:asciiTheme="minorEastAsia" w:hAnsiTheme="minorEastAsia" w:eastAsiaTheme="minorEastAsia"/>
          <w:bCs/>
          <w:sz w:val="28"/>
          <w:szCs w:val="28"/>
          <w:highlight w:val="none"/>
        </w:rPr>
        <w:t>2）</w:t>
      </w:r>
      <w:bookmarkStart w:id="1071" w:name="_Hlk129300513"/>
      <w:bookmarkStart w:id="1072" w:name="_Hlk129301245"/>
      <w:r>
        <w:rPr>
          <w:rFonts w:hint="eastAsia" w:asciiTheme="minorEastAsia" w:hAnsiTheme="minorEastAsia" w:eastAsiaTheme="minorEastAsia"/>
          <w:bCs/>
          <w:sz w:val="28"/>
          <w:szCs w:val="28"/>
          <w:highlight w:val="none"/>
        </w:rPr>
        <w:t>甲方</w:t>
      </w:r>
      <w:bookmarkEnd w:id="1071"/>
      <w:r>
        <w:rPr>
          <w:rFonts w:hint="eastAsia" w:asciiTheme="minorEastAsia" w:hAnsiTheme="minorEastAsia" w:eastAsiaTheme="minorEastAsia"/>
          <w:bCs/>
          <w:sz w:val="28"/>
          <w:szCs w:val="28"/>
          <w:highlight w:val="none"/>
        </w:rPr>
        <w:t>监造人员或者</w:t>
      </w:r>
      <w:r>
        <w:rPr>
          <w:rFonts w:asciiTheme="minorEastAsia" w:hAnsiTheme="minorEastAsia" w:eastAsiaTheme="minorEastAsia"/>
          <w:bCs/>
          <w:sz w:val="28"/>
          <w:szCs w:val="28"/>
          <w:highlight w:val="none"/>
        </w:rPr>
        <w:t>被委托的第三方机构</w:t>
      </w:r>
      <w:r>
        <w:rPr>
          <w:rFonts w:hint="eastAsia" w:asciiTheme="minorEastAsia" w:hAnsiTheme="minorEastAsia" w:eastAsiaTheme="minorEastAsia"/>
          <w:bCs/>
          <w:sz w:val="28"/>
          <w:szCs w:val="28"/>
          <w:highlight w:val="none"/>
        </w:rPr>
        <w:t>在监造中如发现</w:t>
      </w:r>
      <w:bookmarkStart w:id="1073" w:name="_Hlk129300533"/>
      <w:r>
        <w:rPr>
          <w:rFonts w:hint="eastAsia" w:asciiTheme="minorEastAsia" w:hAnsiTheme="minorEastAsia" w:eastAsiaTheme="minorEastAsia"/>
          <w:bCs/>
          <w:sz w:val="28"/>
          <w:szCs w:val="28"/>
          <w:highlight w:val="none"/>
        </w:rPr>
        <w:t>物资</w:t>
      </w:r>
      <w:bookmarkEnd w:id="1073"/>
      <w:r>
        <w:rPr>
          <w:rFonts w:hint="eastAsia" w:asciiTheme="minorEastAsia" w:hAnsiTheme="minorEastAsia" w:eastAsiaTheme="minorEastAsia"/>
          <w:bCs/>
          <w:sz w:val="28"/>
          <w:szCs w:val="28"/>
          <w:highlight w:val="none"/>
        </w:rPr>
        <w:t>不符合合同约定的标准，有权提出意见和建议。乙方应予以整改，由此增加的费用或造成的延误由乙方负责。</w:t>
      </w:r>
      <w:bookmarkEnd w:id="1072"/>
    </w:p>
    <w:p w14:paraId="45B61BA7">
      <w:pPr>
        <w:adjustRightInd w:val="0"/>
        <w:snapToGrid w:val="0"/>
        <w:spacing w:line="560" w:lineRule="exact"/>
        <w:ind w:firstLine="560" w:firstLineChars="200"/>
        <w:rPr>
          <w:rFonts w:asciiTheme="minorEastAsia" w:hAnsiTheme="minorEastAsia" w:eastAsiaTheme="minorEastAsia"/>
          <w:bCs/>
          <w:sz w:val="28"/>
          <w:szCs w:val="28"/>
          <w:highlight w:val="none"/>
        </w:rPr>
      </w:pPr>
      <w:r>
        <w:rPr>
          <w:rFonts w:hint="eastAsia" w:asciiTheme="minorEastAsia" w:hAnsiTheme="minorEastAsia" w:eastAsiaTheme="minorEastAsia"/>
          <w:bCs/>
          <w:sz w:val="28"/>
          <w:szCs w:val="28"/>
          <w:highlight w:val="none"/>
        </w:rPr>
        <w:t>（</w:t>
      </w:r>
      <w:r>
        <w:rPr>
          <w:rFonts w:asciiTheme="minorEastAsia" w:hAnsiTheme="minorEastAsia" w:eastAsiaTheme="minorEastAsia"/>
          <w:bCs/>
          <w:sz w:val="28"/>
          <w:szCs w:val="28"/>
          <w:highlight w:val="none"/>
        </w:rPr>
        <w:t>3）甲方监造人员或者被委托的第三方机构</w:t>
      </w:r>
      <w:r>
        <w:rPr>
          <w:rFonts w:hint="eastAsia" w:asciiTheme="minorEastAsia" w:hAnsiTheme="minorEastAsia" w:eastAsiaTheme="minorEastAsia"/>
          <w:bCs/>
          <w:sz w:val="28"/>
          <w:szCs w:val="28"/>
          <w:highlight w:val="none"/>
        </w:rPr>
        <w:t>对</w:t>
      </w:r>
      <w:bookmarkStart w:id="1074" w:name="_Hlk129301287"/>
      <w:r>
        <w:rPr>
          <w:rFonts w:hint="eastAsia" w:asciiTheme="minorEastAsia" w:hAnsiTheme="minorEastAsia" w:eastAsiaTheme="minorEastAsia"/>
          <w:bCs/>
          <w:sz w:val="28"/>
          <w:szCs w:val="28"/>
          <w:highlight w:val="none"/>
        </w:rPr>
        <w:t>物资</w:t>
      </w:r>
      <w:bookmarkEnd w:id="1074"/>
      <w:r>
        <w:rPr>
          <w:rFonts w:hint="eastAsia" w:asciiTheme="minorEastAsia" w:hAnsiTheme="minorEastAsia" w:eastAsiaTheme="minorEastAsia"/>
          <w:bCs/>
          <w:sz w:val="28"/>
          <w:szCs w:val="28"/>
          <w:highlight w:val="none"/>
        </w:rPr>
        <w:t>的监造，不视为对物资质量的确认，不影响乙方交货后甲方依照合同约定对物资提出质量异议或退货的权利，亦不免除乙方依照合同约定对物资所应承担的任何义务或责任。</w:t>
      </w:r>
    </w:p>
    <w:p w14:paraId="686CC4C0">
      <w:pPr>
        <w:adjustRightInd w:val="0"/>
        <w:snapToGrid w:val="0"/>
        <w:spacing w:line="560" w:lineRule="exact"/>
        <w:ind w:firstLine="560" w:firstLineChars="200"/>
        <w:rPr>
          <w:rFonts w:asciiTheme="minorEastAsia" w:hAnsiTheme="minorEastAsia" w:eastAsiaTheme="minorEastAsia"/>
          <w:bCs/>
          <w:sz w:val="28"/>
          <w:szCs w:val="28"/>
          <w:highlight w:val="none"/>
        </w:rPr>
      </w:pPr>
      <w:r>
        <w:rPr>
          <w:rFonts w:hint="eastAsia" w:asciiTheme="minorEastAsia" w:hAnsiTheme="minorEastAsia" w:eastAsiaTheme="minorEastAsia"/>
          <w:bCs/>
          <w:sz w:val="28"/>
          <w:szCs w:val="28"/>
          <w:highlight w:val="none"/>
        </w:rPr>
        <w:t>（</w:t>
      </w:r>
      <w:r>
        <w:rPr>
          <w:rFonts w:asciiTheme="minorEastAsia" w:hAnsiTheme="minorEastAsia" w:eastAsiaTheme="minorEastAsia"/>
          <w:bCs/>
          <w:sz w:val="28"/>
          <w:szCs w:val="28"/>
          <w:highlight w:val="none"/>
        </w:rPr>
        <w:t>4）</w:t>
      </w:r>
      <w:r>
        <w:rPr>
          <w:rFonts w:hint="eastAsia" w:asciiTheme="minorEastAsia" w:hAnsiTheme="minorEastAsia" w:eastAsiaTheme="minorEastAsia"/>
          <w:bCs/>
          <w:sz w:val="28"/>
          <w:szCs w:val="28"/>
          <w:highlight w:val="none"/>
        </w:rPr>
        <w:t>甲方监造</w:t>
      </w:r>
      <w:r>
        <w:rPr>
          <w:rFonts w:asciiTheme="minorEastAsia" w:hAnsiTheme="minorEastAsia" w:eastAsiaTheme="minorEastAsia"/>
          <w:bCs/>
          <w:sz w:val="28"/>
          <w:szCs w:val="28"/>
          <w:highlight w:val="none"/>
        </w:rPr>
        <w:t>过程应形成书面记录，</w:t>
      </w:r>
      <w:r>
        <w:rPr>
          <w:rFonts w:hint="eastAsia" w:asciiTheme="minorEastAsia" w:hAnsiTheme="minorEastAsia" w:eastAsiaTheme="minorEastAsia"/>
          <w:bCs/>
          <w:sz w:val="28"/>
          <w:szCs w:val="28"/>
          <w:highlight w:val="none"/>
        </w:rPr>
        <w:t>由</w:t>
      </w:r>
      <w:r>
        <w:rPr>
          <w:rFonts w:asciiTheme="minorEastAsia" w:hAnsiTheme="minorEastAsia" w:eastAsiaTheme="minorEastAsia"/>
          <w:bCs/>
          <w:sz w:val="28"/>
          <w:szCs w:val="28"/>
          <w:highlight w:val="none"/>
        </w:rPr>
        <w:t>乙方签章确认。</w:t>
      </w:r>
    </w:p>
    <w:p w14:paraId="5AA1B6C9">
      <w:pPr>
        <w:spacing w:line="560" w:lineRule="exact"/>
        <w:ind w:firstLine="200"/>
        <w:rPr>
          <w:rFonts w:asciiTheme="minorEastAsia" w:hAnsiTheme="minorEastAsia" w:eastAsiaTheme="minorEastAsia"/>
          <w:highlight w:val="none"/>
        </w:rPr>
      </w:pPr>
      <w:r>
        <w:rPr>
          <w:rFonts w:hint="eastAsia" w:asciiTheme="minorEastAsia" w:hAnsiTheme="minorEastAsia" w:eastAsiaTheme="minorEastAsia"/>
          <w:bCs/>
          <w:sz w:val="28"/>
          <w:szCs w:val="28"/>
          <w:highlight w:val="none"/>
        </w:rPr>
        <w:t>乙方自行出厂检验，或甲方参与出厂检验，或甲方监造，物资的编目编码、打码贴签应符合上条要求。</w:t>
      </w:r>
    </w:p>
    <w:p w14:paraId="6C8A47D4">
      <w:pPr>
        <w:adjustRightInd w:val="0"/>
        <w:snapToGrid w:val="0"/>
        <w:spacing w:line="560" w:lineRule="exact"/>
        <w:ind w:firstLine="560" w:firstLineChars="200"/>
        <w:rPr>
          <w:rFonts w:asciiTheme="minorEastAsia" w:hAnsiTheme="minorEastAsia" w:eastAsiaTheme="minorEastAsia"/>
          <w:highlight w:val="none"/>
        </w:rPr>
      </w:pPr>
      <w:r>
        <w:rPr>
          <w:rFonts w:asciiTheme="minorEastAsia" w:hAnsiTheme="minorEastAsia" w:eastAsiaTheme="minorEastAsia"/>
          <w:sz w:val="28"/>
          <w:szCs w:val="28"/>
          <w:highlight w:val="none"/>
        </w:rPr>
        <w:t>4.</w:t>
      </w:r>
      <w:r>
        <w:rPr>
          <w:rFonts w:hint="eastAsia" w:asciiTheme="minorEastAsia" w:hAnsiTheme="minorEastAsia" w:eastAsiaTheme="minorEastAsia"/>
          <w:sz w:val="28"/>
          <w:szCs w:val="28"/>
          <w:highlight w:val="none"/>
        </w:rPr>
        <w:t>出厂检验的其他要求：</w:t>
      </w:r>
      <w:r>
        <w:rPr>
          <w:rFonts w:asciiTheme="minorEastAsia" w:hAnsiTheme="minorEastAsia" w:eastAsiaTheme="minorEastAsia"/>
          <w:sz w:val="28"/>
          <w:szCs w:val="28"/>
          <w:highlight w:val="none"/>
          <w:u w:val="single"/>
        </w:rPr>
        <w:t xml:space="preserve">                     </w:t>
      </w:r>
      <w:r>
        <w:rPr>
          <w:rFonts w:hint="eastAsia" w:asciiTheme="minorEastAsia" w:hAnsiTheme="minorEastAsia" w:eastAsiaTheme="minorEastAsia"/>
          <w:sz w:val="28"/>
          <w:szCs w:val="28"/>
          <w:highlight w:val="none"/>
        </w:rPr>
        <w:t>。</w:t>
      </w:r>
    </w:p>
    <w:p w14:paraId="6B4D8B5C">
      <w:pPr>
        <w:adjustRightInd w:val="0"/>
        <w:snapToGrid w:val="0"/>
        <w:spacing w:line="560" w:lineRule="exact"/>
        <w:ind w:firstLine="560" w:firstLineChars="200"/>
        <w:rPr>
          <w:rFonts w:asciiTheme="minorEastAsia" w:hAnsiTheme="minorEastAsia" w:eastAsiaTheme="minorEastAsia"/>
          <w:sz w:val="28"/>
          <w:szCs w:val="28"/>
          <w:highlight w:val="none"/>
        </w:rPr>
      </w:pPr>
      <w:r>
        <w:rPr>
          <w:rFonts w:hint="eastAsia" w:asciiTheme="minorEastAsia" w:hAnsiTheme="minorEastAsia" w:eastAsiaTheme="minorEastAsia"/>
          <w:sz w:val="28"/>
          <w:szCs w:val="28"/>
          <w:highlight w:val="none"/>
        </w:rPr>
        <w:t>□（三）</w:t>
      </w:r>
      <w:bookmarkStart w:id="1075" w:name="_Hlk129302104"/>
      <w:bookmarkStart w:id="1076" w:name="_Hlk129333184"/>
      <w:r>
        <w:rPr>
          <w:rFonts w:hint="eastAsia" w:asciiTheme="minorEastAsia" w:hAnsiTheme="minorEastAsia" w:eastAsiaTheme="minorEastAsia"/>
          <w:sz w:val="28"/>
          <w:szCs w:val="28"/>
          <w:highlight w:val="none"/>
        </w:rPr>
        <w:t>到货</w:t>
      </w:r>
      <w:bookmarkEnd w:id="1075"/>
      <w:r>
        <w:rPr>
          <w:rFonts w:hint="eastAsia" w:asciiTheme="minorEastAsia" w:hAnsiTheme="minorEastAsia" w:eastAsiaTheme="minorEastAsia"/>
          <w:sz w:val="28"/>
          <w:szCs w:val="28"/>
          <w:highlight w:val="none"/>
        </w:rPr>
        <w:t>检验</w:t>
      </w:r>
      <w:bookmarkEnd w:id="1076"/>
    </w:p>
    <w:p w14:paraId="781126FF">
      <w:pPr>
        <w:adjustRightInd w:val="0"/>
        <w:snapToGrid w:val="0"/>
        <w:spacing w:line="560" w:lineRule="exact"/>
        <w:ind w:firstLine="560" w:firstLineChars="200"/>
        <w:rPr>
          <w:rFonts w:asciiTheme="minorEastAsia" w:hAnsiTheme="minorEastAsia" w:eastAsiaTheme="minorEastAsia"/>
          <w:sz w:val="28"/>
          <w:szCs w:val="28"/>
          <w:highlight w:val="none"/>
        </w:rPr>
      </w:pPr>
      <w:bookmarkStart w:id="1077" w:name="_Hlk129301698"/>
      <w:r>
        <w:rPr>
          <w:rFonts w:asciiTheme="minorEastAsia" w:hAnsiTheme="minorEastAsia" w:eastAsiaTheme="minorEastAsia"/>
          <w:sz w:val="28"/>
          <w:szCs w:val="28"/>
          <w:highlight w:val="none"/>
        </w:rPr>
        <w:t>1</w:t>
      </w:r>
      <w:bookmarkStart w:id="1078" w:name="_Hlk129302273"/>
      <w:r>
        <w:rPr>
          <w:rFonts w:asciiTheme="minorEastAsia" w:hAnsiTheme="minorEastAsia" w:eastAsiaTheme="minorEastAsia"/>
          <w:sz w:val="28"/>
          <w:szCs w:val="28"/>
          <w:highlight w:val="none"/>
        </w:rPr>
        <w:t>.物资</w:t>
      </w:r>
      <w:bookmarkEnd w:id="1078"/>
      <w:r>
        <w:rPr>
          <w:rFonts w:hint="eastAsia" w:asciiTheme="minorEastAsia" w:hAnsiTheme="minorEastAsia" w:eastAsiaTheme="minorEastAsia"/>
          <w:sz w:val="28"/>
          <w:szCs w:val="28"/>
          <w:highlight w:val="none"/>
        </w:rPr>
        <w:t>交付后，甲方应在现场检验外包装、合同号、箱件数、收货单位名称、品名、货号、批次及相关资料；检验物资品名、型号规格、数量、外观、技术资料、出厂日期、出厂编号、</w:t>
      </w:r>
      <w:bookmarkStart w:id="1079" w:name="_Hlk129326561"/>
      <w:r>
        <w:rPr>
          <w:rFonts w:hint="eastAsia" w:asciiTheme="minorEastAsia" w:hAnsiTheme="minorEastAsia" w:eastAsiaTheme="minorEastAsia"/>
          <w:sz w:val="28"/>
          <w:szCs w:val="28"/>
          <w:highlight w:val="none"/>
        </w:rPr>
        <w:t>物资编目编码、打码贴签</w:t>
      </w:r>
      <w:bookmarkEnd w:id="1079"/>
      <w:r>
        <w:rPr>
          <w:rFonts w:hint="eastAsia" w:asciiTheme="minorEastAsia" w:hAnsiTheme="minorEastAsia" w:eastAsiaTheme="minorEastAsia"/>
          <w:sz w:val="28"/>
          <w:szCs w:val="28"/>
          <w:highlight w:val="none"/>
        </w:rPr>
        <w:t>等。涉及进口产品的，乙方应出示中华人民共和国海关出具的检验证书。</w:t>
      </w:r>
    </w:p>
    <w:p w14:paraId="0793CDC5">
      <w:pPr>
        <w:adjustRightInd w:val="0"/>
        <w:snapToGrid w:val="0"/>
        <w:spacing w:line="560" w:lineRule="exact"/>
        <w:ind w:firstLine="560" w:firstLineChars="200"/>
        <w:rPr>
          <w:rFonts w:asciiTheme="minorEastAsia" w:hAnsiTheme="minorEastAsia" w:eastAsiaTheme="minorEastAsia"/>
          <w:sz w:val="28"/>
          <w:szCs w:val="28"/>
          <w:highlight w:val="none"/>
        </w:rPr>
      </w:pPr>
      <w:r>
        <w:rPr>
          <w:rFonts w:asciiTheme="minorEastAsia" w:hAnsiTheme="minorEastAsia" w:eastAsiaTheme="minorEastAsia"/>
          <w:sz w:val="28"/>
          <w:szCs w:val="28"/>
          <w:highlight w:val="none"/>
        </w:rPr>
        <w:t>2.到货检验由甲乙双方共同进行，乙方应自费派遣代表到场参加到货检验。</w:t>
      </w:r>
    </w:p>
    <w:p w14:paraId="0CCC4193">
      <w:pPr>
        <w:adjustRightInd w:val="0"/>
        <w:snapToGrid w:val="0"/>
        <w:spacing w:line="560" w:lineRule="exact"/>
        <w:ind w:firstLine="560" w:firstLineChars="200"/>
        <w:rPr>
          <w:rFonts w:asciiTheme="minorEastAsia" w:hAnsiTheme="minorEastAsia" w:eastAsiaTheme="minorEastAsia"/>
          <w:sz w:val="28"/>
          <w:szCs w:val="28"/>
          <w:highlight w:val="none"/>
        </w:rPr>
      </w:pPr>
      <w:r>
        <w:rPr>
          <w:rFonts w:asciiTheme="minorEastAsia" w:hAnsiTheme="minorEastAsia" w:eastAsiaTheme="minorEastAsia"/>
          <w:sz w:val="28"/>
          <w:szCs w:val="28"/>
          <w:highlight w:val="none"/>
        </w:rPr>
        <w:t>3.在</w:t>
      </w:r>
      <w:bookmarkStart w:id="1080" w:name="_Hlk129302538"/>
      <w:r>
        <w:rPr>
          <w:rFonts w:hint="eastAsia" w:asciiTheme="minorEastAsia" w:hAnsiTheme="minorEastAsia" w:eastAsiaTheme="minorEastAsia"/>
          <w:sz w:val="28"/>
          <w:szCs w:val="28"/>
          <w:highlight w:val="none"/>
        </w:rPr>
        <w:t>到货</w:t>
      </w:r>
      <w:bookmarkEnd w:id="1080"/>
      <w:r>
        <w:rPr>
          <w:rFonts w:hint="eastAsia" w:asciiTheme="minorEastAsia" w:hAnsiTheme="minorEastAsia" w:eastAsiaTheme="minorEastAsia"/>
          <w:sz w:val="28"/>
          <w:szCs w:val="28"/>
          <w:highlight w:val="none"/>
        </w:rPr>
        <w:t>检验中发现的</w:t>
      </w:r>
      <w:bookmarkStart w:id="1081" w:name="_Hlk129302417"/>
      <w:r>
        <w:rPr>
          <w:rFonts w:hint="eastAsia" w:asciiTheme="minorEastAsia" w:hAnsiTheme="minorEastAsia" w:eastAsiaTheme="minorEastAsia"/>
          <w:sz w:val="28"/>
          <w:szCs w:val="28"/>
          <w:highlight w:val="none"/>
        </w:rPr>
        <w:t>物资</w:t>
      </w:r>
      <w:bookmarkEnd w:id="1081"/>
      <w:r>
        <w:rPr>
          <w:rFonts w:hint="eastAsia" w:asciiTheme="minorEastAsia" w:hAnsiTheme="minorEastAsia" w:eastAsiaTheme="minorEastAsia"/>
          <w:sz w:val="28"/>
          <w:szCs w:val="28"/>
          <w:highlight w:val="none"/>
        </w:rPr>
        <w:t>的短缺、损坏或其它与合同约定不符的情形，由乙方负责，乙方应补齐、更换及采取其他补救措施。</w:t>
      </w:r>
    </w:p>
    <w:p w14:paraId="3405A5FA">
      <w:pPr>
        <w:adjustRightInd w:val="0"/>
        <w:snapToGrid w:val="0"/>
        <w:spacing w:line="560" w:lineRule="exact"/>
        <w:ind w:firstLine="560" w:firstLineChars="200"/>
        <w:rPr>
          <w:rFonts w:asciiTheme="minorEastAsia" w:hAnsiTheme="minorEastAsia" w:eastAsiaTheme="minorEastAsia"/>
          <w:sz w:val="28"/>
          <w:szCs w:val="28"/>
          <w:highlight w:val="none"/>
        </w:rPr>
      </w:pPr>
      <w:r>
        <w:rPr>
          <w:rFonts w:asciiTheme="minorEastAsia" w:hAnsiTheme="minorEastAsia" w:eastAsiaTheme="minorEastAsia"/>
          <w:sz w:val="28"/>
          <w:szCs w:val="28"/>
          <w:highlight w:val="none"/>
        </w:rPr>
        <w:t>4.在到货检验中，甲乙双方应共同签署检验报告，列明检验结果，包括检验合格或发现的任何短缺、损坏或其它与合同约定不符的情形。</w:t>
      </w:r>
    </w:p>
    <w:p w14:paraId="3B185521">
      <w:pPr>
        <w:adjustRightInd w:val="0"/>
        <w:snapToGrid w:val="0"/>
        <w:spacing w:line="560" w:lineRule="exact"/>
        <w:ind w:firstLine="560" w:firstLineChars="200"/>
        <w:rPr>
          <w:rFonts w:asciiTheme="minorEastAsia" w:hAnsiTheme="minorEastAsia" w:eastAsiaTheme="minorEastAsia"/>
          <w:sz w:val="28"/>
          <w:szCs w:val="28"/>
          <w:highlight w:val="none"/>
        </w:rPr>
      </w:pPr>
      <w:r>
        <w:rPr>
          <w:rFonts w:asciiTheme="minorEastAsia" w:hAnsiTheme="minorEastAsia" w:eastAsiaTheme="minorEastAsia"/>
          <w:sz w:val="28"/>
          <w:szCs w:val="28"/>
          <w:highlight w:val="none"/>
        </w:rPr>
        <w:t>5.到货检验的检验结果不能对抗在</w:t>
      </w:r>
      <w:bookmarkStart w:id="1082" w:name="_Hlk129303145"/>
      <w:r>
        <w:rPr>
          <w:rFonts w:hint="eastAsia" w:asciiTheme="minorEastAsia" w:hAnsiTheme="minorEastAsia" w:eastAsiaTheme="minorEastAsia"/>
          <w:sz w:val="28"/>
          <w:szCs w:val="28"/>
          <w:highlight w:val="none"/>
        </w:rPr>
        <w:t>物资</w:t>
      </w:r>
      <w:bookmarkEnd w:id="1082"/>
      <w:r>
        <w:rPr>
          <w:rFonts w:hint="eastAsia" w:asciiTheme="minorEastAsia" w:hAnsiTheme="minorEastAsia" w:eastAsiaTheme="minorEastAsia"/>
          <w:sz w:val="28"/>
          <w:szCs w:val="28"/>
          <w:highlight w:val="none"/>
        </w:rPr>
        <w:t>的安装、调试、</w:t>
      </w:r>
      <w:bookmarkStart w:id="1083" w:name="_Hlk129303889"/>
      <w:r>
        <w:rPr>
          <w:rFonts w:hint="eastAsia" w:asciiTheme="minorEastAsia" w:hAnsiTheme="minorEastAsia" w:eastAsiaTheme="minorEastAsia"/>
          <w:sz w:val="28"/>
          <w:szCs w:val="28"/>
          <w:highlight w:val="none"/>
        </w:rPr>
        <w:t>考核</w:t>
      </w:r>
      <w:bookmarkEnd w:id="1083"/>
      <w:r>
        <w:rPr>
          <w:rFonts w:hint="eastAsia" w:asciiTheme="minorEastAsia" w:hAnsiTheme="minorEastAsia" w:eastAsiaTheme="minorEastAsia"/>
          <w:sz w:val="28"/>
          <w:szCs w:val="28"/>
          <w:highlight w:val="none"/>
        </w:rPr>
        <w:t>、验收中及质量保证期内发现的物资质量问题，亦不能免除或影响乙方依照合同约定对甲方负有的包括物资质量在内的任何义务或责任。</w:t>
      </w:r>
      <w:bookmarkEnd w:id="1077"/>
    </w:p>
    <w:p w14:paraId="7CA19566">
      <w:pPr>
        <w:adjustRightInd w:val="0"/>
        <w:snapToGrid w:val="0"/>
        <w:spacing w:line="560" w:lineRule="exact"/>
        <w:ind w:firstLine="560" w:firstLineChars="200"/>
        <w:rPr>
          <w:rFonts w:asciiTheme="minorEastAsia" w:hAnsiTheme="minorEastAsia" w:eastAsiaTheme="minorEastAsia"/>
          <w:sz w:val="28"/>
          <w:szCs w:val="28"/>
          <w:highlight w:val="none"/>
        </w:rPr>
      </w:pPr>
      <w:r>
        <w:rPr>
          <w:rFonts w:asciiTheme="minorEastAsia" w:hAnsiTheme="minorEastAsia" w:eastAsiaTheme="minorEastAsia"/>
          <w:sz w:val="28"/>
          <w:szCs w:val="28"/>
          <w:highlight w:val="none"/>
        </w:rPr>
        <w:t>6.</w:t>
      </w:r>
      <w:r>
        <w:rPr>
          <w:rFonts w:hint="eastAsia" w:asciiTheme="minorEastAsia" w:hAnsiTheme="minorEastAsia" w:eastAsiaTheme="minorEastAsia"/>
          <w:sz w:val="28"/>
          <w:szCs w:val="28"/>
          <w:highlight w:val="none"/>
        </w:rPr>
        <w:t>到货检验的时间为：</w:t>
      </w:r>
      <w:r>
        <w:rPr>
          <w:rFonts w:asciiTheme="minorEastAsia" w:hAnsiTheme="minorEastAsia" w:eastAsiaTheme="minorEastAsia"/>
          <w:sz w:val="28"/>
          <w:szCs w:val="28"/>
          <w:highlight w:val="none"/>
          <w:u w:val="single"/>
        </w:rPr>
        <w:t xml:space="preserve">                     </w:t>
      </w:r>
      <w:r>
        <w:rPr>
          <w:rFonts w:hint="eastAsia" w:asciiTheme="minorEastAsia" w:hAnsiTheme="minorEastAsia" w:eastAsiaTheme="minorEastAsia"/>
          <w:sz w:val="28"/>
          <w:szCs w:val="28"/>
          <w:highlight w:val="none"/>
        </w:rPr>
        <w:t>。</w:t>
      </w:r>
    </w:p>
    <w:p w14:paraId="41E0B0A5">
      <w:pPr>
        <w:adjustRightInd w:val="0"/>
        <w:snapToGrid w:val="0"/>
        <w:spacing w:line="560" w:lineRule="exact"/>
        <w:ind w:firstLine="560" w:firstLineChars="200"/>
        <w:rPr>
          <w:rFonts w:asciiTheme="minorEastAsia" w:hAnsiTheme="minorEastAsia" w:eastAsiaTheme="minorEastAsia"/>
          <w:highlight w:val="none"/>
        </w:rPr>
      </w:pPr>
      <w:r>
        <w:rPr>
          <w:rFonts w:asciiTheme="minorEastAsia" w:hAnsiTheme="minorEastAsia" w:eastAsiaTheme="minorEastAsia"/>
          <w:sz w:val="28"/>
          <w:szCs w:val="28"/>
          <w:highlight w:val="none"/>
        </w:rPr>
        <w:t>7.</w:t>
      </w:r>
      <w:r>
        <w:rPr>
          <w:rFonts w:hint="eastAsia" w:asciiTheme="minorEastAsia" w:hAnsiTheme="minorEastAsia" w:eastAsiaTheme="minorEastAsia"/>
          <w:sz w:val="28"/>
          <w:szCs w:val="28"/>
          <w:highlight w:val="none"/>
        </w:rPr>
        <w:t>到货检验的其他要求：</w:t>
      </w:r>
      <w:r>
        <w:rPr>
          <w:rFonts w:asciiTheme="minorEastAsia" w:hAnsiTheme="minorEastAsia" w:eastAsiaTheme="minorEastAsia"/>
          <w:sz w:val="28"/>
          <w:szCs w:val="28"/>
          <w:highlight w:val="none"/>
          <w:u w:val="single"/>
        </w:rPr>
        <w:t xml:space="preserve">                     </w:t>
      </w:r>
      <w:r>
        <w:rPr>
          <w:rFonts w:hint="eastAsia" w:asciiTheme="minorEastAsia" w:hAnsiTheme="minorEastAsia" w:eastAsiaTheme="minorEastAsia"/>
          <w:sz w:val="28"/>
          <w:szCs w:val="28"/>
          <w:highlight w:val="none"/>
        </w:rPr>
        <w:t>。</w:t>
      </w:r>
    </w:p>
    <w:p w14:paraId="7C106CB6">
      <w:pPr>
        <w:adjustRightInd w:val="0"/>
        <w:snapToGrid w:val="0"/>
        <w:spacing w:line="560" w:lineRule="exact"/>
        <w:ind w:firstLine="560" w:firstLineChars="200"/>
        <w:rPr>
          <w:rFonts w:asciiTheme="minorEastAsia" w:hAnsiTheme="minorEastAsia" w:eastAsiaTheme="minorEastAsia"/>
          <w:sz w:val="28"/>
          <w:szCs w:val="28"/>
          <w:highlight w:val="none"/>
        </w:rPr>
      </w:pPr>
      <w:r>
        <w:rPr>
          <w:rFonts w:hint="eastAsia" w:asciiTheme="minorEastAsia" w:hAnsiTheme="minorEastAsia" w:eastAsiaTheme="minorEastAsia"/>
          <w:sz w:val="28"/>
          <w:szCs w:val="28"/>
          <w:highlight w:val="none"/>
        </w:rPr>
        <w:t>□</w:t>
      </w:r>
      <w:bookmarkStart w:id="1084" w:name="_Hlk129303860"/>
      <w:bookmarkStart w:id="1085" w:name="_Hlk129333264"/>
      <w:r>
        <w:rPr>
          <w:rFonts w:hint="eastAsia" w:asciiTheme="minorEastAsia" w:hAnsiTheme="minorEastAsia" w:eastAsiaTheme="minorEastAsia"/>
          <w:sz w:val="28"/>
          <w:szCs w:val="28"/>
          <w:highlight w:val="none"/>
        </w:rPr>
        <w:t>（四）</w:t>
      </w:r>
      <w:bookmarkEnd w:id="1084"/>
      <w:r>
        <w:rPr>
          <w:rFonts w:hint="eastAsia" w:asciiTheme="minorEastAsia" w:hAnsiTheme="minorEastAsia" w:eastAsiaTheme="minorEastAsia"/>
          <w:sz w:val="28"/>
          <w:szCs w:val="28"/>
          <w:highlight w:val="none"/>
        </w:rPr>
        <w:t>安装、调试</w:t>
      </w:r>
    </w:p>
    <w:bookmarkEnd w:id="1085"/>
    <w:p w14:paraId="26D64D30">
      <w:pPr>
        <w:adjustRightInd w:val="0"/>
        <w:snapToGrid w:val="0"/>
        <w:spacing w:line="560" w:lineRule="exact"/>
        <w:ind w:firstLine="560" w:firstLineChars="200"/>
        <w:rPr>
          <w:rFonts w:asciiTheme="minorEastAsia" w:hAnsiTheme="minorEastAsia" w:eastAsiaTheme="minorEastAsia"/>
          <w:sz w:val="28"/>
          <w:szCs w:val="28"/>
          <w:highlight w:val="none"/>
        </w:rPr>
      </w:pPr>
      <w:r>
        <w:rPr>
          <w:rFonts w:asciiTheme="minorEastAsia" w:hAnsiTheme="minorEastAsia" w:eastAsiaTheme="minorEastAsia"/>
          <w:sz w:val="28"/>
          <w:szCs w:val="28"/>
          <w:highlight w:val="none"/>
        </w:rPr>
        <w:t>1.到货检验完成后，乙方应按合同约定应对</w:t>
      </w:r>
      <w:bookmarkStart w:id="1086" w:name="_Hlk129303208"/>
      <w:r>
        <w:rPr>
          <w:rFonts w:hint="eastAsia" w:asciiTheme="minorEastAsia" w:hAnsiTheme="minorEastAsia" w:eastAsiaTheme="minorEastAsia"/>
          <w:sz w:val="28"/>
          <w:szCs w:val="28"/>
          <w:highlight w:val="none"/>
        </w:rPr>
        <w:t>物资</w:t>
      </w:r>
      <w:bookmarkEnd w:id="1086"/>
      <w:r>
        <w:rPr>
          <w:rFonts w:hint="eastAsia" w:asciiTheme="minorEastAsia" w:hAnsiTheme="minorEastAsia" w:eastAsiaTheme="minorEastAsia"/>
          <w:sz w:val="28"/>
          <w:szCs w:val="28"/>
          <w:highlight w:val="none"/>
        </w:rPr>
        <w:t>进行安装、调试，以使其具备考核的状态。</w:t>
      </w:r>
      <w:bookmarkStart w:id="1087" w:name="_Hlk129304289"/>
    </w:p>
    <w:bookmarkEnd w:id="1087"/>
    <w:p w14:paraId="36E3F05E">
      <w:pPr>
        <w:adjustRightInd w:val="0"/>
        <w:snapToGrid w:val="0"/>
        <w:spacing w:line="560" w:lineRule="exact"/>
        <w:ind w:firstLine="560" w:firstLineChars="200"/>
        <w:rPr>
          <w:rFonts w:asciiTheme="minorEastAsia" w:hAnsiTheme="minorEastAsia" w:eastAsiaTheme="minorEastAsia"/>
          <w:sz w:val="28"/>
          <w:szCs w:val="28"/>
          <w:highlight w:val="none"/>
        </w:rPr>
      </w:pPr>
      <w:r>
        <w:rPr>
          <w:rFonts w:asciiTheme="minorEastAsia" w:hAnsiTheme="minorEastAsia" w:eastAsiaTheme="minorEastAsia"/>
          <w:sz w:val="28"/>
          <w:szCs w:val="28"/>
          <w:highlight w:val="none"/>
        </w:rPr>
        <w:t>2.在安装、调试过程中，如出现安装、调试不成功或造成物资损坏的情况，乙方应承担责任。</w:t>
      </w:r>
    </w:p>
    <w:p w14:paraId="00ED7AD0">
      <w:pPr>
        <w:adjustRightInd w:val="0"/>
        <w:snapToGrid w:val="0"/>
        <w:spacing w:line="560" w:lineRule="exact"/>
        <w:ind w:firstLine="560" w:firstLineChars="200"/>
        <w:rPr>
          <w:rFonts w:asciiTheme="minorEastAsia" w:hAnsiTheme="minorEastAsia" w:eastAsiaTheme="minorEastAsia"/>
          <w:sz w:val="28"/>
          <w:szCs w:val="28"/>
          <w:highlight w:val="none"/>
        </w:rPr>
      </w:pPr>
      <w:r>
        <w:rPr>
          <w:rFonts w:asciiTheme="minorEastAsia" w:hAnsiTheme="minorEastAsia" w:eastAsiaTheme="minorEastAsia"/>
          <w:sz w:val="28"/>
          <w:szCs w:val="28"/>
          <w:highlight w:val="none"/>
        </w:rPr>
        <w:t>3.甲乙双方应对物资的安装、调试情况共同进行记录。</w:t>
      </w:r>
    </w:p>
    <w:p w14:paraId="21A3E574">
      <w:pPr>
        <w:adjustRightInd w:val="0"/>
        <w:snapToGrid w:val="0"/>
        <w:spacing w:line="560" w:lineRule="exact"/>
        <w:ind w:firstLine="560" w:firstLineChars="200"/>
        <w:rPr>
          <w:rFonts w:asciiTheme="minorEastAsia" w:hAnsiTheme="minorEastAsia" w:eastAsiaTheme="minorEastAsia"/>
          <w:sz w:val="28"/>
          <w:szCs w:val="28"/>
          <w:highlight w:val="none"/>
        </w:rPr>
      </w:pPr>
      <w:r>
        <w:rPr>
          <w:rFonts w:asciiTheme="minorEastAsia" w:hAnsiTheme="minorEastAsia" w:eastAsiaTheme="minorEastAsia"/>
          <w:sz w:val="28"/>
          <w:szCs w:val="28"/>
          <w:highlight w:val="none"/>
        </w:rPr>
        <w:t>4.</w:t>
      </w:r>
      <w:r>
        <w:rPr>
          <w:rFonts w:hint="eastAsia" w:asciiTheme="minorEastAsia" w:hAnsiTheme="minorEastAsia" w:eastAsiaTheme="minorEastAsia"/>
          <w:sz w:val="28"/>
          <w:szCs w:val="28"/>
          <w:highlight w:val="none"/>
        </w:rPr>
        <w:t>物资到货后，乙方应在接到甲方通知后</w:t>
      </w:r>
      <w:r>
        <w:rPr>
          <w:rFonts w:asciiTheme="minorEastAsia" w:hAnsiTheme="minorEastAsia" w:eastAsiaTheme="minorEastAsia"/>
          <w:sz w:val="28"/>
          <w:szCs w:val="28"/>
          <w:highlight w:val="none"/>
        </w:rPr>
        <w:t>_____日内完成安装调试。</w:t>
      </w:r>
    </w:p>
    <w:p w14:paraId="3D1F3463">
      <w:pPr>
        <w:adjustRightInd w:val="0"/>
        <w:snapToGrid w:val="0"/>
        <w:spacing w:line="560" w:lineRule="exact"/>
        <w:ind w:firstLine="560" w:firstLineChars="200"/>
        <w:rPr>
          <w:rFonts w:asciiTheme="minorEastAsia" w:hAnsiTheme="minorEastAsia" w:eastAsiaTheme="minorEastAsia"/>
          <w:sz w:val="28"/>
          <w:szCs w:val="28"/>
          <w:highlight w:val="none"/>
        </w:rPr>
      </w:pPr>
      <w:r>
        <w:rPr>
          <w:rFonts w:asciiTheme="minorEastAsia" w:hAnsiTheme="minorEastAsia" w:eastAsiaTheme="minorEastAsia"/>
          <w:sz w:val="28"/>
          <w:szCs w:val="28"/>
          <w:highlight w:val="none"/>
        </w:rPr>
        <w:t>5.</w:t>
      </w:r>
      <w:r>
        <w:rPr>
          <w:rFonts w:hint="eastAsia" w:asciiTheme="minorEastAsia" w:hAnsiTheme="minorEastAsia" w:eastAsiaTheme="minorEastAsia"/>
          <w:sz w:val="28"/>
          <w:szCs w:val="28"/>
          <w:highlight w:val="none"/>
        </w:rPr>
        <w:t>安装、调试的其他要求：</w:t>
      </w:r>
      <w:r>
        <w:rPr>
          <w:rFonts w:asciiTheme="minorEastAsia" w:hAnsiTheme="minorEastAsia" w:eastAsiaTheme="minorEastAsia"/>
          <w:sz w:val="28"/>
          <w:szCs w:val="28"/>
          <w:highlight w:val="none"/>
          <w:u w:val="single"/>
        </w:rPr>
        <w:t xml:space="preserve">                     </w:t>
      </w:r>
      <w:r>
        <w:rPr>
          <w:rFonts w:hint="eastAsia" w:asciiTheme="minorEastAsia" w:hAnsiTheme="minorEastAsia" w:eastAsiaTheme="minorEastAsia"/>
          <w:sz w:val="28"/>
          <w:szCs w:val="28"/>
          <w:highlight w:val="none"/>
        </w:rPr>
        <w:t>。</w:t>
      </w:r>
    </w:p>
    <w:p w14:paraId="7CCFE9E4">
      <w:pPr>
        <w:adjustRightInd w:val="0"/>
        <w:snapToGrid w:val="0"/>
        <w:spacing w:line="560" w:lineRule="exact"/>
        <w:ind w:firstLine="560" w:firstLineChars="200"/>
        <w:rPr>
          <w:rFonts w:asciiTheme="minorEastAsia" w:hAnsiTheme="minorEastAsia" w:eastAsiaTheme="minorEastAsia"/>
          <w:sz w:val="28"/>
          <w:szCs w:val="28"/>
          <w:highlight w:val="none"/>
        </w:rPr>
      </w:pPr>
      <w:r>
        <w:rPr>
          <w:rFonts w:hint="eastAsia" w:asciiTheme="minorEastAsia" w:hAnsiTheme="minorEastAsia" w:eastAsiaTheme="minorEastAsia"/>
          <w:sz w:val="28"/>
          <w:szCs w:val="28"/>
          <w:highlight w:val="none"/>
        </w:rPr>
        <w:t>□（五）检测</w:t>
      </w:r>
    </w:p>
    <w:p w14:paraId="1B71C287">
      <w:pPr>
        <w:adjustRightInd w:val="0"/>
        <w:snapToGrid w:val="0"/>
        <w:spacing w:line="560" w:lineRule="exact"/>
        <w:ind w:firstLine="560" w:firstLineChars="200"/>
        <w:rPr>
          <w:rFonts w:asciiTheme="minorEastAsia" w:hAnsiTheme="minorEastAsia" w:eastAsiaTheme="minorEastAsia"/>
          <w:sz w:val="28"/>
          <w:szCs w:val="28"/>
          <w:highlight w:val="none"/>
        </w:rPr>
      </w:pPr>
      <w:r>
        <w:rPr>
          <w:rFonts w:asciiTheme="minorEastAsia" w:hAnsiTheme="minorEastAsia" w:eastAsiaTheme="minorEastAsia"/>
          <w:sz w:val="28"/>
          <w:szCs w:val="28"/>
          <w:highlight w:val="none"/>
        </w:rPr>
        <w:t>1.安装、调试完成后，</w:t>
      </w:r>
      <w:bookmarkStart w:id="1088" w:name="_Hlk129304311"/>
      <w:r>
        <w:rPr>
          <w:rFonts w:hint="eastAsia" w:asciiTheme="minorEastAsia" w:hAnsiTheme="minorEastAsia" w:eastAsiaTheme="minorEastAsia"/>
          <w:sz w:val="28"/>
          <w:szCs w:val="28"/>
          <w:highlight w:val="none"/>
        </w:rPr>
        <w:t>应对物资进行</w:t>
      </w:r>
      <w:bookmarkEnd w:id="1088"/>
      <w:r>
        <w:rPr>
          <w:rFonts w:hint="eastAsia" w:asciiTheme="minorEastAsia" w:hAnsiTheme="minorEastAsia" w:eastAsiaTheme="minorEastAsia"/>
          <w:sz w:val="28"/>
          <w:szCs w:val="28"/>
          <w:highlight w:val="none"/>
        </w:rPr>
        <w:t>检测，以确定物资是否达到合同约定的技术性能指标。检测应按照下列方式进行：</w:t>
      </w:r>
    </w:p>
    <w:p w14:paraId="47FC904C">
      <w:pPr>
        <w:adjustRightInd w:val="0"/>
        <w:snapToGrid w:val="0"/>
        <w:spacing w:line="560" w:lineRule="exact"/>
        <w:ind w:firstLine="560" w:firstLineChars="200"/>
        <w:rPr>
          <w:rFonts w:asciiTheme="minorEastAsia" w:hAnsiTheme="minorEastAsia" w:eastAsiaTheme="minorEastAsia"/>
          <w:sz w:val="28"/>
          <w:szCs w:val="28"/>
          <w:highlight w:val="none"/>
        </w:rPr>
      </w:pPr>
      <w:r>
        <w:rPr>
          <w:rFonts w:hint="eastAsia" w:asciiTheme="minorEastAsia" w:hAnsiTheme="minorEastAsia" w:eastAsiaTheme="minorEastAsia"/>
          <w:sz w:val="28"/>
          <w:szCs w:val="28"/>
          <w:highlight w:val="none"/>
        </w:rPr>
        <w:t>□（</w:t>
      </w:r>
      <w:r>
        <w:rPr>
          <w:rFonts w:asciiTheme="minorEastAsia" w:hAnsiTheme="minorEastAsia" w:eastAsiaTheme="minorEastAsia"/>
          <w:sz w:val="28"/>
          <w:szCs w:val="28"/>
          <w:highlight w:val="none"/>
        </w:rPr>
        <w:t>1）甲乙双方共同对物资进行检测，如在检测过程中发生争议，另行约定由第三</w:t>
      </w:r>
      <w:r>
        <w:rPr>
          <w:rFonts w:hint="eastAsia" w:asciiTheme="minorEastAsia" w:hAnsiTheme="minorEastAsia" w:eastAsiaTheme="minorEastAsia"/>
          <w:sz w:val="28"/>
          <w:szCs w:val="28"/>
          <w:highlight w:val="none"/>
        </w:rPr>
        <w:t>方专业机构检验。</w:t>
      </w:r>
    </w:p>
    <w:p w14:paraId="35E16866">
      <w:pPr>
        <w:adjustRightInd w:val="0"/>
        <w:snapToGrid w:val="0"/>
        <w:spacing w:line="560" w:lineRule="exact"/>
        <w:ind w:firstLine="560" w:firstLineChars="200"/>
        <w:rPr>
          <w:rFonts w:asciiTheme="minorEastAsia" w:hAnsiTheme="minorEastAsia" w:eastAsiaTheme="minorEastAsia"/>
          <w:sz w:val="28"/>
          <w:szCs w:val="28"/>
          <w:highlight w:val="none"/>
        </w:rPr>
      </w:pPr>
      <w:r>
        <w:rPr>
          <w:rFonts w:hint="eastAsia" w:asciiTheme="minorEastAsia" w:hAnsiTheme="minorEastAsia" w:eastAsiaTheme="minorEastAsia"/>
          <w:sz w:val="28"/>
          <w:szCs w:val="28"/>
          <w:highlight w:val="none"/>
        </w:rPr>
        <w:t>□（</w:t>
      </w:r>
      <w:r>
        <w:rPr>
          <w:rFonts w:asciiTheme="minorEastAsia" w:hAnsiTheme="minorEastAsia" w:eastAsiaTheme="minorEastAsia"/>
          <w:sz w:val="28"/>
          <w:szCs w:val="28"/>
          <w:highlight w:val="none"/>
        </w:rPr>
        <w:t>2）由第三</w:t>
      </w:r>
      <w:r>
        <w:rPr>
          <w:rFonts w:hint="eastAsia" w:asciiTheme="minorEastAsia" w:hAnsiTheme="minorEastAsia" w:eastAsiaTheme="minorEastAsia"/>
          <w:sz w:val="28"/>
          <w:szCs w:val="28"/>
          <w:highlight w:val="none"/>
        </w:rPr>
        <w:t>方专业机构对物资进行检验。</w:t>
      </w:r>
    </w:p>
    <w:p w14:paraId="23C2DF77">
      <w:pPr>
        <w:adjustRightInd w:val="0"/>
        <w:snapToGrid w:val="0"/>
        <w:spacing w:line="560" w:lineRule="exact"/>
        <w:ind w:firstLine="560" w:firstLineChars="200"/>
        <w:rPr>
          <w:rFonts w:asciiTheme="minorEastAsia" w:hAnsiTheme="minorEastAsia" w:eastAsiaTheme="minorEastAsia"/>
          <w:sz w:val="28"/>
          <w:szCs w:val="28"/>
          <w:highlight w:val="none"/>
        </w:rPr>
      </w:pPr>
      <w:r>
        <w:rPr>
          <w:rFonts w:hint="eastAsia" w:asciiTheme="minorEastAsia" w:hAnsiTheme="minorEastAsia" w:eastAsiaTheme="minorEastAsia"/>
          <w:sz w:val="28"/>
          <w:szCs w:val="28"/>
          <w:highlight w:val="none"/>
        </w:rPr>
        <w:t>第三方专业机构应出具检测报告，</w:t>
      </w:r>
      <w:bookmarkStart w:id="1089" w:name="_Hlk129304648"/>
      <w:r>
        <w:rPr>
          <w:rFonts w:hint="eastAsia" w:asciiTheme="minorEastAsia" w:hAnsiTheme="minorEastAsia" w:eastAsiaTheme="minorEastAsia"/>
          <w:sz w:val="28"/>
          <w:szCs w:val="28"/>
          <w:highlight w:val="none"/>
        </w:rPr>
        <w:t>检验</w:t>
      </w:r>
      <w:bookmarkEnd w:id="1089"/>
      <w:r>
        <w:rPr>
          <w:rFonts w:hint="eastAsia" w:asciiTheme="minorEastAsia" w:hAnsiTheme="minorEastAsia" w:eastAsiaTheme="minorEastAsia"/>
          <w:sz w:val="28"/>
          <w:szCs w:val="28"/>
          <w:highlight w:val="none"/>
        </w:rPr>
        <w:t>结果对甲乙方双方均具有约束力。第三方专业机构检验所发生的费用由</w:t>
      </w:r>
      <w:r>
        <w:rPr>
          <w:rFonts w:asciiTheme="minorEastAsia" w:hAnsiTheme="minorEastAsia" w:eastAsiaTheme="minorEastAsia"/>
          <w:sz w:val="28"/>
          <w:szCs w:val="28"/>
          <w:highlight w:val="none"/>
          <w:u w:val="single"/>
        </w:rPr>
        <w:t xml:space="preserve">     </w:t>
      </w:r>
      <w:r>
        <w:rPr>
          <w:rFonts w:hint="eastAsia" w:asciiTheme="minorEastAsia" w:hAnsiTheme="minorEastAsia" w:eastAsiaTheme="minorEastAsia"/>
          <w:sz w:val="28"/>
          <w:szCs w:val="28"/>
          <w:highlight w:val="none"/>
        </w:rPr>
        <w:t>承担。</w:t>
      </w:r>
    </w:p>
    <w:p w14:paraId="6B9E5A9E">
      <w:pPr>
        <w:adjustRightInd w:val="0"/>
        <w:snapToGrid w:val="0"/>
        <w:spacing w:line="560" w:lineRule="exact"/>
        <w:ind w:firstLine="560" w:firstLineChars="200"/>
        <w:rPr>
          <w:rFonts w:asciiTheme="minorEastAsia" w:hAnsiTheme="minorEastAsia" w:eastAsiaTheme="minorEastAsia"/>
          <w:sz w:val="28"/>
          <w:szCs w:val="28"/>
          <w:highlight w:val="none"/>
        </w:rPr>
      </w:pPr>
      <w:r>
        <w:rPr>
          <w:rFonts w:asciiTheme="minorEastAsia" w:hAnsiTheme="minorEastAsia" w:eastAsiaTheme="minorEastAsia"/>
          <w:sz w:val="28"/>
          <w:szCs w:val="28"/>
          <w:highlight w:val="none"/>
        </w:rPr>
        <w:t>2.由于</w:t>
      </w:r>
      <w:bookmarkStart w:id="1090" w:name="_Hlk129304924"/>
      <w:r>
        <w:rPr>
          <w:rFonts w:hint="eastAsia" w:asciiTheme="minorEastAsia" w:hAnsiTheme="minorEastAsia" w:eastAsiaTheme="minorEastAsia"/>
          <w:sz w:val="28"/>
          <w:szCs w:val="28"/>
          <w:highlight w:val="none"/>
        </w:rPr>
        <w:t>乙方</w:t>
      </w:r>
      <w:bookmarkEnd w:id="1090"/>
      <w:r>
        <w:rPr>
          <w:rFonts w:hint="eastAsia" w:asciiTheme="minorEastAsia" w:hAnsiTheme="minorEastAsia" w:eastAsiaTheme="minorEastAsia"/>
          <w:sz w:val="28"/>
          <w:szCs w:val="28"/>
          <w:highlight w:val="none"/>
        </w:rPr>
        <w:t>原因</w:t>
      </w:r>
      <w:bookmarkStart w:id="1091" w:name="_Hlk129304842"/>
      <w:r>
        <w:rPr>
          <w:rFonts w:hint="eastAsia" w:asciiTheme="minorEastAsia" w:hAnsiTheme="minorEastAsia" w:eastAsiaTheme="minorEastAsia"/>
          <w:sz w:val="28"/>
          <w:szCs w:val="28"/>
          <w:highlight w:val="none"/>
        </w:rPr>
        <w:t>物资</w:t>
      </w:r>
      <w:bookmarkEnd w:id="1091"/>
      <w:r>
        <w:rPr>
          <w:rFonts w:hint="eastAsia" w:asciiTheme="minorEastAsia" w:hAnsiTheme="minorEastAsia" w:eastAsiaTheme="minorEastAsia"/>
          <w:sz w:val="28"/>
          <w:szCs w:val="28"/>
          <w:highlight w:val="none"/>
        </w:rPr>
        <w:t>在检测中未能达到合同约定的技术性能指标，则乙方应在双方同意的期限内采取措施消除物资中存在的缺陷，并在缺陷消除以后，再次进行检测。</w:t>
      </w:r>
    </w:p>
    <w:p w14:paraId="21E924AD">
      <w:pPr>
        <w:adjustRightInd w:val="0"/>
        <w:snapToGrid w:val="0"/>
        <w:spacing w:line="560" w:lineRule="exact"/>
        <w:ind w:firstLine="560" w:firstLineChars="200"/>
        <w:rPr>
          <w:rFonts w:asciiTheme="minorEastAsia" w:hAnsiTheme="minorEastAsia" w:eastAsiaTheme="minorEastAsia"/>
          <w:sz w:val="28"/>
          <w:szCs w:val="28"/>
          <w:highlight w:val="none"/>
        </w:rPr>
      </w:pPr>
      <w:r>
        <w:rPr>
          <w:rFonts w:asciiTheme="minorEastAsia" w:hAnsiTheme="minorEastAsia" w:eastAsiaTheme="minorEastAsia"/>
          <w:sz w:val="28"/>
          <w:szCs w:val="28"/>
          <w:highlight w:val="none"/>
        </w:rPr>
        <w:t>3.由于乙方原因未能达到技术性能指标时，为乙方进行检测的机会不超过</w:t>
      </w:r>
      <w:r>
        <w:rPr>
          <w:rFonts w:asciiTheme="minorEastAsia" w:hAnsiTheme="minorEastAsia" w:eastAsiaTheme="minorEastAsia"/>
          <w:sz w:val="28"/>
          <w:szCs w:val="28"/>
          <w:highlight w:val="none"/>
          <w:u w:val="single"/>
        </w:rPr>
        <w:t xml:space="preserve">     </w:t>
      </w:r>
      <w:r>
        <w:rPr>
          <w:rFonts w:hint="eastAsia" w:asciiTheme="minorEastAsia" w:hAnsiTheme="minorEastAsia" w:eastAsiaTheme="minorEastAsia"/>
          <w:sz w:val="28"/>
          <w:szCs w:val="28"/>
          <w:highlight w:val="none"/>
        </w:rPr>
        <w:t>次。如果由于乙方原因，</w:t>
      </w:r>
      <w:r>
        <w:rPr>
          <w:rFonts w:asciiTheme="minorEastAsia" w:hAnsiTheme="minorEastAsia" w:eastAsiaTheme="minorEastAsia"/>
          <w:sz w:val="28"/>
          <w:szCs w:val="28"/>
          <w:highlight w:val="none"/>
          <w:u w:val="single"/>
        </w:rPr>
        <w:t xml:space="preserve">     </w:t>
      </w:r>
      <w:r>
        <w:rPr>
          <w:rFonts w:hint="eastAsia" w:asciiTheme="minorEastAsia" w:hAnsiTheme="minorEastAsia" w:eastAsiaTheme="minorEastAsia"/>
          <w:sz w:val="28"/>
          <w:szCs w:val="28"/>
          <w:highlight w:val="none"/>
        </w:rPr>
        <w:t>次检测均未能达到合同约定的技术性能指标，</w:t>
      </w:r>
      <w:bookmarkStart w:id="1092" w:name="_Hlk129333980"/>
      <w:r>
        <w:rPr>
          <w:rFonts w:hint="eastAsia" w:asciiTheme="minorEastAsia" w:hAnsiTheme="minorEastAsia" w:eastAsiaTheme="minorEastAsia"/>
          <w:sz w:val="28"/>
          <w:szCs w:val="28"/>
          <w:highlight w:val="none"/>
        </w:rPr>
        <w:t>甲方有权终止合同</w:t>
      </w:r>
      <w:bookmarkEnd w:id="1092"/>
      <w:r>
        <w:rPr>
          <w:rFonts w:hint="eastAsia" w:asciiTheme="minorEastAsia" w:hAnsiTheme="minorEastAsia" w:eastAsiaTheme="minorEastAsia"/>
          <w:sz w:val="28"/>
          <w:szCs w:val="28"/>
          <w:highlight w:val="none"/>
        </w:rPr>
        <w:t>，由此带来的一切损失由乙方承担。</w:t>
      </w:r>
    </w:p>
    <w:p w14:paraId="07DA2AC3">
      <w:pPr>
        <w:adjustRightInd w:val="0"/>
        <w:snapToGrid w:val="0"/>
        <w:spacing w:line="560" w:lineRule="exact"/>
        <w:ind w:firstLine="560" w:firstLineChars="200"/>
        <w:rPr>
          <w:rFonts w:asciiTheme="minorEastAsia" w:hAnsiTheme="minorEastAsia" w:eastAsiaTheme="minorEastAsia"/>
          <w:sz w:val="28"/>
          <w:szCs w:val="28"/>
          <w:highlight w:val="none"/>
        </w:rPr>
      </w:pPr>
      <w:r>
        <w:rPr>
          <w:rFonts w:asciiTheme="minorEastAsia" w:hAnsiTheme="minorEastAsia" w:eastAsiaTheme="minorEastAsia"/>
          <w:sz w:val="28"/>
          <w:szCs w:val="28"/>
          <w:highlight w:val="none"/>
        </w:rPr>
        <w:t>4.检测期间，甲乙双方应及时共同记录</w:t>
      </w:r>
      <w:bookmarkStart w:id="1093" w:name="_Hlk129305981"/>
      <w:r>
        <w:rPr>
          <w:rFonts w:hint="eastAsia" w:asciiTheme="minorEastAsia" w:hAnsiTheme="minorEastAsia" w:eastAsiaTheme="minorEastAsia"/>
          <w:sz w:val="28"/>
          <w:szCs w:val="28"/>
          <w:highlight w:val="none"/>
        </w:rPr>
        <w:t>物资</w:t>
      </w:r>
      <w:bookmarkEnd w:id="1093"/>
      <w:r>
        <w:rPr>
          <w:rFonts w:hint="eastAsia" w:asciiTheme="minorEastAsia" w:hAnsiTheme="minorEastAsia" w:eastAsiaTheme="minorEastAsia"/>
          <w:sz w:val="28"/>
          <w:szCs w:val="28"/>
          <w:highlight w:val="none"/>
        </w:rPr>
        <w:t>的考核情况。对于未达到技术性能指标的，应如实记录原因及处理情况等。</w:t>
      </w:r>
    </w:p>
    <w:p w14:paraId="36D7EA41">
      <w:pPr>
        <w:adjustRightInd w:val="0"/>
        <w:snapToGrid w:val="0"/>
        <w:spacing w:line="560" w:lineRule="exact"/>
        <w:ind w:firstLine="560" w:firstLineChars="200"/>
        <w:rPr>
          <w:rFonts w:asciiTheme="minorEastAsia" w:hAnsiTheme="minorEastAsia" w:eastAsiaTheme="minorEastAsia"/>
          <w:sz w:val="28"/>
          <w:szCs w:val="28"/>
          <w:highlight w:val="none"/>
        </w:rPr>
      </w:pPr>
      <w:r>
        <w:rPr>
          <w:rFonts w:asciiTheme="minorEastAsia" w:hAnsiTheme="minorEastAsia" w:eastAsiaTheme="minorEastAsia"/>
          <w:sz w:val="28"/>
          <w:szCs w:val="28"/>
          <w:highlight w:val="none"/>
        </w:rPr>
        <w:t>5.</w:t>
      </w:r>
      <w:r>
        <w:rPr>
          <w:rFonts w:hint="eastAsia" w:asciiTheme="minorEastAsia" w:hAnsiTheme="minorEastAsia" w:eastAsiaTheme="minorEastAsia"/>
          <w:sz w:val="28"/>
          <w:szCs w:val="28"/>
          <w:highlight w:val="none"/>
        </w:rPr>
        <w:t>检测的其他要求：</w:t>
      </w:r>
      <w:r>
        <w:rPr>
          <w:rFonts w:asciiTheme="minorEastAsia" w:hAnsiTheme="minorEastAsia" w:eastAsiaTheme="minorEastAsia"/>
          <w:sz w:val="28"/>
          <w:szCs w:val="28"/>
          <w:highlight w:val="none"/>
          <w:u w:val="single"/>
        </w:rPr>
        <w:t xml:space="preserve">                     </w:t>
      </w:r>
      <w:r>
        <w:rPr>
          <w:rFonts w:hint="eastAsia" w:asciiTheme="minorEastAsia" w:hAnsiTheme="minorEastAsia" w:eastAsiaTheme="minorEastAsia"/>
          <w:sz w:val="28"/>
          <w:szCs w:val="28"/>
          <w:highlight w:val="none"/>
        </w:rPr>
        <w:t>。</w:t>
      </w:r>
    </w:p>
    <w:p w14:paraId="5171C6C6">
      <w:pPr>
        <w:adjustRightInd w:val="0"/>
        <w:snapToGrid w:val="0"/>
        <w:spacing w:line="560" w:lineRule="exact"/>
        <w:ind w:firstLine="560" w:firstLineChars="200"/>
        <w:rPr>
          <w:rFonts w:asciiTheme="minorEastAsia" w:hAnsiTheme="minorEastAsia" w:eastAsiaTheme="minorEastAsia"/>
          <w:sz w:val="28"/>
          <w:szCs w:val="28"/>
          <w:highlight w:val="none"/>
        </w:rPr>
      </w:pPr>
      <w:r>
        <w:rPr>
          <w:rFonts w:hint="eastAsia" w:asciiTheme="minorEastAsia" w:hAnsiTheme="minorEastAsia" w:eastAsiaTheme="minorEastAsia"/>
          <w:sz w:val="28"/>
          <w:szCs w:val="28"/>
          <w:highlight w:val="none"/>
        </w:rPr>
        <w:t>□（六）验收</w:t>
      </w:r>
    </w:p>
    <w:p w14:paraId="2F6384FB">
      <w:pPr>
        <w:adjustRightInd w:val="0"/>
        <w:snapToGrid w:val="0"/>
        <w:spacing w:line="560" w:lineRule="exact"/>
        <w:ind w:firstLine="560" w:firstLineChars="200"/>
        <w:rPr>
          <w:rFonts w:asciiTheme="minorEastAsia" w:hAnsiTheme="minorEastAsia" w:eastAsiaTheme="minorEastAsia"/>
          <w:sz w:val="28"/>
          <w:szCs w:val="28"/>
          <w:highlight w:val="none"/>
        </w:rPr>
      </w:pPr>
      <w:r>
        <w:rPr>
          <w:rFonts w:asciiTheme="minorEastAsia" w:hAnsiTheme="minorEastAsia" w:eastAsiaTheme="minorEastAsia"/>
          <w:sz w:val="28"/>
          <w:szCs w:val="28"/>
          <w:highlight w:val="none"/>
        </w:rPr>
        <w:t>1.符合下列情形，甲乙双方签署物资验收证书：</w:t>
      </w:r>
    </w:p>
    <w:p w14:paraId="3D1AE803">
      <w:pPr>
        <w:adjustRightInd w:val="0"/>
        <w:snapToGrid w:val="0"/>
        <w:spacing w:line="560" w:lineRule="exact"/>
        <w:ind w:firstLine="560" w:firstLineChars="200"/>
        <w:rPr>
          <w:rFonts w:asciiTheme="minorEastAsia" w:hAnsiTheme="minorEastAsia" w:eastAsiaTheme="minorEastAsia"/>
          <w:sz w:val="28"/>
          <w:szCs w:val="28"/>
          <w:highlight w:val="none"/>
        </w:rPr>
      </w:pPr>
      <w:r>
        <w:rPr>
          <w:rFonts w:hint="eastAsia" w:asciiTheme="minorEastAsia" w:hAnsiTheme="minorEastAsia" w:eastAsiaTheme="minorEastAsia"/>
          <w:sz w:val="28"/>
          <w:szCs w:val="28"/>
          <w:highlight w:val="none"/>
        </w:rPr>
        <w:t>（</w:t>
      </w:r>
      <w:r>
        <w:rPr>
          <w:rFonts w:asciiTheme="minorEastAsia" w:hAnsiTheme="minorEastAsia" w:eastAsiaTheme="minorEastAsia"/>
          <w:sz w:val="28"/>
          <w:szCs w:val="28"/>
          <w:highlight w:val="none"/>
        </w:rPr>
        <w:t>1）</w:t>
      </w:r>
      <w:bookmarkStart w:id="1094" w:name="_Hlk129334400"/>
      <w:r>
        <w:rPr>
          <w:rFonts w:hint="eastAsia" w:asciiTheme="minorEastAsia" w:hAnsiTheme="minorEastAsia" w:eastAsiaTheme="minorEastAsia"/>
          <w:sz w:val="28"/>
          <w:szCs w:val="28"/>
          <w:highlight w:val="none"/>
        </w:rPr>
        <w:t>物资</w:t>
      </w:r>
      <w:bookmarkEnd w:id="1094"/>
      <w:r>
        <w:rPr>
          <w:rFonts w:hint="eastAsia" w:asciiTheme="minorEastAsia" w:hAnsiTheme="minorEastAsia" w:eastAsiaTheme="minorEastAsia"/>
          <w:sz w:val="28"/>
          <w:szCs w:val="28"/>
          <w:highlight w:val="none"/>
        </w:rPr>
        <w:t>在检测中达到技术性能指标或第三方专业机构检验合格。</w:t>
      </w:r>
    </w:p>
    <w:p w14:paraId="775A0990">
      <w:pPr>
        <w:adjustRightInd w:val="0"/>
        <w:snapToGrid w:val="0"/>
        <w:spacing w:line="560" w:lineRule="exact"/>
        <w:ind w:firstLine="560" w:firstLineChars="200"/>
        <w:rPr>
          <w:rFonts w:asciiTheme="minorEastAsia" w:hAnsiTheme="minorEastAsia" w:eastAsiaTheme="minorEastAsia"/>
          <w:sz w:val="28"/>
          <w:szCs w:val="28"/>
          <w:highlight w:val="none"/>
        </w:rPr>
      </w:pPr>
      <w:bookmarkStart w:id="1095" w:name="_Hlk129307922"/>
      <w:r>
        <w:rPr>
          <w:rFonts w:hint="eastAsia" w:asciiTheme="minorEastAsia" w:hAnsiTheme="minorEastAsia" w:eastAsiaTheme="minorEastAsia"/>
          <w:sz w:val="28"/>
          <w:szCs w:val="28"/>
          <w:highlight w:val="none"/>
        </w:rPr>
        <w:t>（</w:t>
      </w:r>
      <w:r>
        <w:rPr>
          <w:rFonts w:asciiTheme="minorEastAsia" w:hAnsiTheme="minorEastAsia" w:eastAsiaTheme="minorEastAsia"/>
          <w:sz w:val="28"/>
          <w:szCs w:val="28"/>
          <w:highlight w:val="none"/>
        </w:rPr>
        <w:t>2）</w:t>
      </w:r>
      <w:bookmarkEnd w:id="1095"/>
      <w:r>
        <w:rPr>
          <w:rFonts w:hint="eastAsia" w:asciiTheme="minorEastAsia" w:hAnsiTheme="minorEastAsia" w:eastAsiaTheme="minorEastAsia"/>
          <w:sz w:val="28"/>
          <w:szCs w:val="28"/>
          <w:highlight w:val="none"/>
        </w:rPr>
        <w:t>乙方按照合同约定应承接的配套服务或伴随服务，经甲方确认已经完成。</w:t>
      </w:r>
    </w:p>
    <w:p w14:paraId="47576594">
      <w:pPr>
        <w:adjustRightInd w:val="0"/>
        <w:snapToGrid w:val="0"/>
        <w:spacing w:line="560" w:lineRule="exact"/>
        <w:ind w:firstLine="560" w:firstLineChars="200"/>
        <w:rPr>
          <w:rFonts w:asciiTheme="minorEastAsia" w:hAnsiTheme="minorEastAsia" w:eastAsiaTheme="minorEastAsia"/>
          <w:sz w:val="28"/>
          <w:szCs w:val="28"/>
          <w:highlight w:val="none"/>
        </w:rPr>
      </w:pPr>
      <w:r>
        <w:rPr>
          <w:rFonts w:asciiTheme="minorEastAsia" w:hAnsiTheme="minorEastAsia" w:eastAsiaTheme="minorEastAsia"/>
          <w:sz w:val="28"/>
          <w:szCs w:val="28"/>
          <w:highlight w:val="none"/>
        </w:rPr>
        <w:t>2.甲乙双方应在检测完成或收到第三</w:t>
      </w:r>
      <w:r>
        <w:rPr>
          <w:rFonts w:hint="eastAsia" w:asciiTheme="minorEastAsia" w:hAnsiTheme="minorEastAsia" w:eastAsiaTheme="minorEastAsia"/>
          <w:sz w:val="28"/>
          <w:szCs w:val="28"/>
          <w:highlight w:val="none"/>
        </w:rPr>
        <w:t>方专业机构检验报告后</w:t>
      </w:r>
      <w:r>
        <w:rPr>
          <w:rFonts w:asciiTheme="minorEastAsia" w:hAnsiTheme="minorEastAsia" w:eastAsiaTheme="minorEastAsia"/>
          <w:sz w:val="28"/>
          <w:szCs w:val="28"/>
          <w:highlight w:val="none"/>
        </w:rPr>
        <w:t>7日内签署物资验收证书一式二份，甲乙双方各持一份。验收日期为签署物资验收证书的日期。物资验收证书分</w:t>
      </w:r>
      <w:r>
        <w:rPr>
          <w:rFonts w:hint="eastAsia" w:asciiTheme="minorEastAsia" w:hAnsiTheme="minorEastAsia" w:eastAsiaTheme="minorEastAsia"/>
          <w:sz w:val="28"/>
          <w:szCs w:val="28"/>
          <w:highlight w:val="none"/>
        </w:rPr>
        <w:t>批次签署的，最后一批物资验收证书签署日期为验收日期。</w:t>
      </w:r>
    </w:p>
    <w:p w14:paraId="7F869A9E">
      <w:pPr>
        <w:adjustRightInd w:val="0"/>
        <w:snapToGrid w:val="0"/>
        <w:spacing w:line="560" w:lineRule="exact"/>
        <w:ind w:firstLine="560" w:firstLineChars="200"/>
        <w:rPr>
          <w:rFonts w:asciiTheme="minorEastAsia" w:hAnsiTheme="minorEastAsia" w:eastAsiaTheme="minorEastAsia"/>
          <w:sz w:val="28"/>
          <w:szCs w:val="28"/>
          <w:highlight w:val="none"/>
        </w:rPr>
      </w:pPr>
      <w:r>
        <w:rPr>
          <w:rFonts w:asciiTheme="minorEastAsia" w:hAnsiTheme="minorEastAsia" w:eastAsiaTheme="minorEastAsia"/>
          <w:sz w:val="28"/>
          <w:szCs w:val="28"/>
          <w:highlight w:val="none"/>
        </w:rPr>
        <w:t>3.物资验收合格后，乙方应向甲方办理物资交接手续，物资转入运行、</w:t>
      </w:r>
      <w:r>
        <w:rPr>
          <w:rFonts w:hint="eastAsia" w:asciiTheme="minorEastAsia" w:hAnsiTheme="minorEastAsia" w:eastAsiaTheme="minorEastAsia"/>
          <w:sz w:val="28"/>
          <w:szCs w:val="28"/>
          <w:highlight w:val="none"/>
        </w:rPr>
        <w:t>使用、维护阶段。</w:t>
      </w:r>
    </w:p>
    <w:p w14:paraId="17D497B3">
      <w:pPr>
        <w:adjustRightInd w:val="0"/>
        <w:snapToGrid w:val="0"/>
        <w:spacing w:line="560" w:lineRule="exact"/>
        <w:ind w:firstLine="560" w:firstLineChars="200"/>
        <w:rPr>
          <w:rFonts w:asciiTheme="minorEastAsia" w:hAnsiTheme="minorEastAsia" w:eastAsiaTheme="minorEastAsia"/>
          <w:sz w:val="28"/>
          <w:szCs w:val="28"/>
          <w:highlight w:val="none"/>
        </w:rPr>
      </w:pPr>
      <w:r>
        <w:rPr>
          <w:rFonts w:asciiTheme="minorEastAsia" w:hAnsiTheme="minorEastAsia" w:eastAsiaTheme="minorEastAsia"/>
          <w:sz w:val="28"/>
          <w:szCs w:val="28"/>
          <w:highlight w:val="none"/>
        </w:rPr>
        <w:t>4.</w:t>
      </w:r>
      <w:r>
        <w:rPr>
          <w:rFonts w:hint="eastAsia" w:asciiTheme="minorEastAsia" w:hAnsiTheme="minorEastAsia" w:eastAsiaTheme="minorEastAsia"/>
          <w:sz w:val="28"/>
          <w:szCs w:val="28"/>
          <w:highlight w:val="none"/>
        </w:rPr>
        <w:t>验收的其他要求：</w:t>
      </w:r>
      <w:r>
        <w:rPr>
          <w:rFonts w:asciiTheme="minorEastAsia" w:hAnsiTheme="minorEastAsia" w:eastAsiaTheme="minorEastAsia"/>
          <w:sz w:val="28"/>
          <w:szCs w:val="28"/>
          <w:highlight w:val="none"/>
          <w:u w:val="single"/>
        </w:rPr>
        <w:t xml:space="preserve">                     </w:t>
      </w:r>
      <w:r>
        <w:rPr>
          <w:rFonts w:hint="eastAsia" w:asciiTheme="minorEastAsia" w:hAnsiTheme="minorEastAsia" w:eastAsiaTheme="minorEastAsia"/>
          <w:sz w:val="28"/>
          <w:szCs w:val="28"/>
          <w:highlight w:val="none"/>
        </w:rPr>
        <w:t>。</w:t>
      </w:r>
    </w:p>
    <w:p w14:paraId="71625907">
      <w:pPr>
        <w:pStyle w:val="5"/>
        <w:spacing w:before="0" w:after="0" w:line="560" w:lineRule="exact"/>
        <w:ind w:firstLine="560" w:firstLineChars="200"/>
        <w:rPr>
          <w:rFonts w:ascii="黑体" w:hAnsi="黑体" w:cs="黑体"/>
          <w:b w:val="0"/>
          <w:sz w:val="28"/>
          <w:szCs w:val="28"/>
          <w:highlight w:val="none"/>
        </w:rPr>
      </w:pPr>
      <w:bookmarkStart w:id="1096" w:name="_Toc16479"/>
      <w:bookmarkStart w:id="1097" w:name="_Toc6093"/>
      <w:bookmarkStart w:id="1098" w:name="_Toc12392"/>
      <w:bookmarkStart w:id="1099" w:name="_Toc11426"/>
      <w:bookmarkStart w:id="1100" w:name="_Toc150421255"/>
      <w:bookmarkStart w:id="1101" w:name="_Toc30741"/>
      <w:bookmarkStart w:id="1102" w:name="_Toc30390"/>
      <w:r>
        <w:rPr>
          <w:rFonts w:hint="eastAsia" w:ascii="黑体" w:hAnsi="黑体" w:cs="黑体"/>
          <w:b w:val="0"/>
          <w:sz w:val="28"/>
          <w:szCs w:val="28"/>
          <w:highlight w:val="none"/>
        </w:rPr>
        <w:t>六、保密条款</w:t>
      </w:r>
      <w:bookmarkEnd w:id="1096"/>
      <w:bookmarkEnd w:id="1097"/>
      <w:bookmarkEnd w:id="1098"/>
      <w:bookmarkEnd w:id="1099"/>
      <w:bookmarkEnd w:id="1100"/>
      <w:bookmarkEnd w:id="1101"/>
      <w:bookmarkEnd w:id="1102"/>
    </w:p>
    <w:p w14:paraId="6FDF5F09">
      <w:pPr>
        <w:spacing w:line="560" w:lineRule="exact"/>
        <w:ind w:firstLine="560" w:firstLineChars="200"/>
        <w:rPr>
          <w:rFonts w:asciiTheme="minorEastAsia" w:hAnsiTheme="minorEastAsia" w:eastAsiaTheme="minorEastAsia"/>
          <w:bCs/>
          <w:sz w:val="28"/>
          <w:szCs w:val="28"/>
          <w:highlight w:val="none"/>
        </w:rPr>
      </w:pPr>
      <w:r>
        <w:rPr>
          <w:rFonts w:hint="eastAsia" w:asciiTheme="minorEastAsia" w:hAnsiTheme="minorEastAsia" w:eastAsiaTheme="minorEastAsia"/>
          <w:bCs/>
          <w:sz w:val="28"/>
          <w:szCs w:val="28"/>
          <w:highlight w:val="none"/>
        </w:rPr>
        <w:t>涉密项目，乙方应当承担保密义务。如违反以下条款，乙方承担一切法律责任，赔偿因违反承诺造成的损失，接受甲方按照国家和军队有关规定作出的处罚。参与本项目及其合同订立履行的乙方所属员工发生失密泄密的，由乙方承担连带责任：</w:t>
      </w:r>
    </w:p>
    <w:p w14:paraId="6755475D">
      <w:pPr>
        <w:spacing w:line="560" w:lineRule="exact"/>
        <w:ind w:firstLine="560" w:firstLineChars="200"/>
        <w:rPr>
          <w:rFonts w:asciiTheme="minorEastAsia" w:hAnsiTheme="minorEastAsia" w:eastAsiaTheme="minorEastAsia"/>
          <w:bCs/>
          <w:sz w:val="28"/>
          <w:szCs w:val="28"/>
          <w:highlight w:val="none"/>
        </w:rPr>
      </w:pPr>
      <w:r>
        <w:rPr>
          <w:rFonts w:hint="eastAsia" w:asciiTheme="minorEastAsia" w:hAnsiTheme="minorEastAsia" w:eastAsiaTheme="minorEastAsia"/>
          <w:bCs/>
          <w:sz w:val="28"/>
          <w:szCs w:val="28"/>
          <w:highlight w:val="none"/>
        </w:rPr>
        <w:t>（一）严格遵守国家和军队保密法规制度要求，制定并严格落实保密管理制度，设置保密部门，配备保密人员，开展保密培训，严格约束所属员工行为，接受和配合甲方或者军方采购管理部门、采购机构组织开展的保密指导和监督检查。</w:t>
      </w:r>
    </w:p>
    <w:p w14:paraId="522DDB81">
      <w:pPr>
        <w:spacing w:line="560" w:lineRule="exact"/>
        <w:ind w:firstLine="560" w:firstLineChars="200"/>
        <w:rPr>
          <w:rFonts w:asciiTheme="minorEastAsia" w:hAnsiTheme="minorEastAsia" w:eastAsiaTheme="minorEastAsia"/>
          <w:bCs/>
          <w:sz w:val="28"/>
          <w:szCs w:val="28"/>
          <w:highlight w:val="none"/>
        </w:rPr>
      </w:pPr>
      <w:r>
        <w:rPr>
          <w:rFonts w:hint="eastAsia" w:asciiTheme="minorEastAsia" w:hAnsiTheme="minorEastAsia" w:eastAsiaTheme="minorEastAsia"/>
          <w:bCs/>
          <w:sz w:val="28"/>
          <w:szCs w:val="28"/>
          <w:highlight w:val="none"/>
        </w:rPr>
        <w:t>（二）未经甲方或者军方有权单位许可，不以摘抄、复制、告知、公布、出版、传递、转让或者以其他任何方式使任何第三方组织和人员知悉本采购项目及其合同订立履行保密信息。甲方提供的或者参与本项目及其合同订立履行获悉的所有信息均视为保密信息，甲方或者军方有权单位明确表示无需保密的信息除外。</w:t>
      </w:r>
    </w:p>
    <w:p w14:paraId="41F73BAE">
      <w:pPr>
        <w:spacing w:line="560" w:lineRule="exact"/>
        <w:ind w:firstLine="560" w:firstLineChars="200"/>
        <w:rPr>
          <w:rFonts w:asciiTheme="minorEastAsia" w:hAnsiTheme="minorEastAsia" w:eastAsiaTheme="minorEastAsia"/>
          <w:bCs/>
          <w:sz w:val="28"/>
          <w:szCs w:val="28"/>
          <w:highlight w:val="none"/>
        </w:rPr>
      </w:pPr>
      <w:r>
        <w:rPr>
          <w:rFonts w:hint="eastAsia" w:asciiTheme="minorEastAsia" w:hAnsiTheme="minorEastAsia" w:eastAsiaTheme="minorEastAsia"/>
          <w:bCs/>
          <w:sz w:val="28"/>
          <w:szCs w:val="28"/>
          <w:highlight w:val="none"/>
        </w:rPr>
        <w:t>（三）本采购项目及其合同订立履行保密信息，包括以手写、打印、软件、磁盘、光盘、胶片、图片、音视频或者其他可读取方式记载的数据信息和文档资料，实行专人管理、专室专柜存放、定期审核销毁，不擅自复制留存。</w:t>
      </w:r>
    </w:p>
    <w:p w14:paraId="631AE22D">
      <w:pPr>
        <w:spacing w:line="560" w:lineRule="exact"/>
        <w:ind w:firstLine="560" w:firstLineChars="200"/>
        <w:rPr>
          <w:rFonts w:asciiTheme="minorEastAsia" w:hAnsiTheme="minorEastAsia" w:eastAsiaTheme="minorEastAsia"/>
          <w:bCs/>
          <w:sz w:val="28"/>
          <w:szCs w:val="28"/>
          <w:highlight w:val="none"/>
        </w:rPr>
      </w:pPr>
      <w:r>
        <w:rPr>
          <w:rFonts w:hint="eastAsia" w:asciiTheme="minorEastAsia" w:hAnsiTheme="minorEastAsia" w:eastAsiaTheme="minorEastAsia"/>
          <w:bCs/>
          <w:sz w:val="28"/>
          <w:szCs w:val="28"/>
          <w:highlight w:val="none"/>
        </w:rPr>
        <w:t>（四）不在联接互联网计算机中存储、处理、传递，不通过普通电话、传真、快递等非保密渠道传递本采购项目及其合同订立履行保密信息。</w:t>
      </w:r>
    </w:p>
    <w:p w14:paraId="1E218F05">
      <w:pPr>
        <w:spacing w:line="560" w:lineRule="exact"/>
        <w:ind w:firstLine="560" w:firstLineChars="200"/>
        <w:rPr>
          <w:rFonts w:asciiTheme="minorEastAsia" w:hAnsiTheme="minorEastAsia" w:eastAsiaTheme="minorEastAsia"/>
          <w:highlight w:val="none"/>
        </w:rPr>
      </w:pPr>
      <w:r>
        <w:rPr>
          <w:rFonts w:hint="eastAsia" w:asciiTheme="minorEastAsia" w:hAnsiTheme="minorEastAsia" w:eastAsiaTheme="minorEastAsia"/>
          <w:bCs/>
          <w:sz w:val="28"/>
          <w:szCs w:val="28"/>
          <w:highlight w:val="none"/>
        </w:rPr>
        <w:t>（五）不将本采购项目合同订立履行保密信息作为企业业绩进行公开宣传。本合同履行完毕后，仍继续承担与合同履行期间相同的保密义务。在签订本合同前，乙方已知悉合同履行过程以及合同履行完毕后需要承担的保密义务及其成本，无须甲方另外支付保密相关费用。</w:t>
      </w:r>
    </w:p>
    <w:p w14:paraId="636AE3EB">
      <w:pPr>
        <w:pStyle w:val="5"/>
        <w:spacing w:before="0" w:after="0" w:line="560" w:lineRule="exact"/>
        <w:ind w:firstLine="560" w:firstLineChars="200"/>
        <w:rPr>
          <w:rFonts w:ascii="黑体" w:hAnsi="黑体" w:cs="黑体"/>
          <w:b w:val="0"/>
          <w:sz w:val="28"/>
          <w:szCs w:val="28"/>
          <w:highlight w:val="none"/>
        </w:rPr>
      </w:pPr>
      <w:bookmarkStart w:id="1103" w:name="_Toc8325"/>
      <w:bookmarkStart w:id="1104" w:name="_Toc8724"/>
      <w:bookmarkStart w:id="1105" w:name="_Toc31093"/>
      <w:bookmarkStart w:id="1106" w:name="_Toc22942"/>
      <w:bookmarkStart w:id="1107" w:name="_Toc7543"/>
      <w:bookmarkStart w:id="1108" w:name="_Toc24754"/>
      <w:bookmarkStart w:id="1109" w:name="_Toc150421256"/>
      <w:r>
        <w:rPr>
          <w:rFonts w:hint="eastAsia" w:ascii="黑体" w:hAnsi="黑体" w:cs="黑体"/>
          <w:b w:val="0"/>
          <w:sz w:val="28"/>
          <w:szCs w:val="28"/>
          <w:highlight w:val="none"/>
        </w:rPr>
        <w:t>七、质量保证和期限</w:t>
      </w:r>
      <w:bookmarkEnd w:id="1103"/>
      <w:bookmarkEnd w:id="1104"/>
      <w:bookmarkEnd w:id="1105"/>
      <w:bookmarkEnd w:id="1106"/>
      <w:bookmarkEnd w:id="1107"/>
      <w:bookmarkEnd w:id="1108"/>
      <w:bookmarkEnd w:id="1109"/>
    </w:p>
    <w:p w14:paraId="28A8C399">
      <w:pPr>
        <w:adjustRightInd w:val="0"/>
        <w:snapToGrid w:val="0"/>
        <w:spacing w:line="560" w:lineRule="exact"/>
        <w:ind w:firstLine="560" w:firstLineChars="200"/>
        <w:rPr>
          <w:rFonts w:asciiTheme="minorEastAsia" w:hAnsiTheme="minorEastAsia" w:eastAsiaTheme="minorEastAsia"/>
          <w:bCs/>
          <w:sz w:val="28"/>
          <w:szCs w:val="28"/>
          <w:highlight w:val="none"/>
        </w:rPr>
      </w:pPr>
      <w:r>
        <w:rPr>
          <w:rFonts w:hint="eastAsia" w:asciiTheme="minorEastAsia" w:hAnsiTheme="minorEastAsia" w:eastAsiaTheme="minorEastAsia"/>
          <w:bCs/>
          <w:sz w:val="28"/>
          <w:szCs w:val="28"/>
          <w:highlight w:val="none"/>
        </w:rPr>
        <w:t>（一）自</w:t>
      </w:r>
      <w:bookmarkStart w:id="1110" w:name="_Hlk129331333"/>
      <w:r>
        <w:rPr>
          <w:rFonts w:hint="eastAsia" w:asciiTheme="minorEastAsia" w:hAnsiTheme="minorEastAsia" w:eastAsiaTheme="minorEastAsia"/>
          <w:bCs/>
          <w:sz w:val="28"/>
          <w:szCs w:val="28"/>
          <w:highlight w:val="none"/>
        </w:rPr>
        <w:t>物资</w:t>
      </w:r>
      <w:bookmarkEnd w:id="1110"/>
      <w:r>
        <w:rPr>
          <w:rFonts w:hint="eastAsia" w:asciiTheme="minorEastAsia" w:hAnsiTheme="minorEastAsia" w:eastAsiaTheme="minorEastAsia"/>
          <w:bCs/>
          <w:sz w:val="28"/>
          <w:szCs w:val="28"/>
          <w:highlight w:val="none"/>
        </w:rPr>
        <w:t>验收完毕之日起，物资免费质保期为</w:t>
      </w:r>
      <w:r>
        <w:rPr>
          <w:rFonts w:asciiTheme="minorEastAsia" w:hAnsiTheme="minorEastAsia" w:eastAsiaTheme="minorEastAsia"/>
          <w:bCs/>
          <w:sz w:val="28"/>
          <w:szCs w:val="28"/>
          <w:highlight w:val="none"/>
          <w:u w:val="single"/>
        </w:rPr>
        <w:t xml:space="preserve">    </w:t>
      </w:r>
      <w:r>
        <w:rPr>
          <w:rFonts w:hint="eastAsia" w:asciiTheme="minorEastAsia" w:hAnsiTheme="minorEastAsia" w:eastAsiaTheme="minorEastAsia"/>
          <w:bCs/>
          <w:sz w:val="28"/>
          <w:szCs w:val="28"/>
          <w:highlight w:val="none"/>
        </w:rPr>
        <w:t>个月。在</w:t>
      </w:r>
      <w:bookmarkStart w:id="1111" w:name="_Hlk129331519"/>
      <w:r>
        <w:rPr>
          <w:rFonts w:hint="eastAsia" w:asciiTheme="minorEastAsia" w:hAnsiTheme="minorEastAsia" w:eastAsiaTheme="minorEastAsia"/>
          <w:bCs/>
          <w:sz w:val="28"/>
          <w:szCs w:val="28"/>
          <w:highlight w:val="none"/>
        </w:rPr>
        <w:t>免费质保期</w:t>
      </w:r>
      <w:bookmarkEnd w:id="1111"/>
      <w:r>
        <w:rPr>
          <w:rFonts w:hint="eastAsia" w:asciiTheme="minorEastAsia" w:hAnsiTheme="minorEastAsia" w:eastAsiaTheme="minorEastAsia"/>
          <w:bCs/>
          <w:sz w:val="28"/>
          <w:szCs w:val="28"/>
          <w:highlight w:val="none"/>
        </w:rPr>
        <w:t>内，出现物资质量问题，甲方提出后，乙方应当在</w:t>
      </w:r>
      <w:r>
        <w:rPr>
          <w:rFonts w:asciiTheme="minorEastAsia" w:hAnsiTheme="minorEastAsia" w:eastAsiaTheme="minorEastAsia"/>
          <w:bCs/>
          <w:sz w:val="28"/>
          <w:szCs w:val="28"/>
          <w:highlight w:val="none"/>
          <w:u w:val="single"/>
        </w:rPr>
        <w:t xml:space="preserve">   </w:t>
      </w:r>
      <w:r>
        <w:rPr>
          <w:rFonts w:hint="eastAsia" w:asciiTheme="minorEastAsia" w:hAnsiTheme="minorEastAsia" w:eastAsiaTheme="minorEastAsia"/>
          <w:bCs/>
          <w:sz w:val="28"/>
          <w:szCs w:val="28"/>
          <w:highlight w:val="none"/>
        </w:rPr>
        <w:t>小时内响应，</w:t>
      </w:r>
      <w:r>
        <w:rPr>
          <w:rFonts w:asciiTheme="minorEastAsia" w:hAnsiTheme="minorEastAsia" w:eastAsiaTheme="minorEastAsia"/>
          <w:bCs/>
          <w:sz w:val="28"/>
          <w:szCs w:val="28"/>
          <w:highlight w:val="none"/>
          <w:u w:val="single"/>
        </w:rPr>
        <w:t xml:space="preserve">    </w:t>
      </w:r>
      <w:r>
        <w:rPr>
          <w:rFonts w:hint="eastAsia" w:asciiTheme="minorEastAsia" w:hAnsiTheme="minorEastAsia" w:eastAsiaTheme="minorEastAsia"/>
          <w:bCs/>
          <w:sz w:val="28"/>
          <w:szCs w:val="28"/>
          <w:highlight w:val="none"/>
        </w:rPr>
        <w:t>小时内到达现场提供相关的维修、更换等服务。</w:t>
      </w:r>
    </w:p>
    <w:p w14:paraId="5111D7CF">
      <w:pPr>
        <w:spacing w:line="560" w:lineRule="exact"/>
        <w:ind w:firstLine="560" w:firstLineChars="200"/>
        <w:rPr>
          <w:rFonts w:asciiTheme="minorEastAsia" w:hAnsiTheme="minorEastAsia" w:eastAsiaTheme="minorEastAsia"/>
          <w:bCs/>
          <w:sz w:val="28"/>
          <w:szCs w:val="28"/>
          <w:highlight w:val="none"/>
        </w:rPr>
      </w:pPr>
      <w:r>
        <w:rPr>
          <w:rFonts w:hint="eastAsia" w:asciiTheme="minorEastAsia" w:hAnsiTheme="minorEastAsia" w:eastAsiaTheme="minorEastAsia"/>
          <w:bCs/>
          <w:sz w:val="28"/>
          <w:szCs w:val="28"/>
          <w:highlight w:val="none"/>
        </w:rPr>
        <w:t>（二）在免费质保期内，乙方按照有关法律、法规和合同约定，承担物资保修责任。</w:t>
      </w:r>
    </w:p>
    <w:p w14:paraId="7217129B">
      <w:pPr>
        <w:spacing w:line="560" w:lineRule="exact"/>
        <w:ind w:firstLine="560" w:firstLineChars="200"/>
        <w:rPr>
          <w:rFonts w:asciiTheme="minorEastAsia" w:hAnsiTheme="minorEastAsia" w:eastAsiaTheme="minorEastAsia"/>
          <w:bCs/>
          <w:sz w:val="28"/>
          <w:szCs w:val="28"/>
          <w:highlight w:val="none"/>
        </w:rPr>
      </w:pPr>
      <w:r>
        <w:rPr>
          <w:rFonts w:hint="eastAsia" w:asciiTheme="minorEastAsia" w:hAnsiTheme="minorEastAsia" w:eastAsiaTheme="minorEastAsia"/>
          <w:bCs/>
          <w:sz w:val="28"/>
          <w:szCs w:val="28"/>
          <w:highlight w:val="none"/>
        </w:rPr>
        <w:t>（三）乙方不能按约定期限派人保修的，甲方在技术允许的范围内自行修理，费用由乙方承担。</w:t>
      </w:r>
    </w:p>
    <w:p w14:paraId="291CE7DF">
      <w:pPr>
        <w:spacing w:line="560" w:lineRule="exact"/>
        <w:ind w:firstLine="560" w:firstLineChars="200"/>
        <w:rPr>
          <w:rFonts w:asciiTheme="minorEastAsia" w:hAnsiTheme="minorEastAsia" w:eastAsiaTheme="minorEastAsia"/>
          <w:highlight w:val="none"/>
        </w:rPr>
      </w:pPr>
      <w:bookmarkStart w:id="1112" w:name="_Hlk129333728"/>
      <w:r>
        <w:rPr>
          <w:rFonts w:hint="eastAsia" w:asciiTheme="minorEastAsia" w:hAnsiTheme="minorEastAsia" w:eastAsiaTheme="minorEastAsia"/>
          <w:bCs/>
          <w:sz w:val="28"/>
          <w:szCs w:val="28"/>
          <w:highlight w:val="none"/>
        </w:rPr>
        <w:t>□</w:t>
      </w:r>
      <w:bookmarkEnd w:id="1112"/>
      <w:r>
        <w:rPr>
          <w:rFonts w:hint="eastAsia" w:asciiTheme="minorEastAsia" w:hAnsiTheme="minorEastAsia" w:eastAsiaTheme="minorEastAsia"/>
          <w:bCs/>
          <w:sz w:val="28"/>
          <w:szCs w:val="28"/>
          <w:highlight w:val="none"/>
        </w:rPr>
        <w:t>（四）在</w:t>
      </w:r>
      <w:bookmarkStart w:id="1113" w:name="_Hlk129333864"/>
      <w:r>
        <w:rPr>
          <w:rFonts w:hint="eastAsia" w:asciiTheme="minorEastAsia" w:hAnsiTheme="minorEastAsia" w:eastAsiaTheme="minorEastAsia"/>
          <w:bCs/>
          <w:sz w:val="28"/>
          <w:szCs w:val="28"/>
          <w:highlight w:val="none"/>
        </w:rPr>
        <w:t>物资</w:t>
      </w:r>
      <w:bookmarkEnd w:id="1113"/>
      <w:r>
        <w:rPr>
          <w:rFonts w:hint="eastAsia" w:asciiTheme="minorEastAsia" w:hAnsiTheme="minorEastAsia" w:eastAsiaTheme="minorEastAsia"/>
          <w:bCs/>
          <w:sz w:val="28"/>
          <w:szCs w:val="28"/>
          <w:highlight w:val="none"/>
        </w:rPr>
        <w:t>全生命周期内，乙方提供维护保障。在免费质保期后，乙方继续提供技术支持服务和系统软件升级换代，维修配件的价格应当以不高于其报价文件的价格向甲方供应。</w:t>
      </w:r>
    </w:p>
    <w:p w14:paraId="2702E6CC">
      <w:pPr>
        <w:pStyle w:val="5"/>
        <w:spacing w:before="0" w:after="0" w:line="560" w:lineRule="exact"/>
        <w:ind w:firstLine="560" w:firstLineChars="200"/>
        <w:rPr>
          <w:rFonts w:ascii="黑体" w:hAnsi="黑体" w:cs="黑体"/>
          <w:b w:val="0"/>
          <w:sz w:val="28"/>
          <w:szCs w:val="28"/>
          <w:highlight w:val="none"/>
        </w:rPr>
      </w:pPr>
      <w:bookmarkStart w:id="1114" w:name="_Hlk129334835"/>
      <w:bookmarkStart w:id="1115" w:name="_Toc152058300"/>
      <w:bookmarkStart w:id="1116" w:name="_Toc16648"/>
      <w:bookmarkStart w:id="1117" w:name="_Toc150421257"/>
      <w:bookmarkStart w:id="1118" w:name="_Toc27504"/>
      <w:bookmarkStart w:id="1119" w:name="_Toc150421259"/>
      <w:bookmarkStart w:id="1120" w:name="_Toc1758"/>
      <w:bookmarkStart w:id="1121" w:name="_Toc32231"/>
      <w:bookmarkStart w:id="1122" w:name="_Toc12046"/>
      <w:bookmarkStart w:id="1123" w:name="_Toc12039"/>
      <w:r>
        <w:rPr>
          <w:rFonts w:hint="eastAsia" w:ascii="黑体" w:hAnsi="黑体" w:cs="黑体"/>
          <w:b w:val="0"/>
          <w:sz w:val="28"/>
          <w:szCs w:val="28"/>
          <w:highlight w:val="none"/>
        </w:rPr>
        <w:t>□</w:t>
      </w:r>
      <w:bookmarkEnd w:id="1114"/>
      <w:r>
        <w:rPr>
          <w:rFonts w:hint="eastAsia" w:ascii="黑体" w:hAnsi="黑体" w:cs="黑体"/>
          <w:b w:val="0"/>
          <w:sz w:val="28"/>
          <w:szCs w:val="28"/>
          <w:highlight w:val="none"/>
        </w:rPr>
        <w:t>八、履约保证金</w:t>
      </w:r>
      <w:bookmarkEnd w:id="1115"/>
      <w:bookmarkEnd w:id="1116"/>
      <w:bookmarkEnd w:id="1117"/>
      <w:bookmarkEnd w:id="1118"/>
    </w:p>
    <w:p w14:paraId="6F5FC3A4">
      <w:pPr>
        <w:spacing w:line="560" w:lineRule="exact"/>
        <w:ind w:firstLine="560" w:firstLineChars="200"/>
        <w:rPr>
          <w:rFonts w:asciiTheme="minorEastAsia" w:hAnsiTheme="minorEastAsia" w:eastAsiaTheme="minorEastAsia"/>
          <w:bCs/>
          <w:sz w:val="28"/>
          <w:szCs w:val="28"/>
          <w:highlight w:val="none"/>
        </w:rPr>
      </w:pPr>
      <w:r>
        <w:rPr>
          <w:rFonts w:hint="eastAsia" w:asciiTheme="minorEastAsia" w:hAnsiTheme="minorEastAsia" w:eastAsiaTheme="minorEastAsia"/>
          <w:bCs/>
          <w:sz w:val="28"/>
          <w:szCs w:val="28"/>
          <w:highlight w:val="none"/>
        </w:rPr>
        <w:t>（一）本合同履约保证金为合同金额的</w:t>
      </w:r>
      <w:r>
        <w:rPr>
          <w:rFonts w:asciiTheme="minorEastAsia" w:hAnsiTheme="minorEastAsia" w:eastAsiaTheme="minorEastAsia"/>
          <w:bCs/>
          <w:sz w:val="28"/>
          <w:szCs w:val="28"/>
          <w:highlight w:val="none"/>
          <w:u w:val="single"/>
        </w:rPr>
        <w:t xml:space="preserve">     </w:t>
      </w:r>
      <w:r>
        <w:rPr>
          <w:rFonts w:asciiTheme="minorEastAsia" w:hAnsiTheme="minorEastAsia" w:eastAsiaTheme="minorEastAsia"/>
          <w:bCs/>
          <w:sz w:val="28"/>
          <w:szCs w:val="28"/>
          <w:highlight w:val="none"/>
        </w:rPr>
        <w:t>%</w:t>
      </w:r>
      <w:r>
        <w:rPr>
          <w:rFonts w:hint="eastAsia" w:ascii="楷体" w:hAnsi="楷体" w:eastAsia="楷体"/>
          <w:bCs/>
          <w:iCs/>
          <w:sz w:val="28"/>
          <w:szCs w:val="28"/>
          <w:highlight w:val="none"/>
        </w:rPr>
        <w:t>（不超过</w:t>
      </w:r>
      <w:r>
        <w:rPr>
          <w:rFonts w:ascii="楷体" w:hAnsi="楷体" w:eastAsia="楷体"/>
          <w:bCs/>
          <w:iCs/>
          <w:sz w:val="28"/>
          <w:szCs w:val="28"/>
          <w:highlight w:val="none"/>
        </w:rPr>
        <w:t>10%）</w:t>
      </w:r>
      <w:r>
        <w:rPr>
          <w:rFonts w:hint="eastAsia" w:asciiTheme="minorEastAsia" w:hAnsiTheme="minorEastAsia" w:eastAsiaTheme="minorEastAsia"/>
          <w:bCs/>
          <w:sz w:val="28"/>
          <w:szCs w:val="28"/>
          <w:highlight w:val="none"/>
        </w:rPr>
        <w:t>，即</w:t>
      </w:r>
      <w:r>
        <w:rPr>
          <w:rFonts w:asciiTheme="minorEastAsia" w:hAnsiTheme="minorEastAsia" w:eastAsiaTheme="minorEastAsia"/>
          <w:bCs/>
          <w:sz w:val="28"/>
          <w:szCs w:val="28"/>
          <w:highlight w:val="none"/>
          <w:u w:val="single"/>
        </w:rPr>
        <w:t xml:space="preserve">         </w:t>
      </w:r>
      <w:r>
        <w:rPr>
          <w:rFonts w:hint="eastAsia" w:asciiTheme="minorEastAsia" w:hAnsiTheme="minorEastAsia" w:eastAsiaTheme="minorEastAsia"/>
          <w:bCs/>
          <w:sz w:val="28"/>
          <w:szCs w:val="28"/>
          <w:highlight w:val="none"/>
        </w:rPr>
        <w:t>元整（小写</w:t>
      </w:r>
      <w:r>
        <w:rPr>
          <w:rFonts w:cs="Calibri" w:asciiTheme="minorEastAsia" w:hAnsiTheme="minorEastAsia" w:eastAsiaTheme="minorEastAsia"/>
          <w:bCs/>
          <w:spacing w:val="-4"/>
          <w:sz w:val="28"/>
          <w:szCs w:val="28"/>
          <w:highlight w:val="none"/>
        </w:rPr>
        <w:t>¥</w:t>
      </w:r>
      <w:r>
        <w:rPr>
          <w:rFonts w:asciiTheme="minorEastAsia" w:hAnsiTheme="minorEastAsia" w:eastAsiaTheme="minorEastAsia"/>
          <w:bCs/>
          <w:sz w:val="28"/>
          <w:szCs w:val="28"/>
          <w:highlight w:val="none"/>
          <w:u w:val="single"/>
        </w:rPr>
        <w:t xml:space="preserve">       </w:t>
      </w:r>
      <w:r>
        <w:rPr>
          <w:rFonts w:hint="eastAsia" w:asciiTheme="minorEastAsia" w:hAnsiTheme="minorEastAsia" w:eastAsiaTheme="minorEastAsia"/>
          <w:bCs/>
          <w:sz w:val="28"/>
          <w:szCs w:val="28"/>
          <w:highlight w:val="none"/>
        </w:rPr>
        <w:t>）。</w:t>
      </w:r>
    </w:p>
    <w:p w14:paraId="67B052DB">
      <w:pPr>
        <w:spacing w:line="560" w:lineRule="exact"/>
        <w:ind w:firstLine="560" w:firstLineChars="200"/>
        <w:rPr>
          <w:rFonts w:asciiTheme="minorEastAsia" w:hAnsiTheme="minorEastAsia" w:eastAsiaTheme="minorEastAsia"/>
          <w:bCs/>
          <w:sz w:val="28"/>
          <w:szCs w:val="28"/>
          <w:highlight w:val="none"/>
        </w:rPr>
      </w:pPr>
      <w:r>
        <w:rPr>
          <w:rFonts w:hint="eastAsia" w:asciiTheme="minorEastAsia" w:hAnsiTheme="minorEastAsia" w:eastAsiaTheme="minorEastAsia"/>
          <w:bCs/>
          <w:sz w:val="28"/>
          <w:szCs w:val="28"/>
          <w:highlight w:val="none"/>
        </w:rPr>
        <w:t>（二）</w:t>
      </w:r>
      <w:r>
        <w:rPr>
          <w:rFonts w:hint="eastAsia" w:asciiTheme="minorEastAsia" w:hAnsiTheme="minorEastAsia" w:eastAsiaTheme="minorEastAsia"/>
          <w:sz w:val="28"/>
          <w:szCs w:val="28"/>
          <w:highlight w:val="none"/>
        </w:rPr>
        <w:t>乙方若未按时交付物资，或物资履约验收不合格，甲方终止合同的，</w:t>
      </w:r>
      <w:r>
        <w:rPr>
          <w:rFonts w:hint="eastAsia" w:asciiTheme="minorEastAsia" w:hAnsiTheme="minorEastAsia" w:eastAsiaTheme="minorEastAsia"/>
          <w:bCs/>
          <w:sz w:val="28"/>
          <w:szCs w:val="28"/>
          <w:highlight w:val="none"/>
        </w:rPr>
        <w:t>履约保证金将被</w:t>
      </w:r>
      <w:r>
        <w:rPr>
          <w:rFonts w:hint="eastAsia" w:asciiTheme="minorEastAsia" w:hAnsiTheme="minorEastAsia" w:eastAsiaTheme="minorEastAsia"/>
          <w:sz w:val="28"/>
          <w:szCs w:val="28"/>
          <w:highlight w:val="none"/>
        </w:rPr>
        <w:t>甲方</w:t>
      </w:r>
      <w:r>
        <w:rPr>
          <w:rFonts w:hint="eastAsia" w:asciiTheme="minorEastAsia" w:hAnsiTheme="minorEastAsia" w:eastAsiaTheme="minorEastAsia"/>
          <w:bCs/>
          <w:sz w:val="28"/>
          <w:szCs w:val="28"/>
          <w:highlight w:val="none"/>
        </w:rPr>
        <w:t>没收。</w:t>
      </w:r>
    </w:p>
    <w:p w14:paraId="2A93E66F">
      <w:pPr>
        <w:spacing w:line="560" w:lineRule="exact"/>
        <w:ind w:firstLine="560" w:firstLineChars="200"/>
        <w:rPr>
          <w:rFonts w:asciiTheme="minorEastAsia" w:hAnsiTheme="minorEastAsia" w:eastAsiaTheme="minorEastAsia"/>
          <w:bCs/>
          <w:sz w:val="28"/>
          <w:szCs w:val="28"/>
          <w:highlight w:val="none"/>
        </w:rPr>
      </w:pPr>
      <w:r>
        <w:rPr>
          <w:rFonts w:hint="eastAsia" w:asciiTheme="minorEastAsia" w:hAnsiTheme="minorEastAsia" w:eastAsiaTheme="minorEastAsia"/>
          <w:bCs/>
          <w:sz w:val="28"/>
          <w:szCs w:val="28"/>
          <w:highlight w:val="none"/>
        </w:rPr>
        <w:t>（三）甲方可以在合同最终支付结算时，一并办理履约保证金返还。</w:t>
      </w:r>
    </w:p>
    <w:p w14:paraId="13870887">
      <w:pPr>
        <w:spacing w:line="560" w:lineRule="exact"/>
        <w:ind w:firstLine="560" w:firstLineChars="200"/>
        <w:rPr>
          <w:rFonts w:asciiTheme="minorEastAsia" w:hAnsiTheme="minorEastAsia" w:eastAsiaTheme="minorEastAsia"/>
          <w:highlight w:val="none"/>
        </w:rPr>
      </w:pPr>
      <w:bookmarkStart w:id="1124" w:name="_Hlk129335643"/>
      <w:r>
        <w:rPr>
          <w:rFonts w:hint="eastAsia" w:asciiTheme="minorEastAsia" w:hAnsiTheme="minorEastAsia" w:eastAsiaTheme="minorEastAsia"/>
          <w:bCs/>
          <w:sz w:val="28"/>
          <w:szCs w:val="28"/>
          <w:highlight w:val="none"/>
        </w:rPr>
        <w:t>（四）当乙方应向甲方支付合同项下的违约金或赔偿金时，甲方有权从履约保证金中予以扣除。</w:t>
      </w:r>
      <w:bookmarkEnd w:id="1124"/>
    </w:p>
    <w:p w14:paraId="4209356D">
      <w:pPr>
        <w:pStyle w:val="5"/>
        <w:spacing w:before="0" w:after="0" w:line="560" w:lineRule="exact"/>
        <w:ind w:firstLine="560" w:firstLineChars="200"/>
        <w:rPr>
          <w:rFonts w:ascii="黑体" w:hAnsi="黑体" w:cs="黑体"/>
          <w:b w:val="0"/>
          <w:sz w:val="28"/>
          <w:szCs w:val="28"/>
          <w:highlight w:val="none"/>
        </w:rPr>
      </w:pPr>
      <w:bookmarkStart w:id="1125" w:name="_Toc360"/>
      <w:bookmarkStart w:id="1126" w:name="_Toc152058301"/>
      <w:bookmarkStart w:id="1127" w:name="_Toc14201"/>
      <w:bookmarkStart w:id="1128" w:name="_Toc150421258"/>
      <w:r>
        <w:rPr>
          <w:rFonts w:hint="eastAsia" w:ascii="黑体" w:hAnsi="黑体" w:cs="黑体"/>
          <w:b w:val="0"/>
          <w:sz w:val="28"/>
          <w:szCs w:val="28"/>
          <w:highlight w:val="none"/>
        </w:rPr>
        <w:t>□九、质量保证金</w:t>
      </w:r>
      <w:bookmarkEnd w:id="1125"/>
      <w:bookmarkEnd w:id="1126"/>
      <w:bookmarkEnd w:id="1127"/>
      <w:bookmarkEnd w:id="1128"/>
    </w:p>
    <w:p w14:paraId="29DF97F6">
      <w:pPr>
        <w:spacing w:line="560" w:lineRule="exact"/>
        <w:ind w:firstLine="560" w:firstLineChars="200"/>
        <w:rPr>
          <w:rFonts w:asciiTheme="minorEastAsia" w:hAnsiTheme="minorEastAsia" w:eastAsiaTheme="minorEastAsia"/>
          <w:sz w:val="28"/>
          <w:szCs w:val="28"/>
          <w:highlight w:val="none"/>
        </w:rPr>
      </w:pPr>
      <w:r>
        <w:rPr>
          <w:rFonts w:hint="eastAsia" w:asciiTheme="minorEastAsia" w:hAnsiTheme="minorEastAsia" w:eastAsiaTheme="minorEastAsia"/>
          <w:sz w:val="28"/>
          <w:szCs w:val="28"/>
          <w:highlight w:val="none"/>
        </w:rPr>
        <w:t>（一）物资验收合格并交付甲方后：</w:t>
      </w:r>
    </w:p>
    <w:p w14:paraId="269425B6">
      <w:pPr>
        <w:spacing w:line="560" w:lineRule="exact"/>
        <w:ind w:firstLine="560" w:firstLineChars="200"/>
        <w:rPr>
          <w:rFonts w:asciiTheme="minorEastAsia" w:hAnsiTheme="minorEastAsia" w:eastAsiaTheme="minorEastAsia"/>
          <w:sz w:val="28"/>
          <w:szCs w:val="28"/>
          <w:highlight w:val="none"/>
        </w:rPr>
      </w:pPr>
      <w:r>
        <w:rPr>
          <w:rFonts w:hint="eastAsia" w:asciiTheme="minorEastAsia" w:hAnsiTheme="minorEastAsia" w:eastAsiaTheme="minorEastAsia"/>
          <w:sz w:val="28"/>
          <w:szCs w:val="28"/>
          <w:highlight w:val="none"/>
        </w:rPr>
        <w:t>□</w:t>
      </w:r>
      <w:r>
        <w:rPr>
          <w:rFonts w:asciiTheme="minorEastAsia" w:hAnsiTheme="minorEastAsia" w:eastAsiaTheme="minorEastAsia"/>
          <w:sz w:val="28"/>
          <w:szCs w:val="28"/>
          <w:highlight w:val="none"/>
        </w:rPr>
        <w:t>1.</w:t>
      </w:r>
      <w:r>
        <w:rPr>
          <w:rFonts w:hint="eastAsia" w:asciiTheme="minorEastAsia" w:hAnsiTheme="minorEastAsia" w:eastAsiaTheme="minorEastAsia"/>
          <w:sz w:val="28"/>
          <w:szCs w:val="28"/>
          <w:highlight w:val="none"/>
        </w:rPr>
        <w:t>乙方提供甲方合同金额的</w:t>
      </w:r>
      <w:r>
        <w:rPr>
          <w:rFonts w:asciiTheme="minorEastAsia" w:hAnsiTheme="minorEastAsia" w:eastAsiaTheme="minorEastAsia"/>
          <w:sz w:val="28"/>
          <w:szCs w:val="28"/>
          <w:highlight w:val="none"/>
          <w:u w:val="single"/>
        </w:rPr>
        <w:t xml:space="preserve">   </w:t>
      </w:r>
      <w:r>
        <w:rPr>
          <w:rFonts w:asciiTheme="minorEastAsia" w:hAnsiTheme="minorEastAsia" w:eastAsiaTheme="minorEastAsia"/>
          <w:sz w:val="28"/>
          <w:szCs w:val="28"/>
          <w:highlight w:val="none"/>
        </w:rPr>
        <w:t>%（不超过5%）作为质量保证金，即</w:t>
      </w:r>
      <w:r>
        <w:rPr>
          <w:rFonts w:asciiTheme="minorEastAsia" w:hAnsiTheme="minorEastAsia" w:eastAsiaTheme="minorEastAsia"/>
          <w:sz w:val="28"/>
          <w:szCs w:val="28"/>
          <w:highlight w:val="none"/>
          <w:u w:val="single"/>
        </w:rPr>
        <w:t xml:space="preserve">          </w:t>
      </w:r>
      <w:r>
        <w:rPr>
          <w:rFonts w:hint="eastAsia" w:asciiTheme="minorEastAsia" w:hAnsiTheme="minorEastAsia" w:eastAsiaTheme="minorEastAsia"/>
          <w:sz w:val="28"/>
          <w:szCs w:val="28"/>
          <w:highlight w:val="none"/>
        </w:rPr>
        <w:t>元整（小写</w:t>
      </w:r>
      <w:r>
        <w:rPr>
          <w:rFonts w:cs="Calibri" w:asciiTheme="minorEastAsia" w:hAnsiTheme="minorEastAsia" w:eastAsiaTheme="minorEastAsia"/>
          <w:sz w:val="28"/>
          <w:szCs w:val="28"/>
          <w:highlight w:val="none"/>
        </w:rPr>
        <w:t>¥</w:t>
      </w:r>
      <w:r>
        <w:rPr>
          <w:rFonts w:asciiTheme="minorEastAsia" w:hAnsiTheme="minorEastAsia" w:eastAsiaTheme="minorEastAsia"/>
          <w:sz w:val="28"/>
          <w:szCs w:val="28"/>
          <w:highlight w:val="none"/>
          <w:u w:val="single"/>
        </w:rPr>
        <w:t xml:space="preserve">     </w:t>
      </w:r>
      <w:r>
        <w:rPr>
          <w:rFonts w:hint="eastAsia" w:asciiTheme="minorEastAsia" w:hAnsiTheme="minorEastAsia" w:eastAsiaTheme="minorEastAsia"/>
          <w:sz w:val="28"/>
          <w:szCs w:val="28"/>
          <w:highlight w:val="none"/>
        </w:rPr>
        <w:t>）。</w:t>
      </w:r>
    </w:p>
    <w:p w14:paraId="1A8024BA">
      <w:pPr>
        <w:spacing w:line="560" w:lineRule="exact"/>
        <w:ind w:firstLine="560" w:firstLineChars="200"/>
        <w:rPr>
          <w:rFonts w:asciiTheme="minorEastAsia" w:hAnsiTheme="minorEastAsia" w:eastAsiaTheme="minorEastAsia"/>
          <w:sz w:val="28"/>
          <w:szCs w:val="28"/>
          <w:highlight w:val="none"/>
        </w:rPr>
      </w:pPr>
      <w:r>
        <w:rPr>
          <w:rFonts w:hint="eastAsia" w:asciiTheme="minorEastAsia" w:hAnsiTheme="minorEastAsia" w:eastAsiaTheme="minorEastAsia"/>
          <w:sz w:val="28"/>
          <w:szCs w:val="28"/>
          <w:highlight w:val="none"/>
        </w:rPr>
        <w:t>□</w:t>
      </w:r>
      <w:r>
        <w:rPr>
          <w:rFonts w:asciiTheme="minorEastAsia" w:hAnsiTheme="minorEastAsia" w:eastAsiaTheme="minorEastAsia"/>
          <w:sz w:val="28"/>
          <w:szCs w:val="28"/>
          <w:highlight w:val="none"/>
        </w:rPr>
        <w:t>2.</w:t>
      </w:r>
      <w:r>
        <w:rPr>
          <w:rFonts w:hint="eastAsia" w:asciiTheme="minorEastAsia" w:hAnsiTheme="minorEastAsia" w:eastAsiaTheme="minorEastAsia"/>
          <w:sz w:val="28"/>
          <w:szCs w:val="28"/>
          <w:highlight w:val="none"/>
        </w:rPr>
        <w:t>质量保证金从履约保证金或者从最终结算资金中扣留。</w:t>
      </w:r>
    </w:p>
    <w:p w14:paraId="17AF59B1">
      <w:pPr>
        <w:spacing w:line="560" w:lineRule="exact"/>
        <w:ind w:firstLine="560" w:firstLineChars="200"/>
        <w:rPr>
          <w:rFonts w:asciiTheme="minorEastAsia" w:hAnsiTheme="minorEastAsia" w:eastAsiaTheme="minorEastAsia"/>
          <w:sz w:val="28"/>
          <w:szCs w:val="28"/>
          <w:highlight w:val="none"/>
        </w:rPr>
      </w:pPr>
      <w:r>
        <w:rPr>
          <w:rFonts w:hint="eastAsia" w:asciiTheme="minorEastAsia" w:hAnsiTheme="minorEastAsia" w:eastAsiaTheme="minorEastAsia"/>
          <w:sz w:val="28"/>
          <w:szCs w:val="28"/>
          <w:highlight w:val="none"/>
        </w:rPr>
        <w:t>在免费质保期内，物资因乙方责任产生质量问题未予以补救，或者予以补救后仍然造成损失的，甲方有权直接从质量保证金扣除相应损失。</w:t>
      </w:r>
    </w:p>
    <w:p w14:paraId="293DF339">
      <w:pPr>
        <w:spacing w:line="560" w:lineRule="exact"/>
        <w:ind w:firstLine="560" w:firstLineChars="200"/>
        <w:rPr>
          <w:rFonts w:cs="黑体" w:asciiTheme="minorEastAsia" w:hAnsiTheme="minorEastAsia" w:eastAsiaTheme="minorEastAsia"/>
          <w:b/>
          <w:sz w:val="28"/>
          <w:szCs w:val="28"/>
          <w:highlight w:val="none"/>
          <w:lang w:val="zh-CN"/>
        </w:rPr>
      </w:pPr>
      <w:r>
        <w:rPr>
          <w:rFonts w:hint="eastAsia" w:asciiTheme="minorEastAsia" w:hAnsiTheme="minorEastAsia" w:eastAsiaTheme="minorEastAsia"/>
          <w:sz w:val="28"/>
          <w:szCs w:val="28"/>
          <w:highlight w:val="none"/>
        </w:rPr>
        <w:t>（二）质量保证金在质保期满且无质量问题时全额无息退还。本合同约定的质保期满，甲方接到乙方质量保证金返还申请后，应当于</w:t>
      </w:r>
      <w:r>
        <w:rPr>
          <w:rFonts w:asciiTheme="minorEastAsia" w:hAnsiTheme="minorEastAsia" w:eastAsiaTheme="minorEastAsia"/>
          <w:sz w:val="28"/>
          <w:szCs w:val="28"/>
          <w:highlight w:val="none"/>
        </w:rPr>
        <w:t>30日内核实质量情况，办理质量保证金返还。</w:t>
      </w:r>
    </w:p>
    <w:p w14:paraId="15A225E8">
      <w:pPr>
        <w:pStyle w:val="5"/>
        <w:spacing w:before="0" w:after="0" w:line="560" w:lineRule="exact"/>
        <w:ind w:firstLine="560" w:firstLineChars="200"/>
        <w:rPr>
          <w:rFonts w:ascii="黑体" w:hAnsi="黑体" w:cs="黑体"/>
          <w:b w:val="0"/>
          <w:sz w:val="28"/>
          <w:szCs w:val="28"/>
          <w:highlight w:val="none"/>
        </w:rPr>
      </w:pPr>
      <w:bookmarkStart w:id="1129" w:name="_Toc15269"/>
      <w:bookmarkStart w:id="1130" w:name="_Toc20777"/>
      <w:r>
        <w:rPr>
          <w:rFonts w:hint="eastAsia" w:ascii="黑体" w:hAnsi="黑体" w:cs="黑体"/>
          <w:b w:val="0"/>
          <w:sz w:val="28"/>
          <w:szCs w:val="28"/>
          <w:highlight w:val="none"/>
        </w:rPr>
        <w:t>十、资金结算</w:t>
      </w:r>
      <w:bookmarkEnd w:id="1119"/>
      <w:bookmarkEnd w:id="1120"/>
      <w:bookmarkEnd w:id="1121"/>
      <w:bookmarkEnd w:id="1122"/>
      <w:bookmarkEnd w:id="1123"/>
      <w:bookmarkEnd w:id="1129"/>
      <w:bookmarkEnd w:id="1130"/>
    </w:p>
    <w:p w14:paraId="2D71E47E">
      <w:pPr>
        <w:spacing w:line="560" w:lineRule="exact"/>
        <w:ind w:firstLine="560" w:firstLineChars="200"/>
        <w:rPr>
          <w:rFonts w:asciiTheme="minorEastAsia" w:hAnsiTheme="minorEastAsia" w:eastAsiaTheme="minorEastAsia"/>
          <w:sz w:val="28"/>
          <w:szCs w:val="28"/>
          <w:highlight w:val="none"/>
        </w:rPr>
      </w:pPr>
      <w:bookmarkStart w:id="1131" w:name="_Hlk129336528"/>
      <w:r>
        <w:rPr>
          <w:rFonts w:hint="eastAsia" w:asciiTheme="minorEastAsia" w:hAnsiTheme="minorEastAsia" w:eastAsiaTheme="minorEastAsia"/>
          <w:bCs/>
          <w:sz w:val="28"/>
          <w:szCs w:val="28"/>
          <w:highlight w:val="none"/>
        </w:rPr>
        <w:t>（一）合同约定采用下列之一的方式进行</w:t>
      </w:r>
      <w:r>
        <w:rPr>
          <w:rFonts w:hint="eastAsia" w:asciiTheme="minorEastAsia" w:hAnsiTheme="minorEastAsia" w:eastAsiaTheme="minorEastAsia"/>
          <w:sz w:val="28"/>
          <w:szCs w:val="28"/>
          <w:highlight w:val="none"/>
        </w:rPr>
        <w:t>资金结算</w:t>
      </w:r>
      <w:r>
        <w:rPr>
          <w:rFonts w:hint="eastAsia" w:asciiTheme="minorEastAsia" w:hAnsiTheme="minorEastAsia" w:eastAsiaTheme="minorEastAsia"/>
          <w:bCs/>
          <w:sz w:val="28"/>
          <w:szCs w:val="28"/>
          <w:highlight w:val="none"/>
        </w:rPr>
        <w:t>：</w:t>
      </w:r>
    </w:p>
    <w:p w14:paraId="51A00443">
      <w:pPr>
        <w:spacing w:line="560" w:lineRule="exact"/>
        <w:ind w:firstLine="560" w:firstLineChars="200"/>
        <w:rPr>
          <w:rFonts w:asciiTheme="minorEastAsia" w:hAnsiTheme="minorEastAsia" w:eastAsiaTheme="minorEastAsia"/>
          <w:bCs/>
          <w:i/>
          <w:sz w:val="28"/>
          <w:szCs w:val="28"/>
          <w:highlight w:val="none"/>
        </w:rPr>
      </w:pPr>
      <w:r>
        <w:rPr>
          <w:rFonts w:hint="eastAsia" w:asciiTheme="minorEastAsia" w:hAnsiTheme="minorEastAsia" w:eastAsiaTheme="minorEastAsia"/>
          <w:bCs/>
          <w:sz w:val="28"/>
          <w:szCs w:val="28"/>
          <w:highlight w:val="none"/>
          <w:lang w:val="zh-CN"/>
        </w:rPr>
        <w:t>本项目不预付货款，物资运达指定地点验收合格后，中标供应商收集发运接收单、发票、验收报告等</w:t>
      </w:r>
      <w:r>
        <w:rPr>
          <w:rFonts w:hint="eastAsia" w:asciiTheme="minorEastAsia" w:hAnsiTheme="minorEastAsia" w:eastAsiaTheme="minorEastAsia"/>
          <w:bCs/>
          <w:sz w:val="28"/>
          <w:szCs w:val="28"/>
          <w:highlight w:val="none"/>
        </w:rPr>
        <w:t>材料</w:t>
      </w:r>
      <w:r>
        <w:rPr>
          <w:rFonts w:hint="eastAsia" w:asciiTheme="minorEastAsia" w:hAnsiTheme="minorEastAsia" w:eastAsiaTheme="minorEastAsia"/>
          <w:bCs/>
          <w:sz w:val="28"/>
          <w:szCs w:val="28"/>
          <w:highlight w:val="none"/>
          <w:lang w:val="zh-CN"/>
        </w:rPr>
        <w:t>，提交采购单位办理结算手续，采购单位在</w:t>
      </w:r>
      <w:r>
        <w:rPr>
          <w:rFonts w:asciiTheme="minorEastAsia" w:hAnsiTheme="minorEastAsia" w:eastAsiaTheme="minorEastAsia"/>
          <w:bCs/>
          <w:sz w:val="28"/>
          <w:szCs w:val="28"/>
          <w:highlight w:val="none"/>
          <w:u w:val="single"/>
          <w:lang w:val="zh-CN"/>
        </w:rPr>
        <w:t xml:space="preserve">   </w:t>
      </w:r>
      <w:r>
        <w:rPr>
          <w:rFonts w:hint="eastAsia" w:asciiTheme="minorEastAsia" w:hAnsiTheme="minorEastAsia" w:eastAsiaTheme="minorEastAsia"/>
          <w:bCs/>
          <w:sz w:val="28"/>
          <w:szCs w:val="28"/>
          <w:highlight w:val="none"/>
          <w:lang w:val="zh-CN"/>
        </w:rPr>
        <w:t>日内向中标供应商支付货款。</w:t>
      </w:r>
      <w:r>
        <w:rPr>
          <w:rFonts w:hint="eastAsia" w:ascii="楷体" w:hAnsi="楷体" w:eastAsia="楷体"/>
          <w:bCs/>
          <w:sz w:val="28"/>
          <w:szCs w:val="28"/>
          <w:highlight w:val="none"/>
        </w:rPr>
        <w:t>（适用于</w:t>
      </w:r>
      <w:r>
        <w:rPr>
          <w:rFonts w:ascii="楷体" w:hAnsi="楷体" w:eastAsia="楷体"/>
          <w:bCs/>
          <w:sz w:val="28"/>
          <w:szCs w:val="28"/>
          <w:highlight w:val="none"/>
        </w:rPr>
        <w:t>采购金额小</w:t>
      </w:r>
      <w:r>
        <w:rPr>
          <w:rFonts w:hint="eastAsia" w:ascii="楷体" w:hAnsi="楷体" w:eastAsia="楷体"/>
          <w:bCs/>
          <w:sz w:val="28"/>
          <w:szCs w:val="28"/>
          <w:highlight w:val="none"/>
        </w:rPr>
        <w:t>履约周期短</w:t>
      </w:r>
      <w:r>
        <w:rPr>
          <w:rFonts w:ascii="楷体" w:hAnsi="楷体" w:eastAsia="楷体"/>
          <w:bCs/>
          <w:sz w:val="28"/>
          <w:szCs w:val="28"/>
          <w:highlight w:val="none"/>
        </w:rPr>
        <w:t>的采购项目</w:t>
      </w:r>
      <w:r>
        <w:rPr>
          <w:rFonts w:hint="eastAsia" w:ascii="楷体" w:hAnsi="楷体" w:eastAsia="楷体"/>
          <w:bCs/>
          <w:sz w:val="28"/>
          <w:szCs w:val="28"/>
          <w:highlight w:val="none"/>
        </w:rPr>
        <w:t>）</w:t>
      </w:r>
    </w:p>
    <w:p w14:paraId="11C52CFD">
      <w:pPr>
        <w:spacing w:line="560" w:lineRule="exact"/>
        <w:ind w:firstLine="560" w:firstLineChars="200"/>
        <w:rPr>
          <w:rFonts w:asciiTheme="minorEastAsia" w:hAnsiTheme="minorEastAsia" w:eastAsiaTheme="minorEastAsia"/>
          <w:bCs/>
          <w:sz w:val="28"/>
          <w:szCs w:val="28"/>
          <w:highlight w:val="none"/>
          <w:lang w:val="zh-CN"/>
        </w:rPr>
      </w:pPr>
      <w:r>
        <w:rPr>
          <w:rFonts w:hint="eastAsia" w:asciiTheme="minorEastAsia" w:hAnsiTheme="minorEastAsia" w:eastAsiaTheme="minorEastAsia"/>
          <w:bCs/>
          <w:sz w:val="28"/>
          <w:szCs w:val="28"/>
          <w:highlight w:val="none"/>
          <w:lang w:val="zh-CN"/>
        </w:rPr>
        <w:t>签订合同后预付</w:t>
      </w:r>
      <w:r>
        <w:rPr>
          <w:rFonts w:asciiTheme="minorEastAsia" w:hAnsiTheme="minorEastAsia" w:eastAsiaTheme="minorEastAsia"/>
          <w:bCs/>
          <w:sz w:val="28"/>
          <w:szCs w:val="28"/>
          <w:highlight w:val="none"/>
          <w:u w:val="single"/>
          <w:lang w:val="zh-CN"/>
        </w:rPr>
        <w:t xml:space="preserve">      </w:t>
      </w:r>
      <w:r>
        <w:rPr>
          <w:rFonts w:asciiTheme="minorEastAsia" w:hAnsiTheme="minorEastAsia" w:eastAsiaTheme="minorEastAsia"/>
          <w:bCs/>
          <w:iCs/>
          <w:sz w:val="28"/>
          <w:szCs w:val="28"/>
          <w:highlight w:val="none"/>
        </w:rPr>
        <w:t>%</w:t>
      </w:r>
      <w:r>
        <w:rPr>
          <w:rFonts w:hint="eastAsia" w:asciiTheme="minorEastAsia" w:hAnsiTheme="minorEastAsia" w:eastAsiaTheme="minorEastAsia"/>
          <w:bCs/>
          <w:sz w:val="28"/>
          <w:szCs w:val="28"/>
          <w:highlight w:val="none"/>
          <w:lang w:val="zh-CN"/>
        </w:rPr>
        <w:t>货款</w:t>
      </w:r>
      <w:r>
        <w:rPr>
          <w:rFonts w:hint="eastAsia" w:ascii="楷体" w:hAnsi="楷体" w:eastAsia="楷体"/>
          <w:bCs/>
          <w:sz w:val="28"/>
          <w:szCs w:val="28"/>
          <w:highlight w:val="none"/>
        </w:rPr>
        <w:t>（一般不超过</w:t>
      </w:r>
      <w:r>
        <w:rPr>
          <w:rFonts w:ascii="楷体" w:hAnsi="楷体" w:eastAsia="楷体"/>
          <w:bCs/>
          <w:sz w:val="28"/>
          <w:szCs w:val="28"/>
          <w:highlight w:val="none"/>
        </w:rPr>
        <w:t>30%</w:t>
      </w:r>
      <w:r>
        <w:rPr>
          <w:rFonts w:hint="eastAsia" w:ascii="楷体" w:hAnsi="楷体" w:eastAsia="楷体"/>
          <w:bCs/>
          <w:kern w:val="0"/>
          <w:sz w:val="28"/>
          <w:szCs w:val="28"/>
          <w:highlight w:val="none"/>
        </w:rPr>
        <w:t>，涉及外贸合同的按有关规定处理</w:t>
      </w:r>
      <w:r>
        <w:rPr>
          <w:rFonts w:ascii="楷体" w:hAnsi="楷体" w:eastAsia="楷体"/>
          <w:bCs/>
          <w:sz w:val="28"/>
          <w:szCs w:val="28"/>
          <w:highlight w:val="none"/>
        </w:rPr>
        <w:t>）</w:t>
      </w:r>
      <w:r>
        <w:rPr>
          <w:rFonts w:hint="eastAsia" w:asciiTheme="minorEastAsia" w:hAnsiTheme="minorEastAsia" w:eastAsiaTheme="minorEastAsia"/>
          <w:bCs/>
          <w:sz w:val="28"/>
          <w:szCs w:val="28"/>
          <w:highlight w:val="none"/>
          <w:lang w:val="zh-CN"/>
        </w:rPr>
        <w:t>，物资运达指定地点验收合格后，中标供应商向采购单位提交发运接收单、发票、验收报告等结算</w:t>
      </w:r>
      <w:r>
        <w:rPr>
          <w:rFonts w:hint="eastAsia" w:asciiTheme="minorEastAsia" w:hAnsiTheme="minorEastAsia" w:eastAsiaTheme="minorEastAsia"/>
          <w:bCs/>
          <w:sz w:val="28"/>
          <w:szCs w:val="28"/>
          <w:highlight w:val="none"/>
        </w:rPr>
        <w:t>材料</w:t>
      </w:r>
      <w:r>
        <w:rPr>
          <w:rFonts w:hint="eastAsia" w:asciiTheme="minorEastAsia" w:hAnsiTheme="minorEastAsia" w:eastAsiaTheme="minorEastAsia"/>
          <w:bCs/>
          <w:sz w:val="28"/>
          <w:szCs w:val="28"/>
          <w:highlight w:val="none"/>
          <w:lang w:val="zh-CN"/>
        </w:rPr>
        <w:t>，采购单位在</w:t>
      </w:r>
      <w:r>
        <w:rPr>
          <w:rFonts w:asciiTheme="minorEastAsia" w:hAnsiTheme="minorEastAsia" w:eastAsiaTheme="minorEastAsia"/>
          <w:bCs/>
          <w:sz w:val="28"/>
          <w:szCs w:val="28"/>
          <w:highlight w:val="none"/>
          <w:u w:val="single"/>
          <w:lang w:val="zh-CN"/>
        </w:rPr>
        <w:t xml:space="preserve">     </w:t>
      </w:r>
      <w:r>
        <w:rPr>
          <w:rFonts w:hint="eastAsia" w:asciiTheme="minorEastAsia" w:hAnsiTheme="minorEastAsia" w:eastAsiaTheme="minorEastAsia"/>
          <w:bCs/>
          <w:sz w:val="28"/>
          <w:szCs w:val="28"/>
          <w:highlight w:val="none"/>
          <w:lang w:val="zh-CN"/>
        </w:rPr>
        <w:t>日内向中标供应商支付剩余货款。需首检的产品，首检合格后再办理预付款。预付款仅限于物资货款，其他费用不予预付。</w:t>
      </w:r>
    </w:p>
    <w:p w14:paraId="45910AE8">
      <w:pPr>
        <w:tabs>
          <w:tab w:val="left" w:pos="0"/>
        </w:tabs>
        <w:autoSpaceDE w:val="0"/>
        <w:autoSpaceDN w:val="0"/>
        <w:adjustRightInd w:val="0"/>
        <w:spacing w:line="560" w:lineRule="exact"/>
        <w:ind w:firstLine="560" w:firstLineChars="200"/>
        <w:rPr>
          <w:rFonts w:asciiTheme="minorEastAsia" w:hAnsiTheme="minorEastAsia" w:eastAsiaTheme="minorEastAsia"/>
          <w:bCs/>
          <w:i/>
          <w:sz w:val="28"/>
          <w:szCs w:val="28"/>
          <w:highlight w:val="none"/>
          <w:lang w:val="zh-CN"/>
        </w:rPr>
      </w:pPr>
      <w:r>
        <w:rPr>
          <w:rFonts w:hint="eastAsia" w:asciiTheme="minorEastAsia" w:hAnsiTheme="minorEastAsia" w:eastAsiaTheme="minorEastAsia"/>
          <w:sz w:val="28"/>
          <w:szCs w:val="28"/>
          <w:highlight w:val="none"/>
        </w:rPr>
        <w:t>□</w:t>
      </w:r>
      <w:r>
        <w:rPr>
          <w:rFonts w:hint="eastAsia" w:asciiTheme="minorEastAsia" w:hAnsiTheme="minorEastAsia" w:eastAsiaTheme="minorEastAsia"/>
          <w:bCs/>
          <w:sz w:val="28"/>
          <w:szCs w:val="28"/>
          <w:highlight w:val="none"/>
          <w:lang w:val="zh-CN"/>
        </w:rPr>
        <w:t>分阶段付款，第一阶段，中标供应商</w:t>
      </w:r>
      <w:r>
        <w:rPr>
          <w:rFonts w:asciiTheme="minorEastAsia" w:hAnsiTheme="minorEastAsia" w:eastAsiaTheme="minorEastAsia"/>
          <w:bCs/>
          <w:sz w:val="28"/>
          <w:szCs w:val="28"/>
          <w:highlight w:val="none"/>
          <w:u w:val="single"/>
          <w:lang w:val="zh-CN"/>
        </w:rPr>
        <w:t xml:space="preserve">       </w:t>
      </w:r>
      <w:r>
        <w:rPr>
          <w:rFonts w:hint="eastAsia" w:asciiTheme="minorEastAsia" w:hAnsiTheme="minorEastAsia" w:eastAsiaTheme="minorEastAsia"/>
          <w:bCs/>
          <w:sz w:val="28"/>
          <w:szCs w:val="28"/>
          <w:highlight w:val="none"/>
          <w:lang w:val="zh-CN"/>
        </w:rPr>
        <w:t>，提交</w:t>
      </w:r>
      <w:r>
        <w:rPr>
          <w:rFonts w:asciiTheme="minorEastAsia" w:hAnsiTheme="minorEastAsia" w:eastAsiaTheme="minorEastAsia"/>
          <w:bCs/>
          <w:sz w:val="28"/>
          <w:szCs w:val="28"/>
          <w:highlight w:val="none"/>
          <w:u w:val="single"/>
          <w:lang w:val="zh-CN"/>
        </w:rPr>
        <w:t xml:space="preserve">     </w:t>
      </w:r>
      <w:r>
        <w:rPr>
          <w:rFonts w:hint="eastAsia" w:asciiTheme="minorEastAsia" w:hAnsiTheme="minorEastAsia" w:eastAsiaTheme="minorEastAsia"/>
          <w:bCs/>
          <w:sz w:val="28"/>
          <w:szCs w:val="28"/>
          <w:highlight w:val="none"/>
          <w:lang w:val="zh-CN"/>
        </w:rPr>
        <w:t>等结算</w:t>
      </w:r>
      <w:r>
        <w:rPr>
          <w:rFonts w:hint="eastAsia" w:asciiTheme="minorEastAsia" w:hAnsiTheme="minorEastAsia" w:eastAsiaTheme="minorEastAsia"/>
          <w:bCs/>
          <w:sz w:val="28"/>
          <w:szCs w:val="28"/>
          <w:highlight w:val="none"/>
        </w:rPr>
        <w:t>材料</w:t>
      </w:r>
      <w:r>
        <w:rPr>
          <w:rFonts w:hint="eastAsia" w:asciiTheme="minorEastAsia" w:hAnsiTheme="minorEastAsia" w:eastAsiaTheme="minorEastAsia"/>
          <w:bCs/>
          <w:sz w:val="28"/>
          <w:szCs w:val="28"/>
          <w:highlight w:val="none"/>
          <w:lang w:val="zh-CN"/>
        </w:rPr>
        <w:t>，采购单位支付</w:t>
      </w:r>
      <w:r>
        <w:rPr>
          <w:rFonts w:asciiTheme="minorEastAsia" w:hAnsiTheme="minorEastAsia" w:eastAsiaTheme="minorEastAsia"/>
          <w:bCs/>
          <w:sz w:val="28"/>
          <w:szCs w:val="28"/>
          <w:highlight w:val="none"/>
          <w:u w:val="single"/>
          <w:lang w:val="zh-CN"/>
        </w:rPr>
        <w:t xml:space="preserve">   </w:t>
      </w:r>
      <w:r>
        <w:rPr>
          <w:rFonts w:asciiTheme="minorEastAsia" w:hAnsiTheme="minorEastAsia" w:eastAsiaTheme="minorEastAsia"/>
          <w:bCs/>
          <w:sz w:val="28"/>
          <w:szCs w:val="28"/>
          <w:highlight w:val="none"/>
          <w:lang w:val="zh-CN"/>
        </w:rPr>
        <w:t>货款；第二阶段</w:t>
      </w:r>
      <w:r>
        <w:rPr>
          <w:rFonts w:hint="eastAsia" w:asciiTheme="minorEastAsia" w:hAnsiTheme="minorEastAsia" w:eastAsiaTheme="minorEastAsia"/>
          <w:bCs/>
          <w:sz w:val="28"/>
          <w:szCs w:val="28"/>
          <w:highlight w:val="none"/>
          <w:lang w:val="zh-CN"/>
        </w:rPr>
        <w:t>中标供应商</w:t>
      </w:r>
      <w:r>
        <w:rPr>
          <w:rFonts w:asciiTheme="minorEastAsia" w:hAnsiTheme="minorEastAsia" w:eastAsiaTheme="minorEastAsia"/>
          <w:bCs/>
          <w:sz w:val="28"/>
          <w:szCs w:val="28"/>
          <w:highlight w:val="none"/>
          <w:u w:val="single"/>
          <w:lang w:val="zh-CN"/>
        </w:rPr>
        <w:t xml:space="preserve">       </w:t>
      </w:r>
      <w:r>
        <w:rPr>
          <w:rFonts w:hint="eastAsia" w:asciiTheme="minorEastAsia" w:hAnsiTheme="minorEastAsia" w:eastAsiaTheme="minorEastAsia"/>
          <w:bCs/>
          <w:sz w:val="28"/>
          <w:szCs w:val="28"/>
          <w:highlight w:val="none"/>
          <w:lang w:val="zh-CN"/>
        </w:rPr>
        <w:t>，提交</w:t>
      </w:r>
      <w:r>
        <w:rPr>
          <w:rFonts w:asciiTheme="minorEastAsia" w:hAnsiTheme="minorEastAsia" w:eastAsiaTheme="minorEastAsia"/>
          <w:bCs/>
          <w:sz w:val="28"/>
          <w:szCs w:val="28"/>
          <w:highlight w:val="none"/>
          <w:u w:val="single"/>
          <w:lang w:val="zh-CN"/>
        </w:rPr>
        <w:t xml:space="preserve">     </w:t>
      </w:r>
      <w:r>
        <w:rPr>
          <w:rFonts w:hint="eastAsia" w:asciiTheme="minorEastAsia" w:hAnsiTheme="minorEastAsia" w:eastAsiaTheme="minorEastAsia"/>
          <w:bCs/>
          <w:sz w:val="28"/>
          <w:szCs w:val="28"/>
          <w:highlight w:val="none"/>
          <w:lang w:val="zh-CN"/>
        </w:rPr>
        <w:t>等结算</w:t>
      </w:r>
      <w:r>
        <w:rPr>
          <w:rFonts w:hint="eastAsia" w:asciiTheme="minorEastAsia" w:hAnsiTheme="minorEastAsia" w:eastAsiaTheme="minorEastAsia"/>
          <w:bCs/>
          <w:sz w:val="28"/>
          <w:szCs w:val="28"/>
          <w:highlight w:val="none"/>
        </w:rPr>
        <w:t>材料</w:t>
      </w:r>
      <w:r>
        <w:rPr>
          <w:rFonts w:hint="eastAsia" w:asciiTheme="minorEastAsia" w:hAnsiTheme="minorEastAsia" w:eastAsiaTheme="minorEastAsia"/>
          <w:bCs/>
          <w:sz w:val="28"/>
          <w:szCs w:val="28"/>
          <w:highlight w:val="none"/>
          <w:lang w:val="zh-CN"/>
        </w:rPr>
        <w:t>，采购单位支付</w:t>
      </w:r>
      <w:r>
        <w:rPr>
          <w:rFonts w:asciiTheme="minorEastAsia" w:hAnsiTheme="minorEastAsia" w:eastAsiaTheme="minorEastAsia"/>
          <w:bCs/>
          <w:sz w:val="28"/>
          <w:szCs w:val="28"/>
          <w:highlight w:val="none"/>
          <w:u w:val="single"/>
          <w:lang w:val="zh-CN"/>
        </w:rPr>
        <w:t xml:space="preserve">   </w:t>
      </w:r>
      <w:r>
        <w:rPr>
          <w:rFonts w:asciiTheme="minorEastAsia" w:hAnsiTheme="minorEastAsia" w:eastAsiaTheme="minorEastAsia"/>
          <w:bCs/>
          <w:sz w:val="28"/>
          <w:szCs w:val="28"/>
          <w:highlight w:val="none"/>
          <w:lang w:val="zh-CN"/>
        </w:rPr>
        <w:t>货款；第三阶段</w:t>
      </w:r>
      <w:r>
        <w:rPr>
          <w:rFonts w:hint="eastAsia" w:asciiTheme="minorEastAsia" w:hAnsiTheme="minorEastAsia" w:eastAsiaTheme="minorEastAsia"/>
          <w:bCs/>
          <w:sz w:val="28"/>
          <w:szCs w:val="28"/>
          <w:highlight w:val="none"/>
          <w:lang w:val="zh-CN"/>
        </w:rPr>
        <w:t>中标供应商</w:t>
      </w:r>
      <w:r>
        <w:rPr>
          <w:rFonts w:asciiTheme="minorEastAsia" w:hAnsiTheme="minorEastAsia" w:eastAsiaTheme="minorEastAsia"/>
          <w:bCs/>
          <w:sz w:val="28"/>
          <w:szCs w:val="28"/>
          <w:highlight w:val="none"/>
          <w:u w:val="single"/>
          <w:lang w:val="zh-CN"/>
        </w:rPr>
        <w:t xml:space="preserve">      </w:t>
      </w:r>
      <w:r>
        <w:rPr>
          <w:rFonts w:hint="eastAsia" w:asciiTheme="minorEastAsia" w:hAnsiTheme="minorEastAsia" w:eastAsiaTheme="minorEastAsia"/>
          <w:bCs/>
          <w:sz w:val="28"/>
          <w:szCs w:val="28"/>
          <w:highlight w:val="none"/>
          <w:lang w:val="zh-CN"/>
        </w:rPr>
        <w:t>，提交</w:t>
      </w:r>
      <w:r>
        <w:rPr>
          <w:rFonts w:asciiTheme="minorEastAsia" w:hAnsiTheme="minorEastAsia" w:eastAsiaTheme="minorEastAsia"/>
          <w:bCs/>
          <w:sz w:val="28"/>
          <w:szCs w:val="28"/>
          <w:highlight w:val="none"/>
          <w:u w:val="single"/>
          <w:lang w:val="zh-CN"/>
        </w:rPr>
        <w:t xml:space="preserve">       </w:t>
      </w:r>
      <w:r>
        <w:rPr>
          <w:rFonts w:hint="eastAsia" w:asciiTheme="minorEastAsia" w:hAnsiTheme="minorEastAsia" w:eastAsiaTheme="minorEastAsia"/>
          <w:bCs/>
          <w:sz w:val="28"/>
          <w:szCs w:val="28"/>
          <w:highlight w:val="none"/>
          <w:lang w:val="zh-CN"/>
        </w:rPr>
        <w:t>等结算</w:t>
      </w:r>
      <w:r>
        <w:rPr>
          <w:rFonts w:hint="eastAsia" w:asciiTheme="minorEastAsia" w:hAnsiTheme="minorEastAsia" w:eastAsiaTheme="minorEastAsia"/>
          <w:bCs/>
          <w:sz w:val="28"/>
          <w:szCs w:val="28"/>
          <w:highlight w:val="none"/>
        </w:rPr>
        <w:t>材料</w:t>
      </w:r>
      <w:r>
        <w:rPr>
          <w:rFonts w:hint="eastAsia" w:asciiTheme="minorEastAsia" w:hAnsiTheme="minorEastAsia" w:eastAsiaTheme="minorEastAsia"/>
          <w:bCs/>
          <w:sz w:val="28"/>
          <w:szCs w:val="28"/>
          <w:highlight w:val="none"/>
          <w:lang w:val="zh-CN"/>
        </w:rPr>
        <w:t>，采购单位支付</w:t>
      </w:r>
      <w:r>
        <w:rPr>
          <w:rFonts w:asciiTheme="minorEastAsia" w:hAnsiTheme="minorEastAsia" w:eastAsiaTheme="minorEastAsia"/>
          <w:bCs/>
          <w:sz w:val="28"/>
          <w:szCs w:val="28"/>
          <w:highlight w:val="none"/>
          <w:u w:val="single"/>
          <w:lang w:val="zh-CN"/>
        </w:rPr>
        <w:t xml:space="preserve">    </w:t>
      </w:r>
      <w:r>
        <w:rPr>
          <w:rFonts w:hint="eastAsia" w:asciiTheme="minorEastAsia" w:hAnsiTheme="minorEastAsia" w:eastAsiaTheme="minorEastAsia"/>
          <w:bCs/>
          <w:sz w:val="28"/>
          <w:szCs w:val="28"/>
          <w:highlight w:val="none"/>
          <w:lang w:val="zh-CN"/>
        </w:rPr>
        <w:t>货款。</w:t>
      </w:r>
      <w:r>
        <w:rPr>
          <w:rFonts w:hint="eastAsia" w:ascii="楷体" w:hAnsi="楷体" w:eastAsia="楷体"/>
          <w:bCs/>
          <w:sz w:val="28"/>
          <w:szCs w:val="28"/>
          <w:highlight w:val="none"/>
          <w:lang w:val="zh-CN"/>
        </w:rPr>
        <w:t>（支付阶段、结算依据和比例根据军队财务规定</w:t>
      </w:r>
      <w:r>
        <w:rPr>
          <w:rFonts w:ascii="楷体" w:hAnsi="楷体" w:eastAsia="楷体"/>
          <w:bCs/>
          <w:sz w:val="28"/>
          <w:szCs w:val="28"/>
          <w:highlight w:val="none"/>
          <w:lang w:val="zh-CN"/>
        </w:rPr>
        <w:t>和项目情况</w:t>
      </w:r>
      <w:r>
        <w:rPr>
          <w:rFonts w:hint="eastAsia" w:ascii="楷体" w:hAnsi="楷体" w:eastAsia="楷体"/>
          <w:bCs/>
          <w:sz w:val="28"/>
          <w:szCs w:val="28"/>
          <w:highlight w:val="none"/>
          <w:lang w:val="zh-CN"/>
        </w:rPr>
        <w:t>确定）</w:t>
      </w:r>
    </w:p>
    <w:bookmarkEnd w:id="1131"/>
    <w:p w14:paraId="40457876">
      <w:pPr>
        <w:adjustRightInd w:val="0"/>
        <w:snapToGrid w:val="0"/>
        <w:spacing w:line="560" w:lineRule="exact"/>
        <w:ind w:firstLine="560" w:firstLineChars="200"/>
        <w:rPr>
          <w:rFonts w:asciiTheme="minorEastAsia" w:hAnsiTheme="minorEastAsia" w:eastAsiaTheme="minorEastAsia"/>
          <w:sz w:val="28"/>
          <w:szCs w:val="28"/>
          <w:highlight w:val="none"/>
        </w:rPr>
      </w:pPr>
      <w:r>
        <w:rPr>
          <w:rFonts w:hint="eastAsia" w:asciiTheme="minorEastAsia" w:hAnsiTheme="minorEastAsia" w:eastAsiaTheme="minorEastAsia"/>
          <w:sz w:val="28"/>
          <w:szCs w:val="28"/>
          <w:highlight w:val="none"/>
        </w:rPr>
        <w:t>☑其他方式：本项目不预付货款，物资运达指定地点验收合格后，中标供应商收集发运接收单、发票、验收报告等材料，提交采购单位办理结算手续，采购单位办理结算手续后按照合同金额的</w:t>
      </w:r>
      <w:r>
        <w:rPr>
          <w:rFonts w:hint="eastAsia" w:asciiTheme="minorEastAsia" w:hAnsiTheme="minorEastAsia" w:eastAsiaTheme="minorEastAsia"/>
          <w:sz w:val="28"/>
          <w:szCs w:val="28"/>
          <w:highlight w:val="none"/>
          <w:u w:val="single"/>
        </w:rPr>
        <w:t xml:space="preserve"> 95% </w:t>
      </w:r>
      <w:r>
        <w:rPr>
          <w:rFonts w:hint="eastAsia" w:asciiTheme="minorEastAsia" w:hAnsiTheme="minorEastAsia" w:eastAsiaTheme="minorEastAsia"/>
          <w:sz w:val="28"/>
          <w:szCs w:val="28"/>
          <w:highlight w:val="none"/>
        </w:rPr>
        <w:t>向乙方支付货款。</w:t>
      </w:r>
    </w:p>
    <w:p w14:paraId="44543FF6">
      <w:pPr>
        <w:adjustRightInd w:val="0"/>
        <w:snapToGrid w:val="0"/>
        <w:spacing w:line="560" w:lineRule="exact"/>
        <w:ind w:firstLine="560" w:firstLineChars="200"/>
        <w:rPr>
          <w:rFonts w:asciiTheme="minorEastAsia" w:hAnsiTheme="minorEastAsia" w:eastAsiaTheme="minorEastAsia"/>
          <w:sz w:val="28"/>
          <w:szCs w:val="28"/>
          <w:highlight w:val="none"/>
        </w:rPr>
      </w:pPr>
      <w:r>
        <w:rPr>
          <w:rFonts w:hint="eastAsia" w:asciiTheme="minorEastAsia" w:hAnsiTheme="minorEastAsia" w:eastAsiaTheme="minorEastAsia"/>
          <w:kern w:val="0"/>
          <w:sz w:val="28"/>
          <w:szCs w:val="28"/>
          <w:highlight w:val="none"/>
        </w:rPr>
        <w:t>（二）当乙方应向甲方支付合同项下的违约金或赔偿金时，甲方有权从上述任何一笔应付款中予以扣除。</w:t>
      </w:r>
    </w:p>
    <w:p w14:paraId="4437B1A3">
      <w:pPr>
        <w:adjustRightInd w:val="0"/>
        <w:snapToGrid w:val="0"/>
        <w:spacing w:line="560" w:lineRule="exact"/>
        <w:ind w:firstLine="560" w:firstLineChars="200"/>
        <w:rPr>
          <w:rFonts w:asciiTheme="minorEastAsia" w:hAnsiTheme="minorEastAsia" w:eastAsiaTheme="minorEastAsia"/>
          <w:sz w:val="28"/>
          <w:szCs w:val="28"/>
          <w:highlight w:val="none"/>
        </w:rPr>
      </w:pPr>
      <w:r>
        <w:rPr>
          <w:rFonts w:hint="eastAsia" w:asciiTheme="minorEastAsia" w:hAnsiTheme="minorEastAsia" w:eastAsiaTheme="minorEastAsia"/>
          <w:sz w:val="28"/>
          <w:szCs w:val="28"/>
          <w:highlight w:val="none"/>
        </w:rPr>
        <w:t>（三）在结算过程中，乙方出具虚假发票或其他虚假材料的，按照提供虚假材料情况处理。</w:t>
      </w:r>
    </w:p>
    <w:p w14:paraId="10D9A6BC">
      <w:pPr>
        <w:adjustRightInd w:val="0"/>
        <w:snapToGrid w:val="0"/>
        <w:spacing w:line="560" w:lineRule="exact"/>
        <w:ind w:firstLine="560" w:firstLineChars="200"/>
        <w:rPr>
          <w:rFonts w:asciiTheme="minorEastAsia" w:hAnsiTheme="minorEastAsia" w:eastAsiaTheme="minorEastAsia"/>
          <w:sz w:val="28"/>
          <w:szCs w:val="28"/>
          <w:highlight w:val="none"/>
        </w:rPr>
      </w:pPr>
      <w:r>
        <w:rPr>
          <w:rFonts w:hint="eastAsia" w:asciiTheme="minorEastAsia" w:hAnsiTheme="minorEastAsia" w:eastAsiaTheme="minorEastAsia"/>
          <w:sz w:val="28"/>
          <w:szCs w:val="28"/>
          <w:highlight w:val="none"/>
        </w:rPr>
        <w:t>（四）未经军队采购平台合同管理信息系统编号或者未按照要求进行备案的物资工程服务采购合同书，不得办理支付手续。</w:t>
      </w:r>
    </w:p>
    <w:p w14:paraId="35129ED5">
      <w:pPr>
        <w:pStyle w:val="5"/>
        <w:spacing w:before="0" w:after="0" w:line="560" w:lineRule="exact"/>
        <w:ind w:firstLine="560" w:firstLineChars="200"/>
        <w:rPr>
          <w:rFonts w:ascii="黑体" w:hAnsi="黑体" w:cs="黑体"/>
          <w:b w:val="0"/>
          <w:sz w:val="28"/>
          <w:szCs w:val="28"/>
          <w:highlight w:val="none"/>
        </w:rPr>
      </w:pPr>
      <w:bookmarkStart w:id="1132" w:name="_Toc150421260"/>
      <w:bookmarkStart w:id="1133" w:name="_Toc9573"/>
      <w:bookmarkStart w:id="1134" w:name="_Toc1163"/>
      <w:bookmarkStart w:id="1135" w:name="_Toc6104"/>
      <w:bookmarkStart w:id="1136" w:name="_Toc4374"/>
      <w:bookmarkStart w:id="1137" w:name="_Toc4164"/>
      <w:bookmarkStart w:id="1138" w:name="_Toc11687"/>
      <w:r>
        <w:rPr>
          <w:rFonts w:hint="eastAsia" w:ascii="黑体" w:hAnsi="黑体" w:cs="黑体"/>
          <w:b w:val="0"/>
          <w:sz w:val="28"/>
          <w:szCs w:val="28"/>
          <w:highlight w:val="none"/>
        </w:rPr>
        <w:t>十一、违约责任</w:t>
      </w:r>
      <w:bookmarkEnd w:id="1132"/>
      <w:bookmarkEnd w:id="1133"/>
      <w:bookmarkEnd w:id="1134"/>
      <w:bookmarkEnd w:id="1135"/>
      <w:bookmarkEnd w:id="1136"/>
      <w:bookmarkEnd w:id="1137"/>
      <w:bookmarkEnd w:id="1138"/>
    </w:p>
    <w:p w14:paraId="5F4E1DAF">
      <w:pPr>
        <w:spacing w:line="560" w:lineRule="exact"/>
        <w:ind w:firstLine="560" w:firstLineChars="200"/>
        <w:rPr>
          <w:rFonts w:asciiTheme="minorEastAsia" w:hAnsiTheme="minorEastAsia" w:eastAsiaTheme="minorEastAsia"/>
          <w:bCs/>
          <w:sz w:val="28"/>
          <w:szCs w:val="28"/>
          <w:highlight w:val="none"/>
        </w:rPr>
      </w:pPr>
      <w:r>
        <w:rPr>
          <w:rFonts w:hint="eastAsia" w:asciiTheme="minorEastAsia" w:hAnsiTheme="minorEastAsia" w:eastAsiaTheme="minorEastAsia"/>
          <w:bCs/>
          <w:sz w:val="28"/>
          <w:szCs w:val="28"/>
          <w:highlight w:val="none"/>
        </w:rPr>
        <w:t>（一）乙方未经甲方同意而延期交货时，应当向甲方偿付违约金，违约金每天按违约物资金额的</w:t>
      </w:r>
      <w:r>
        <w:rPr>
          <w:rFonts w:asciiTheme="minorEastAsia" w:hAnsiTheme="minorEastAsia" w:eastAsiaTheme="minorEastAsia"/>
          <w:bCs/>
          <w:sz w:val="28"/>
          <w:szCs w:val="28"/>
          <w:highlight w:val="none"/>
          <w:u w:val="single"/>
        </w:rPr>
        <w:t xml:space="preserve">    </w:t>
      </w:r>
      <w:r>
        <w:rPr>
          <w:rFonts w:hint="eastAsia" w:asciiTheme="minorEastAsia" w:hAnsiTheme="minorEastAsia" w:eastAsiaTheme="minorEastAsia"/>
          <w:bCs/>
          <w:sz w:val="28"/>
          <w:szCs w:val="28"/>
          <w:highlight w:val="none"/>
          <w:u w:val="single"/>
        </w:rPr>
        <w:t>（</w:t>
      </w:r>
      <w:bookmarkStart w:id="1139" w:name="_Hlk144131610"/>
      <w:r>
        <w:rPr>
          <w:rFonts w:hint="eastAsia" w:asciiTheme="minorEastAsia" w:hAnsiTheme="minorEastAsia" w:eastAsiaTheme="minorEastAsia"/>
          <w:bCs/>
          <w:sz w:val="28"/>
          <w:szCs w:val="28"/>
          <w:highlight w:val="none"/>
          <w:u w:val="single"/>
        </w:rPr>
        <w:t>通常为</w:t>
      </w:r>
      <w:r>
        <w:rPr>
          <w:rFonts w:asciiTheme="minorEastAsia" w:hAnsiTheme="minorEastAsia" w:eastAsiaTheme="minorEastAsia"/>
          <w:bCs/>
          <w:sz w:val="28"/>
          <w:szCs w:val="28"/>
          <w:highlight w:val="none"/>
          <w:u w:val="single"/>
        </w:rPr>
        <w:t>1</w:t>
      </w:r>
      <w:r>
        <w:rPr>
          <w:rFonts w:hint="eastAsia" w:asciiTheme="minorEastAsia" w:hAnsiTheme="minorEastAsia" w:eastAsiaTheme="minorEastAsia"/>
          <w:bCs/>
          <w:sz w:val="28"/>
          <w:szCs w:val="28"/>
          <w:highlight w:val="none"/>
          <w:u w:val="single"/>
        </w:rPr>
        <w:t>‰</w:t>
      </w:r>
      <w:r>
        <w:rPr>
          <w:rFonts w:asciiTheme="minorEastAsia" w:hAnsiTheme="minorEastAsia" w:eastAsiaTheme="minorEastAsia"/>
          <w:bCs/>
          <w:sz w:val="28"/>
          <w:szCs w:val="28"/>
          <w:highlight w:val="none"/>
          <w:u w:val="single"/>
        </w:rPr>
        <w:t>-1%</w:t>
      </w:r>
      <w:r>
        <w:rPr>
          <w:rFonts w:hint="eastAsia" w:asciiTheme="minorEastAsia" w:hAnsiTheme="minorEastAsia" w:eastAsiaTheme="minorEastAsia"/>
          <w:bCs/>
          <w:sz w:val="28"/>
          <w:szCs w:val="28"/>
          <w:highlight w:val="none"/>
          <w:u w:val="single"/>
        </w:rPr>
        <w:t>，可按照项目实际情况设定</w:t>
      </w:r>
      <w:bookmarkEnd w:id="1139"/>
      <w:r>
        <w:rPr>
          <w:rFonts w:asciiTheme="minorEastAsia" w:hAnsiTheme="minorEastAsia" w:eastAsiaTheme="minorEastAsia"/>
          <w:bCs/>
          <w:sz w:val="28"/>
          <w:szCs w:val="28"/>
          <w:highlight w:val="none"/>
          <w:u w:val="single"/>
        </w:rPr>
        <w:t>）</w:t>
      </w:r>
      <w:r>
        <w:rPr>
          <w:rFonts w:hint="eastAsia" w:asciiTheme="minorEastAsia" w:hAnsiTheme="minorEastAsia" w:eastAsiaTheme="minorEastAsia"/>
          <w:bCs/>
          <w:sz w:val="28"/>
          <w:szCs w:val="28"/>
          <w:highlight w:val="none"/>
        </w:rPr>
        <w:t>计算，违约金最高限额为违约总金额的</w:t>
      </w:r>
      <w:r>
        <w:rPr>
          <w:rFonts w:asciiTheme="minorEastAsia" w:hAnsiTheme="minorEastAsia" w:eastAsiaTheme="minorEastAsia"/>
          <w:bCs/>
          <w:sz w:val="28"/>
          <w:szCs w:val="28"/>
          <w:highlight w:val="none"/>
          <w:u w:val="single"/>
        </w:rPr>
        <w:t xml:space="preserve">   </w:t>
      </w:r>
      <w:r>
        <w:rPr>
          <w:rFonts w:hint="eastAsia" w:asciiTheme="minorEastAsia" w:hAnsiTheme="minorEastAsia" w:eastAsiaTheme="minorEastAsia"/>
          <w:bCs/>
          <w:sz w:val="28"/>
          <w:szCs w:val="28"/>
          <w:highlight w:val="none"/>
          <w:u w:val="single"/>
        </w:rPr>
        <w:t>（</w:t>
      </w:r>
      <w:bookmarkStart w:id="1140" w:name="_Hlk144131592"/>
      <w:r>
        <w:rPr>
          <w:rFonts w:hint="eastAsia" w:asciiTheme="minorEastAsia" w:hAnsiTheme="minorEastAsia" w:eastAsiaTheme="minorEastAsia"/>
          <w:bCs/>
          <w:sz w:val="28"/>
          <w:szCs w:val="28"/>
          <w:highlight w:val="none"/>
          <w:u w:val="single"/>
        </w:rPr>
        <w:t>通常为</w:t>
      </w:r>
      <w:r>
        <w:rPr>
          <w:rFonts w:asciiTheme="minorEastAsia" w:hAnsiTheme="minorEastAsia" w:eastAsiaTheme="minorEastAsia"/>
          <w:bCs/>
          <w:sz w:val="28"/>
          <w:szCs w:val="28"/>
          <w:highlight w:val="none"/>
          <w:u w:val="single"/>
        </w:rPr>
        <w:t>5%-10%</w:t>
      </w:r>
      <w:r>
        <w:rPr>
          <w:rFonts w:hint="eastAsia" w:asciiTheme="minorEastAsia" w:hAnsiTheme="minorEastAsia" w:eastAsiaTheme="minorEastAsia"/>
          <w:bCs/>
          <w:sz w:val="28"/>
          <w:szCs w:val="28"/>
          <w:highlight w:val="none"/>
          <w:u w:val="single"/>
        </w:rPr>
        <w:t>，可按照项目实际情况设定</w:t>
      </w:r>
      <w:bookmarkEnd w:id="1140"/>
      <w:r>
        <w:rPr>
          <w:rFonts w:asciiTheme="minorEastAsia" w:hAnsiTheme="minorEastAsia" w:eastAsiaTheme="minorEastAsia"/>
          <w:bCs/>
          <w:sz w:val="28"/>
          <w:szCs w:val="28"/>
          <w:highlight w:val="none"/>
          <w:u w:val="single"/>
        </w:rPr>
        <w:t>）</w:t>
      </w:r>
      <w:r>
        <w:rPr>
          <w:rFonts w:hint="eastAsia" w:asciiTheme="minorEastAsia" w:hAnsiTheme="minorEastAsia" w:eastAsiaTheme="minorEastAsia"/>
          <w:bCs/>
          <w:sz w:val="28"/>
          <w:szCs w:val="28"/>
          <w:highlight w:val="none"/>
        </w:rPr>
        <w:t>。如果达到违约金最高限额时仍不能交货，或交货时间影响甲方任务实施，甲方可以终止合同，而由此给甲方造成的实际损失，乙方应给予足额赔偿。</w:t>
      </w:r>
    </w:p>
    <w:p w14:paraId="0872E381">
      <w:pPr>
        <w:spacing w:line="560" w:lineRule="exact"/>
        <w:ind w:firstLine="560" w:firstLineChars="200"/>
        <w:rPr>
          <w:rFonts w:asciiTheme="minorEastAsia" w:hAnsiTheme="minorEastAsia" w:eastAsiaTheme="minorEastAsia"/>
          <w:bCs/>
          <w:sz w:val="28"/>
          <w:szCs w:val="28"/>
          <w:highlight w:val="none"/>
        </w:rPr>
      </w:pPr>
      <w:r>
        <w:rPr>
          <w:rFonts w:hint="eastAsia" w:asciiTheme="minorEastAsia" w:hAnsiTheme="minorEastAsia" w:eastAsiaTheme="minorEastAsia"/>
          <w:bCs/>
          <w:sz w:val="28"/>
          <w:szCs w:val="28"/>
          <w:highlight w:val="none"/>
        </w:rPr>
        <w:t>（二）乙方未按合同约定履行服务义务或产品技术性能指标不达标而给甲方或产品使用单位造成损失的，乙方要按损失金额予以赔偿。</w:t>
      </w:r>
    </w:p>
    <w:p w14:paraId="14E7ED84">
      <w:pPr>
        <w:spacing w:line="560" w:lineRule="exact"/>
        <w:ind w:firstLine="560" w:firstLineChars="200"/>
        <w:rPr>
          <w:rFonts w:asciiTheme="minorEastAsia" w:hAnsiTheme="minorEastAsia" w:eastAsiaTheme="minorEastAsia"/>
          <w:highlight w:val="none"/>
        </w:rPr>
      </w:pPr>
      <w:r>
        <w:rPr>
          <w:rFonts w:hint="eastAsia" w:asciiTheme="minorEastAsia" w:hAnsiTheme="minorEastAsia" w:eastAsiaTheme="minorEastAsia"/>
          <w:bCs/>
          <w:sz w:val="28"/>
          <w:szCs w:val="28"/>
          <w:highlight w:val="none"/>
        </w:rPr>
        <w:t>（三）</w:t>
      </w:r>
      <w:bookmarkStart w:id="1141" w:name="_Hlk129349156"/>
      <w:r>
        <w:rPr>
          <w:rFonts w:hint="eastAsia" w:asciiTheme="minorEastAsia" w:hAnsiTheme="minorEastAsia" w:eastAsiaTheme="minorEastAsia"/>
          <w:bCs/>
          <w:sz w:val="28"/>
          <w:szCs w:val="28"/>
          <w:highlight w:val="none"/>
        </w:rPr>
        <w:t>甲方</w:t>
      </w:r>
      <w:bookmarkEnd w:id="1141"/>
      <w:r>
        <w:rPr>
          <w:rFonts w:hint="eastAsia" w:asciiTheme="minorEastAsia" w:hAnsiTheme="minorEastAsia" w:eastAsiaTheme="minorEastAsia"/>
          <w:bCs/>
          <w:sz w:val="28"/>
          <w:szCs w:val="28"/>
          <w:highlight w:val="none"/>
        </w:rPr>
        <w:t>需按约定及时足额支付货款，未按约定及时足额支付货款时，甲方向乙方偿付违约金。每迟付一天按违约金额</w:t>
      </w:r>
      <w:r>
        <w:rPr>
          <w:rFonts w:asciiTheme="minorEastAsia" w:hAnsiTheme="minorEastAsia" w:eastAsiaTheme="minorEastAsia"/>
          <w:bCs/>
          <w:sz w:val="28"/>
          <w:szCs w:val="28"/>
          <w:highlight w:val="none"/>
        </w:rPr>
        <w:t>1‰向乙方偿付违约金，违约金最高限额为违约总金额的5%</w:t>
      </w:r>
      <w:r>
        <w:rPr>
          <w:rFonts w:hint="eastAsia" w:asciiTheme="minorEastAsia" w:hAnsiTheme="minorEastAsia" w:eastAsiaTheme="minorEastAsia"/>
          <w:bCs/>
          <w:sz w:val="28"/>
          <w:szCs w:val="28"/>
          <w:highlight w:val="none"/>
        </w:rPr>
        <w:t>。有特殊情况的，可根据项目情况由甲乙双方自行协商约定。</w:t>
      </w:r>
    </w:p>
    <w:p w14:paraId="4759B0D2">
      <w:pPr>
        <w:pStyle w:val="5"/>
        <w:spacing w:before="0" w:after="0" w:line="560" w:lineRule="exact"/>
        <w:ind w:firstLine="560" w:firstLineChars="200"/>
        <w:rPr>
          <w:rFonts w:ascii="黑体" w:hAnsi="黑体" w:cs="黑体"/>
          <w:b w:val="0"/>
          <w:sz w:val="28"/>
          <w:szCs w:val="28"/>
          <w:highlight w:val="none"/>
        </w:rPr>
      </w:pPr>
      <w:bookmarkStart w:id="1142" w:name="_Toc22324"/>
      <w:bookmarkStart w:id="1143" w:name="_Toc11149"/>
      <w:bookmarkStart w:id="1144" w:name="_Toc150421261"/>
      <w:bookmarkStart w:id="1145" w:name="_Toc21487"/>
      <w:bookmarkStart w:id="1146" w:name="_Toc15538"/>
      <w:bookmarkStart w:id="1147" w:name="_Toc24438"/>
      <w:bookmarkStart w:id="1148" w:name="_Toc18161"/>
      <w:r>
        <w:rPr>
          <w:rFonts w:hint="eastAsia" w:ascii="黑体" w:hAnsi="黑体" w:cs="黑体"/>
          <w:b w:val="0"/>
          <w:sz w:val="28"/>
          <w:szCs w:val="28"/>
          <w:highlight w:val="none"/>
        </w:rPr>
        <w:t>十二、争议解决方式</w:t>
      </w:r>
      <w:bookmarkEnd w:id="1142"/>
      <w:bookmarkEnd w:id="1143"/>
      <w:bookmarkEnd w:id="1144"/>
      <w:bookmarkEnd w:id="1145"/>
      <w:bookmarkEnd w:id="1146"/>
      <w:bookmarkEnd w:id="1147"/>
      <w:bookmarkEnd w:id="1148"/>
    </w:p>
    <w:p w14:paraId="10475129">
      <w:pPr>
        <w:adjustRightInd w:val="0"/>
        <w:snapToGrid w:val="0"/>
        <w:spacing w:line="560" w:lineRule="exact"/>
        <w:ind w:firstLine="560" w:firstLineChars="200"/>
        <w:rPr>
          <w:rFonts w:asciiTheme="minorEastAsia" w:hAnsiTheme="minorEastAsia" w:eastAsiaTheme="minorEastAsia"/>
          <w:sz w:val="28"/>
          <w:szCs w:val="28"/>
          <w:highlight w:val="none"/>
        </w:rPr>
      </w:pPr>
      <w:r>
        <w:rPr>
          <w:rFonts w:hint="eastAsia" w:asciiTheme="minorEastAsia" w:hAnsiTheme="minorEastAsia" w:eastAsiaTheme="minorEastAsia"/>
          <w:sz w:val="28"/>
          <w:szCs w:val="28"/>
          <w:highlight w:val="none"/>
        </w:rPr>
        <w:t>合同履行过程中发生争议，调解不成功的，甲方或者乙方可以按下列方式之一提起仲裁或诉讼：</w:t>
      </w:r>
    </w:p>
    <w:p w14:paraId="7A2E1766">
      <w:pPr>
        <w:adjustRightInd w:val="0"/>
        <w:snapToGrid w:val="0"/>
        <w:spacing w:line="560" w:lineRule="exact"/>
        <w:ind w:firstLine="560" w:firstLineChars="200"/>
        <w:rPr>
          <w:rFonts w:asciiTheme="minorEastAsia" w:hAnsiTheme="minorEastAsia" w:eastAsiaTheme="minorEastAsia"/>
          <w:sz w:val="28"/>
          <w:szCs w:val="28"/>
          <w:highlight w:val="none"/>
        </w:rPr>
      </w:pPr>
      <w:r>
        <w:rPr>
          <w:rFonts w:hint="eastAsia" w:asciiTheme="minorEastAsia" w:hAnsiTheme="minorEastAsia" w:eastAsiaTheme="minorEastAsia"/>
          <w:sz w:val="28"/>
          <w:szCs w:val="28"/>
          <w:highlight w:val="none"/>
        </w:rPr>
        <w:t>□（一）向甲方所在地仲裁机构提起仲裁。</w:t>
      </w:r>
    </w:p>
    <w:p w14:paraId="149DA91F">
      <w:pPr>
        <w:adjustRightInd w:val="0"/>
        <w:snapToGrid w:val="0"/>
        <w:spacing w:line="560" w:lineRule="exact"/>
        <w:ind w:firstLine="560" w:firstLineChars="200"/>
        <w:rPr>
          <w:rFonts w:asciiTheme="minorEastAsia" w:hAnsiTheme="minorEastAsia" w:eastAsiaTheme="minorEastAsia"/>
          <w:sz w:val="28"/>
          <w:szCs w:val="28"/>
          <w:highlight w:val="none"/>
        </w:rPr>
      </w:pPr>
      <w:r>
        <w:rPr>
          <w:rFonts w:hint="eastAsia" w:asciiTheme="minorEastAsia" w:hAnsiTheme="minorEastAsia" w:eastAsiaTheme="minorEastAsia"/>
          <w:sz w:val="28"/>
          <w:szCs w:val="28"/>
          <w:highlight w:val="none"/>
        </w:rPr>
        <w:t>□（二）向甲方所在地人民法院提起诉讼。</w:t>
      </w:r>
    </w:p>
    <w:p w14:paraId="621A4741">
      <w:pPr>
        <w:pStyle w:val="5"/>
        <w:spacing w:before="0" w:after="0" w:line="560" w:lineRule="exact"/>
        <w:ind w:firstLine="560" w:firstLineChars="200"/>
        <w:rPr>
          <w:rFonts w:ascii="黑体" w:hAnsi="黑体" w:cs="黑体"/>
          <w:b w:val="0"/>
          <w:sz w:val="28"/>
          <w:szCs w:val="28"/>
          <w:highlight w:val="none"/>
        </w:rPr>
      </w:pPr>
      <w:bookmarkStart w:id="1149" w:name="_Toc150421262"/>
      <w:bookmarkStart w:id="1150" w:name="_Toc2342"/>
      <w:bookmarkStart w:id="1151" w:name="_Toc32713"/>
      <w:bookmarkStart w:id="1152" w:name="_Toc4146"/>
      <w:bookmarkStart w:id="1153" w:name="_Toc30936"/>
      <w:bookmarkStart w:id="1154" w:name="_Toc14865"/>
      <w:bookmarkStart w:id="1155" w:name="_Toc17910"/>
      <w:r>
        <w:rPr>
          <w:rFonts w:hint="eastAsia" w:ascii="黑体" w:hAnsi="黑体" w:cs="黑体"/>
          <w:b w:val="0"/>
          <w:sz w:val="28"/>
          <w:szCs w:val="28"/>
          <w:highlight w:val="none"/>
        </w:rPr>
        <w:t>十三、合同生效</w:t>
      </w:r>
      <w:bookmarkEnd w:id="1149"/>
      <w:bookmarkEnd w:id="1150"/>
      <w:bookmarkEnd w:id="1151"/>
      <w:bookmarkEnd w:id="1152"/>
      <w:bookmarkEnd w:id="1153"/>
      <w:bookmarkEnd w:id="1154"/>
      <w:bookmarkEnd w:id="1155"/>
    </w:p>
    <w:p w14:paraId="770A11C9">
      <w:pPr>
        <w:spacing w:line="560" w:lineRule="exact"/>
        <w:ind w:firstLine="560" w:firstLineChars="200"/>
        <w:rPr>
          <w:rFonts w:asciiTheme="minorEastAsia" w:hAnsiTheme="minorEastAsia" w:eastAsiaTheme="minorEastAsia"/>
          <w:bCs/>
          <w:sz w:val="28"/>
          <w:szCs w:val="28"/>
          <w:highlight w:val="none"/>
        </w:rPr>
      </w:pPr>
      <w:r>
        <w:rPr>
          <w:rFonts w:hint="eastAsia" w:asciiTheme="minorEastAsia" w:hAnsiTheme="minorEastAsia" w:eastAsiaTheme="minorEastAsia"/>
          <w:bCs/>
          <w:sz w:val="28"/>
          <w:szCs w:val="28"/>
          <w:highlight w:val="none"/>
        </w:rPr>
        <w:t>（一）本合同按照军队采购有关规定编号后，经甲乙双方加盖单位印章后生效。</w:t>
      </w:r>
      <w:r>
        <w:rPr>
          <w:rFonts w:hint="eastAsia" w:asciiTheme="minorEastAsia" w:hAnsiTheme="minorEastAsia" w:eastAsiaTheme="minorEastAsia"/>
          <w:sz w:val="28"/>
          <w:szCs w:val="28"/>
          <w:highlight w:val="none"/>
        </w:rPr>
        <w:t>未经甲方允许，乙方不得部分或全部转让其应当履行的合同义务。</w:t>
      </w:r>
    </w:p>
    <w:p w14:paraId="294D9623">
      <w:pPr>
        <w:adjustRightInd w:val="0"/>
        <w:snapToGrid w:val="0"/>
        <w:spacing w:line="560" w:lineRule="exact"/>
        <w:ind w:firstLine="560" w:firstLineChars="200"/>
        <w:rPr>
          <w:rFonts w:asciiTheme="minorEastAsia" w:hAnsiTheme="minorEastAsia" w:eastAsiaTheme="minorEastAsia"/>
          <w:bCs/>
          <w:sz w:val="28"/>
          <w:szCs w:val="28"/>
          <w:highlight w:val="none"/>
        </w:rPr>
      </w:pPr>
      <w:r>
        <w:rPr>
          <w:rFonts w:hint="eastAsia" w:asciiTheme="minorEastAsia" w:hAnsiTheme="minorEastAsia" w:eastAsiaTheme="minorEastAsia"/>
          <w:bCs/>
          <w:sz w:val="28"/>
          <w:szCs w:val="28"/>
          <w:highlight w:val="none"/>
        </w:rPr>
        <w:t>（二）本合同一式</w:t>
      </w:r>
      <w:r>
        <w:rPr>
          <w:rFonts w:asciiTheme="minorEastAsia" w:hAnsiTheme="minorEastAsia" w:eastAsiaTheme="minorEastAsia"/>
          <w:bCs/>
          <w:sz w:val="28"/>
          <w:szCs w:val="28"/>
          <w:highlight w:val="none"/>
          <w:u w:val="single"/>
        </w:rPr>
        <w:t xml:space="preserve">   </w:t>
      </w:r>
      <w:r>
        <w:rPr>
          <w:rFonts w:hint="eastAsia" w:asciiTheme="minorEastAsia" w:hAnsiTheme="minorEastAsia" w:eastAsiaTheme="minorEastAsia"/>
          <w:bCs/>
          <w:sz w:val="28"/>
          <w:szCs w:val="28"/>
          <w:highlight w:val="none"/>
        </w:rPr>
        <w:t>份，由甲乙双方各执一份，</w:t>
      </w:r>
      <w:r>
        <w:rPr>
          <w:rFonts w:asciiTheme="minorEastAsia" w:hAnsiTheme="minorEastAsia" w:eastAsiaTheme="minorEastAsia"/>
          <w:bCs/>
          <w:sz w:val="28"/>
          <w:szCs w:val="28"/>
          <w:highlight w:val="none"/>
        </w:rPr>
        <w:t>甲方财务</w:t>
      </w:r>
      <w:r>
        <w:rPr>
          <w:rFonts w:hint="eastAsia" w:asciiTheme="minorEastAsia" w:hAnsiTheme="minorEastAsia" w:eastAsiaTheme="minorEastAsia"/>
          <w:bCs/>
          <w:sz w:val="28"/>
          <w:szCs w:val="28"/>
          <w:highlight w:val="none"/>
        </w:rPr>
        <w:t>结算部门</w:t>
      </w:r>
      <w:r>
        <w:rPr>
          <w:rFonts w:asciiTheme="minorEastAsia" w:hAnsiTheme="minorEastAsia" w:eastAsiaTheme="minorEastAsia"/>
          <w:bCs/>
          <w:sz w:val="28"/>
          <w:szCs w:val="28"/>
          <w:highlight w:val="none"/>
        </w:rPr>
        <w:t>一份，</w:t>
      </w:r>
      <w:r>
        <w:rPr>
          <w:rFonts w:asciiTheme="minorEastAsia" w:hAnsiTheme="minorEastAsia" w:eastAsiaTheme="minorEastAsia"/>
          <w:bCs/>
          <w:sz w:val="28"/>
          <w:szCs w:val="28"/>
          <w:highlight w:val="none"/>
          <w:u w:val="single"/>
        </w:rPr>
        <w:t xml:space="preserve">                                           </w:t>
      </w:r>
      <w:r>
        <w:rPr>
          <w:rFonts w:hint="eastAsia" w:asciiTheme="minorEastAsia" w:hAnsiTheme="minorEastAsia" w:eastAsiaTheme="minorEastAsia"/>
          <w:bCs/>
          <w:sz w:val="28"/>
          <w:szCs w:val="28"/>
          <w:highlight w:val="none"/>
        </w:rPr>
        <w:t>。</w:t>
      </w:r>
    </w:p>
    <w:p w14:paraId="4D100855">
      <w:pPr>
        <w:pStyle w:val="5"/>
        <w:spacing w:before="0" w:after="0" w:line="560" w:lineRule="exact"/>
        <w:ind w:firstLine="560" w:firstLineChars="200"/>
        <w:rPr>
          <w:rFonts w:ascii="黑体" w:hAnsi="黑体" w:cs="黑体"/>
          <w:b w:val="0"/>
          <w:sz w:val="28"/>
          <w:szCs w:val="28"/>
          <w:highlight w:val="none"/>
        </w:rPr>
      </w:pPr>
      <w:bookmarkStart w:id="1156" w:name="_Toc150421263"/>
      <w:bookmarkStart w:id="1157" w:name="_Toc25699"/>
      <w:bookmarkStart w:id="1158" w:name="_Toc2034"/>
      <w:bookmarkStart w:id="1159" w:name="_Toc7995"/>
      <w:bookmarkStart w:id="1160" w:name="_Toc30949"/>
      <w:bookmarkStart w:id="1161" w:name="_Toc26337"/>
      <w:bookmarkStart w:id="1162" w:name="_Toc15161"/>
      <w:r>
        <w:rPr>
          <w:rFonts w:hint="eastAsia" w:ascii="黑体" w:hAnsi="黑体" w:cs="黑体"/>
          <w:b w:val="0"/>
          <w:sz w:val="28"/>
          <w:szCs w:val="28"/>
          <w:highlight w:val="none"/>
        </w:rPr>
        <w:t>十四、其他事项</w:t>
      </w:r>
      <w:bookmarkEnd w:id="1156"/>
      <w:bookmarkEnd w:id="1157"/>
      <w:bookmarkEnd w:id="1158"/>
      <w:bookmarkEnd w:id="1159"/>
      <w:bookmarkEnd w:id="1160"/>
      <w:bookmarkEnd w:id="1161"/>
      <w:bookmarkEnd w:id="1162"/>
    </w:p>
    <w:p w14:paraId="29868CC9">
      <w:pPr>
        <w:spacing w:line="560" w:lineRule="exact"/>
        <w:ind w:firstLine="560" w:firstLineChars="200"/>
        <w:rPr>
          <w:rFonts w:asciiTheme="minorEastAsia" w:hAnsiTheme="minorEastAsia" w:eastAsiaTheme="minorEastAsia"/>
          <w:bCs/>
          <w:sz w:val="28"/>
          <w:szCs w:val="28"/>
          <w:highlight w:val="none"/>
        </w:rPr>
      </w:pPr>
      <w:r>
        <w:rPr>
          <w:rFonts w:hint="eastAsia" w:asciiTheme="minorEastAsia" w:hAnsiTheme="minorEastAsia" w:eastAsiaTheme="minorEastAsia"/>
          <w:bCs/>
          <w:sz w:val="28"/>
          <w:szCs w:val="28"/>
          <w:highlight w:val="none"/>
        </w:rPr>
        <w:t>（一）乙方人员在劳务期间发生的工伤事故，由乙方全权负责。</w:t>
      </w:r>
    </w:p>
    <w:p w14:paraId="1B0C27FE">
      <w:pPr>
        <w:spacing w:line="560" w:lineRule="exact"/>
        <w:ind w:firstLine="560" w:firstLineChars="200"/>
        <w:rPr>
          <w:rFonts w:asciiTheme="minorEastAsia" w:hAnsiTheme="minorEastAsia" w:eastAsiaTheme="minorEastAsia"/>
          <w:sz w:val="28"/>
          <w:szCs w:val="28"/>
          <w:highlight w:val="none"/>
        </w:rPr>
      </w:pPr>
      <w:r>
        <w:rPr>
          <w:rFonts w:hint="eastAsia" w:asciiTheme="minorEastAsia" w:hAnsiTheme="minorEastAsia" w:eastAsiaTheme="minorEastAsia"/>
          <w:bCs/>
          <w:sz w:val="28"/>
          <w:szCs w:val="28"/>
          <w:highlight w:val="none"/>
        </w:rPr>
        <w:t>（二）其他：</w:t>
      </w:r>
      <w:r>
        <w:rPr>
          <w:rFonts w:asciiTheme="minorEastAsia" w:hAnsiTheme="minorEastAsia" w:eastAsiaTheme="minorEastAsia"/>
          <w:bCs/>
          <w:sz w:val="28"/>
          <w:szCs w:val="28"/>
          <w:highlight w:val="none"/>
          <w:u w:val="single"/>
        </w:rPr>
        <w:t xml:space="preserve">                                          </w:t>
      </w:r>
      <w:r>
        <w:rPr>
          <w:rFonts w:hint="eastAsia" w:asciiTheme="minorEastAsia" w:hAnsiTheme="minorEastAsia" w:eastAsiaTheme="minorEastAsia"/>
          <w:bCs/>
          <w:sz w:val="28"/>
          <w:szCs w:val="28"/>
          <w:highlight w:val="none"/>
        </w:rPr>
        <w:t>。</w:t>
      </w:r>
    </w:p>
    <w:p w14:paraId="711BA5A5">
      <w:pPr>
        <w:rPr>
          <w:highlight w:val="none"/>
        </w:rPr>
      </w:pPr>
    </w:p>
    <w:p w14:paraId="2ABA9B89">
      <w:pPr>
        <w:rPr>
          <w:highlight w:val="none"/>
        </w:rPr>
      </w:pPr>
    </w:p>
    <w:p w14:paraId="16838C66">
      <w:pPr>
        <w:spacing w:line="360" w:lineRule="auto"/>
        <w:ind w:firstLine="560" w:firstLineChars="200"/>
        <w:rPr>
          <w:b/>
          <w:highlight w:val="none"/>
        </w:rPr>
      </w:pPr>
      <w:bookmarkStart w:id="1163" w:name="_Hlk150338717"/>
      <w:r>
        <w:rPr>
          <w:rFonts w:hint="eastAsia" w:asciiTheme="minorEastAsia" w:hAnsiTheme="minorEastAsia" w:eastAsiaTheme="minorEastAsia"/>
          <w:bCs/>
          <w:sz w:val="28"/>
          <w:szCs w:val="28"/>
          <w:highlight w:val="none"/>
        </w:rPr>
        <w:t>注释：本项目谈判文件、成交供应商报价文件、补充文件、澄清承诺，均为签订合同的依据。合同签订按照《军队物资工程服务采购合同管理暂行规定》执行，内容不得与谈判文件、成交供应商报价文件、补充文件、澄清承诺的实质性内容相背离。</w:t>
      </w:r>
      <w:bookmarkEnd w:id="1163"/>
    </w:p>
    <w:bookmarkEnd w:id="1017"/>
    <w:bookmarkEnd w:id="1018"/>
    <w:bookmarkEnd w:id="1019"/>
    <w:bookmarkEnd w:id="1020"/>
    <w:bookmarkEnd w:id="1021"/>
    <w:bookmarkEnd w:id="1022"/>
    <w:bookmarkEnd w:id="1023"/>
    <w:bookmarkEnd w:id="1024"/>
    <w:bookmarkEnd w:id="1025"/>
    <w:bookmarkEnd w:id="1026"/>
    <w:bookmarkEnd w:id="1027"/>
    <w:bookmarkEnd w:id="1028"/>
    <w:p w14:paraId="137FA76F">
      <w:pPr>
        <w:pStyle w:val="22"/>
        <w:adjustRightInd w:val="0"/>
        <w:snapToGrid w:val="0"/>
        <w:spacing w:line="560" w:lineRule="exact"/>
        <w:ind w:firstLine="640" w:firstLineChars="200"/>
        <w:jc w:val="left"/>
        <w:rPr>
          <w:rFonts w:hAnsi="宋体"/>
          <w:bCs/>
          <w:sz w:val="32"/>
          <w:szCs w:val="32"/>
          <w:highlight w:val="none"/>
        </w:rPr>
      </w:pPr>
    </w:p>
    <w:p w14:paraId="2F8B34E5">
      <w:pPr>
        <w:adjustRightInd w:val="0"/>
        <w:snapToGrid w:val="0"/>
        <w:spacing w:line="560" w:lineRule="exact"/>
        <w:ind w:firstLine="560" w:firstLineChars="200"/>
        <w:rPr>
          <w:rFonts w:asciiTheme="minorEastAsia" w:hAnsiTheme="minorEastAsia" w:eastAsiaTheme="minorEastAsia"/>
          <w:bCs/>
          <w:sz w:val="28"/>
          <w:szCs w:val="28"/>
          <w:highlight w:val="none"/>
        </w:rPr>
      </w:pPr>
    </w:p>
    <w:p w14:paraId="617D51A6">
      <w:pPr>
        <w:adjustRightInd w:val="0"/>
        <w:snapToGrid w:val="0"/>
        <w:spacing w:line="560" w:lineRule="exact"/>
        <w:rPr>
          <w:rFonts w:asciiTheme="minorEastAsia" w:hAnsiTheme="minorEastAsia" w:eastAsiaTheme="minorEastAsia"/>
          <w:bCs/>
          <w:sz w:val="28"/>
          <w:szCs w:val="28"/>
          <w:highlight w:val="none"/>
        </w:rPr>
      </w:pPr>
      <w:r>
        <w:rPr>
          <w:rFonts w:hint="eastAsia" w:asciiTheme="minorEastAsia" w:hAnsiTheme="minorEastAsia" w:eastAsiaTheme="minorEastAsia"/>
          <w:bCs/>
          <w:sz w:val="28"/>
          <w:szCs w:val="28"/>
          <w:highlight w:val="none"/>
        </w:rPr>
        <w:t>甲</w:t>
      </w:r>
      <w:r>
        <w:rPr>
          <w:rFonts w:asciiTheme="minorEastAsia" w:hAnsiTheme="minorEastAsia" w:eastAsiaTheme="minorEastAsia"/>
          <w:bCs/>
          <w:sz w:val="28"/>
          <w:szCs w:val="28"/>
          <w:highlight w:val="none"/>
        </w:rPr>
        <w:t xml:space="preserve">      </w:t>
      </w:r>
      <w:r>
        <w:rPr>
          <w:rFonts w:hint="eastAsia" w:asciiTheme="minorEastAsia" w:hAnsiTheme="minorEastAsia" w:eastAsiaTheme="minorEastAsia"/>
          <w:bCs/>
          <w:sz w:val="28"/>
          <w:szCs w:val="28"/>
          <w:highlight w:val="none"/>
        </w:rPr>
        <w:t>方：（公章）</w:t>
      </w:r>
      <w:r>
        <w:rPr>
          <w:rFonts w:asciiTheme="minorEastAsia" w:hAnsiTheme="minorEastAsia" w:eastAsiaTheme="minorEastAsia"/>
          <w:bCs/>
          <w:sz w:val="28"/>
          <w:szCs w:val="28"/>
          <w:highlight w:val="none"/>
        </w:rPr>
        <w:t xml:space="preserve">                  </w:t>
      </w:r>
      <w:r>
        <w:rPr>
          <w:rFonts w:hint="eastAsia" w:asciiTheme="minorEastAsia" w:hAnsiTheme="minorEastAsia" w:eastAsiaTheme="minorEastAsia"/>
          <w:bCs/>
          <w:sz w:val="28"/>
          <w:szCs w:val="28"/>
          <w:highlight w:val="none"/>
        </w:rPr>
        <w:t>乙</w:t>
      </w:r>
      <w:r>
        <w:rPr>
          <w:rFonts w:asciiTheme="minorEastAsia" w:hAnsiTheme="minorEastAsia" w:eastAsiaTheme="minorEastAsia"/>
          <w:bCs/>
          <w:sz w:val="28"/>
          <w:szCs w:val="28"/>
          <w:highlight w:val="none"/>
        </w:rPr>
        <w:t xml:space="preserve">      </w:t>
      </w:r>
      <w:r>
        <w:rPr>
          <w:rFonts w:hint="eastAsia" w:asciiTheme="minorEastAsia" w:hAnsiTheme="minorEastAsia" w:eastAsiaTheme="minorEastAsia"/>
          <w:bCs/>
          <w:sz w:val="28"/>
          <w:szCs w:val="28"/>
          <w:highlight w:val="none"/>
        </w:rPr>
        <w:t>方：（公章）</w:t>
      </w:r>
    </w:p>
    <w:p w14:paraId="7FA2756C">
      <w:pPr>
        <w:adjustRightInd w:val="0"/>
        <w:snapToGrid w:val="0"/>
        <w:spacing w:line="560" w:lineRule="exact"/>
        <w:rPr>
          <w:rFonts w:asciiTheme="minorEastAsia" w:hAnsiTheme="minorEastAsia" w:eastAsiaTheme="minorEastAsia"/>
          <w:bCs/>
          <w:sz w:val="28"/>
          <w:szCs w:val="28"/>
          <w:highlight w:val="none"/>
        </w:rPr>
      </w:pPr>
      <w:r>
        <w:rPr>
          <w:rFonts w:hint="eastAsia" w:asciiTheme="minorEastAsia" w:hAnsiTheme="minorEastAsia" w:eastAsiaTheme="minorEastAsia"/>
          <w:bCs/>
          <w:sz w:val="28"/>
          <w:szCs w:val="28"/>
          <w:highlight w:val="none"/>
        </w:rPr>
        <w:t>法定代表人：</w:t>
      </w:r>
      <w:r>
        <w:rPr>
          <w:rFonts w:asciiTheme="minorEastAsia" w:hAnsiTheme="minorEastAsia" w:eastAsiaTheme="minorEastAsia"/>
          <w:bCs/>
          <w:sz w:val="28"/>
          <w:szCs w:val="28"/>
          <w:highlight w:val="none"/>
          <w:u w:val="single"/>
        </w:rPr>
        <w:t xml:space="preserve">                </w:t>
      </w:r>
      <w:r>
        <w:rPr>
          <w:rFonts w:asciiTheme="minorEastAsia" w:hAnsiTheme="minorEastAsia" w:eastAsiaTheme="minorEastAsia"/>
          <w:bCs/>
          <w:sz w:val="28"/>
          <w:szCs w:val="28"/>
          <w:highlight w:val="none"/>
        </w:rPr>
        <w:t xml:space="preserve">         法定代表人：</w:t>
      </w:r>
      <w:r>
        <w:rPr>
          <w:rFonts w:asciiTheme="minorEastAsia" w:hAnsiTheme="minorEastAsia" w:eastAsiaTheme="minorEastAsia"/>
          <w:bCs/>
          <w:sz w:val="28"/>
          <w:szCs w:val="28"/>
          <w:highlight w:val="none"/>
          <w:u w:val="single"/>
        </w:rPr>
        <w:t xml:space="preserve">                   </w:t>
      </w:r>
    </w:p>
    <w:p w14:paraId="02A973C9">
      <w:pPr>
        <w:adjustRightInd w:val="0"/>
        <w:snapToGrid w:val="0"/>
        <w:spacing w:line="560" w:lineRule="exact"/>
        <w:rPr>
          <w:rFonts w:asciiTheme="minorEastAsia" w:hAnsiTheme="minorEastAsia" w:eastAsiaTheme="minorEastAsia"/>
          <w:bCs/>
          <w:sz w:val="28"/>
          <w:szCs w:val="28"/>
          <w:highlight w:val="none"/>
        </w:rPr>
      </w:pPr>
      <w:r>
        <w:rPr>
          <w:rFonts w:hint="eastAsia" w:asciiTheme="minorEastAsia" w:hAnsiTheme="minorEastAsia" w:eastAsiaTheme="minorEastAsia"/>
          <w:bCs/>
          <w:sz w:val="28"/>
          <w:szCs w:val="28"/>
          <w:highlight w:val="none"/>
        </w:rPr>
        <w:t>委托代理人：</w:t>
      </w:r>
      <w:r>
        <w:rPr>
          <w:rFonts w:asciiTheme="minorEastAsia" w:hAnsiTheme="minorEastAsia" w:eastAsiaTheme="minorEastAsia"/>
          <w:bCs/>
          <w:sz w:val="28"/>
          <w:szCs w:val="28"/>
          <w:highlight w:val="none"/>
          <w:u w:val="single"/>
        </w:rPr>
        <w:t xml:space="preserve">                </w:t>
      </w:r>
      <w:r>
        <w:rPr>
          <w:rFonts w:asciiTheme="minorEastAsia" w:hAnsiTheme="minorEastAsia" w:eastAsiaTheme="minorEastAsia"/>
          <w:bCs/>
          <w:sz w:val="28"/>
          <w:szCs w:val="28"/>
          <w:highlight w:val="none"/>
        </w:rPr>
        <w:t xml:space="preserve">         委托代理人：</w:t>
      </w:r>
      <w:r>
        <w:rPr>
          <w:rFonts w:asciiTheme="minorEastAsia" w:hAnsiTheme="minorEastAsia" w:eastAsiaTheme="minorEastAsia"/>
          <w:bCs/>
          <w:sz w:val="28"/>
          <w:szCs w:val="28"/>
          <w:highlight w:val="none"/>
          <w:u w:val="single"/>
        </w:rPr>
        <w:t xml:space="preserve">                   </w:t>
      </w:r>
    </w:p>
    <w:p w14:paraId="0CBDEA28">
      <w:pPr>
        <w:adjustRightInd w:val="0"/>
        <w:snapToGrid w:val="0"/>
        <w:spacing w:line="560" w:lineRule="exact"/>
        <w:rPr>
          <w:rFonts w:asciiTheme="minorEastAsia" w:hAnsiTheme="minorEastAsia" w:eastAsiaTheme="minorEastAsia"/>
          <w:bCs/>
          <w:sz w:val="28"/>
          <w:szCs w:val="28"/>
          <w:highlight w:val="none"/>
        </w:rPr>
      </w:pPr>
      <w:r>
        <w:rPr>
          <w:rFonts w:hint="eastAsia" w:asciiTheme="minorEastAsia" w:hAnsiTheme="minorEastAsia" w:eastAsiaTheme="minorEastAsia"/>
          <w:bCs/>
          <w:sz w:val="28"/>
          <w:szCs w:val="28"/>
          <w:highlight w:val="none"/>
        </w:rPr>
        <w:t>电</w:t>
      </w:r>
      <w:r>
        <w:rPr>
          <w:rFonts w:asciiTheme="minorEastAsia" w:hAnsiTheme="minorEastAsia" w:eastAsiaTheme="minorEastAsia"/>
          <w:bCs/>
          <w:sz w:val="28"/>
          <w:szCs w:val="28"/>
          <w:highlight w:val="none"/>
        </w:rPr>
        <w:t xml:space="preserve">      </w:t>
      </w:r>
      <w:r>
        <w:rPr>
          <w:rFonts w:hint="eastAsia" w:asciiTheme="minorEastAsia" w:hAnsiTheme="minorEastAsia" w:eastAsiaTheme="minorEastAsia"/>
          <w:bCs/>
          <w:sz w:val="28"/>
          <w:szCs w:val="28"/>
          <w:highlight w:val="none"/>
        </w:rPr>
        <w:t>话：</w:t>
      </w:r>
      <w:r>
        <w:rPr>
          <w:rFonts w:asciiTheme="minorEastAsia" w:hAnsiTheme="minorEastAsia" w:eastAsiaTheme="minorEastAsia"/>
          <w:bCs/>
          <w:sz w:val="28"/>
          <w:szCs w:val="28"/>
          <w:highlight w:val="none"/>
          <w:u w:val="single"/>
        </w:rPr>
        <w:t xml:space="preserve">                </w:t>
      </w:r>
      <w:r>
        <w:rPr>
          <w:rFonts w:asciiTheme="minorEastAsia" w:hAnsiTheme="minorEastAsia" w:eastAsiaTheme="minorEastAsia"/>
          <w:bCs/>
          <w:sz w:val="28"/>
          <w:szCs w:val="28"/>
          <w:highlight w:val="none"/>
        </w:rPr>
        <w:t xml:space="preserve">         电      话：</w:t>
      </w:r>
      <w:r>
        <w:rPr>
          <w:rFonts w:asciiTheme="minorEastAsia" w:hAnsiTheme="minorEastAsia" w:eastAsiaTheme="minorEastAsia"/>
          <w:bCs/>
          <w:sz w:val="28"/>
          <w:szCs w:val="28"/>
          <w:highlight w:val="none"/>
          <w:u w:val="single"/>
        </w:rPr>
        <w:t xml:space="preserve">                   </w:t>
      </w:r>
    </w:p>
    <w:p w14:paraId="06BA2ACE">
      <w:pPr>
        <w:adjustRightInd w:val="0"/>
        <w:snapToGrid w:val="0"/>
        <w:spacing w:line="560" w:lineRule="exact"/>
        <w:rPr>
          <w:rFonts w:asciiTheme="minorEastAsia" w:hAnsiTheme="minorEastAsia" w:eastAsiaTheme="minorEastAsia"/>
          <w:bCs/>
          <w:sz w:val="28"/>
          <w:szCs w:val="28"/>
          <w:highlight w:val="none"/>
        </w:rPr>
      </w:pPr>
      <w:r>
        <w:rPr>
          <w:rFonts w:hint="eastAsia" w:asciiTheme="minorEastAsia" w:hAnsiTheme="minorEastAsia" w:eastAsiaTheme="minorEastAsia"/>
          <w:bCs/>
          <w:sz w:val="28"/>
          <w:szCs w:val="28"/>
          <w:highlight w:val="none"/>
        </w:rPr>
        <w:t>传</w:t>
      </w:r>
      <w:r>
        <w:rPr>
          <w:rFonts w:asciiTheme="minorEastAsia" w:hAnsiTheme="minorEastAsia" w:eastAsiaTheme="minorEastAsia"/>
          <w:bCs/>
          <w:sz w:val="28"/>
          <w:szCs w:val="28"/>
          <w:highlight w:val="none"/>
        </w:rPr>
        <w:t xml:space="preserve">      </w:t>
      </w:r>
      <w:r>
        <w:rPr>
          <w:rFonts w:hint="eastAsia" w:asciiTheme="minorEastAsia" w:hAnsiTheme="minorEastAsia" w:eastAsiaTheme="minorEastAsia"/>
          <w:bCs/>
          <w:sz w:val="28"/>
          <w:szCs w:val="28"/>
          <w:highlight w:val="none"/>
        </w:rPr>
        <w:t>真：</w:t>
      </w:r>
      <w:r>
        <w:rPr>
          <w:rFonts w:asciiTheme="minorEastAsia" w:hAnsiTheme="minorEastAsia" w:eastAsiaTheme="minorEastAsia"/>
          <w:bCs/>
          <w:sz w:val="28"/>
          <w:szCs w:val="28"/>
          <w:highlight w:val="none"/>
          <w:u w:val="single"/>
        </w:rPr>
        <w:t xml:space="preserve">                </w:t>
      </w:r>
      <w:r>
        <w:rPr>
          <w:rFonts w:asciiTheme="minorEastAsia" w:hAnsiTheme="minorEastAsia" w:eastAsiaTheme="minorEastAsia"/>
          <w:bCs/>
          <w:sz w:val="28"/>
          <w:szCs w:val="28"/>
          <w:highlight w:val="none"/>
        </w:rPr>
        <w:t xml:space="preserve">         传      真：</w:t>
      </w:r>
      <w:r>
        <w:rPr>
          <w:rFonts w:asciiTheme="minorEastAsia" w:hAnsiTheme="minorEastAsia" w:eastAsiaTheme="minorEastAsia"/>
          <w:bCs/>
          <w:sz w:val="28"/>
          <w:szCs w:val="28"/>
          <w:highlight w:val="none"/>
          <w:u w:val="single"/>
        </w:rPr>
        <w:t xml:space="preserve">                   </w:t>
      </w:r>
    </w:p>
    <w:p w14:paraId="53AEFC1A">
      <w:pPr>
        <w:adjustRightInd w:val="0"/>
        <w:snapToGrid w:val="0"/>
        <w:spacing w:line="560" w:lineRule="exact"/>
        <w:rPr>
          <w:rFonts w:asciiTheme="minorEastAsia" w:hAnsiTheme="minorEastAsia" w:eastAsiaTheme="minorEastAsia"/>
          <w:bCs/>
          <w:sz w:val="28"/>
          <w:szCs w:val="28"/>
          <w:highlight w:val="none"/>
        </w:rPr>
      </w:pPr>
      <w:r>
        <w:rPr>
          <w:rFonts w:hint="eastAsia" w:asciiTheme="minorEastAsia" w:hAnsiTheme="minorEastAsia" w:eastAsiaTheme="minorEastAsia"/>
          <w:bCs/>
          <w:sz w:val="28"/>
          <w:szCs w:val="28"/>
          <w:highlight w:val="none"/>
        </w:rPr>
        <w:t>账户名称：</w:t>
      </w:r>
      <w:r>
        <w:rPr>
          <w:rFonts w:asciiTheme="minorEastAsia" w:hAnsiTheme="minorEastAsia" w:eastAsiaTheme="minorEastAsia"/>
          <w:bCs/>
          <w:sz w:val="28"/>
          <w:szCs w:val="28"/>
          <w:highlight w:val="none"/>
          <w:u w:val="single"/>
        </w:rPr>
        <w:t xml:space="preserve">                  </w:t>
      </w:r>
      <w:r>
        <w:rPr>
          <w:rFonts w:asciiTheme="minorEastAsia" w:hAnsiTheme="minorEastAsia" w:eastAsiaTheme="minorEastAsia"/>
          <w:bCs/>
          <w:sz w:val="28"/>
          <w:szCs w:val="28"/>
          <w:highlight w:val="none"/>
        </w:rPr>
        <w:t xml:space="preserve">         账户名称：</w:t>
      </w:r>
      <w:r>
        <w:rPr>
          <w:rFonts w:asciiTheme="minorEastAsia" w:hAnsiTheme="minorEastAsia" w:eastAsiaTheme="minorEastAsia"/>
          <w:bCs/>
          <w:sz w:val="28"/>
          <w:szCs w:val="28"/>
          <w:highlight w:val="none"/>
          <w:u w:val="single"/>
        </w:rPr>
        <w:t xml:space="preserve">                    </w:t>
      </w:r>
    </w:p>
    <w:p w14:paraId="667F8465">
      <w:pPr>
        <w:widowControl/>
        <w:adjustRightInd w:val="0"/>
        <w:snapToGrid w:val="0"/>
        <w:spacing w:line="560" w:lineRule="exact"/>
        <w:jc w:val="left"/>
        <w:rPr>
          <w:rFonts w:asciiTheme="minorEastAsia" w:hAnsiTheme="minorEastAsia" w:eastAsiaTheme="minorEastAsia"/>
          <w:bCs/>
          <w:sz w:val="28"/>
          <w:szCs w:val="28"/>
          <w:highlight w:val="none"/>
          <w:u w:val="single"/>
        </w:rPr>
      </w:pPr>
      <w:r>
        <w:rPr>
          <w:rFonts w:hint="eastAsia" w:asciiTheme="minorEastAsia" w:hAnsiTheme="minorEastAsia" w:eastAsiaTheme="minorEastAsia"/>
          <w:bCs/>
          <w:sz w:val="28"/>
          <w:szCs w:val="28"/>
          <w:highlight w:val="none"/>
        </w:rPr>
        <w:t>开户银行：</w:t>
      </w:r>
      <w:r>
        <w:rPr>
          <w:rFonts w:asciiTheme="minorEastAsia" w:hAnsiTheme="minorEastAsia" w:eastAsiaTheme="minorEastAsia"/>
          <w:bCs/>
          <w:sz w:val="28"/>
          <w:szCs w:val="28"/>
          <w:highlight w:val="none"/>
          <w:u w:val="single"/>
        </w:rPr>
        <w:t xml:space="preserve">                  </w:t>
      </w:r>
      <w:r>
        <w:rPr>
          <w:rFonts w:asciiTheme="minorEastAsia" w:hAnsiTheme="minorEastAsia" w:eastAsiaTheme="minorEastAsia"/>
          <w:bCs/>
          <w:sz w:val="28"/>
          <w:szCs w:val="28"/>
          <w:highlight w:val="none"/>
        </w:rPr>
        <w:t xml:space="preserve">         </w:t>
      </w:r>
      <w:r>
        <w:rPr>
          <w:rFonts w:hint="eastAsia" w:asciiTheme="minorEastAsia" w:hAnsiTheme="minorEastAsia" w:eastAsiaTheme="minorEastAsia"/>
          <w:bCs/>
          <w:sz w:val="28"/>
          <w:szCs w:val="28"/>
          <w:highlight w:val="none"/>
        </w:rPr>
        <w:t>开户银行：</w:t>
      </w:r>
      <w:r>
        <w:rPr>
          <w:rFonts w:asciiTheme="minorEastAsia" w:hAnsiTheme="minorEastAsia" w:eastAsiaTheme="minorEastAsia"/>
          <w:bCs/>
          <w:sz w:val="28"/>
          <w:szCs w:val="28"/>
          <w:highlight w:val="none"/>
          <w:u w:val="single"/>
        </w:rPr>
        <w:t xml:space="preserve">                    </w:t>
      </w:r>
    </w:p>
    <w:p w14:paraId="51AFA059">
      <w:pPr>
        <w:widowControl/>
        <w:adjustRightInd w:val="0"/>
        <w:snapToGrid w:val="0"/>
        <w:spacing w:line="560" w:lineRule="exact"/>
        <w:jc w:val="left"/>
        <w:rPr>
          <w:rFonts w:ascii="宋体" w:hAnsi="宋体"/>
          <w:bCs/>
          <w:szCs w:val="21"/>
          <w:highlight w:val="none"/>
          <w:u w:val="single"/>
        </w:rPr>
      </w:pPr>
      <w:r>
        <w:rPr>
          <w:rFonts w:hint="eastAsia" w:asciiTheme="minorEastAsia" w:hAnsiTheme="minorEastAsia" w:eastAsiaTheme="minorEastAsia"/>
          <w:bCs/>
          <w:sz w:val="28"/>
          <w:szCs w:val="28"/>
          <w:highlight w:val="none"/>
        </w:rPr>
        <w:t>账    号：</w:t>
      </w:r>
      <w:r>
        <w:rPr>
          <w:rFonts w:hint="eastAsia" w:asciiTheme="minorEastAsia" w:hAnsiTheme="minorEastAsia" w:eastAsiaTheme="minorEastAsia"/>
          <w:bCs/>
          <w:sz w:val="28"/>
          <w:szCs w:val="28"/>
          <w:highlight w:val="none"/>
          <w:u w:val="single"/>
        </w:rPr>
        <w:t xml:space="preserve">  </w:t>
      </w:r>
      <w:r>
        <w:rPr>
          <w:rFonts w:hint="eastAsia" w:ascii="宋体" w:hAnsi="宋体"/>
          <w:bCs/>
          <w:szCs w:val="21"/>
          <w:highlight w:val="none"/>
          <w:u w:val="single"/>
        </w:rPr>
        <w:t xml:space="preserve">                     </w:t>
      </w:r>
      <w:r>
        <w:rPr>
          <w:rFonts w:hint="eastAsia" w:ascii="宋体" w:hAnsi="宋体"/>
          <w:bCs/>
          <w:szCs w:val="21"/>
          <w:highlight w:val="none"/>
        </w:rPr>
        <w:t xml:space="preserve">  </w:t>
      </w:r>
      <w:r>
        <w:rPr>
          <w:rFonts w:hint="eastAsia" w:asciiTheme="minorEastAsia" w:hAnsiTheme="minorEastAsia" w:eastAsiaTheme="minorEastAsia"/>
          <w:bCs/>
          <w:sz w:val="28"/>
          <w:szCs w:val="28"/>
          <w:highlight w:val="none"/>
        </w:rPr>
        <w:t xml:space="preserve"> </w:t>
      </w:r>
      <w:r>
        <w:rPr>
          <w:rFonts w:asciiTheme="minorEastAsia" w:hAnsiTheme="minorEastAsia" w:eastAsiaTheme="minorEastAsia"/>
          <w:bCs/>
          <w:sz w:val="28"/>
          <w:szCs w:val="28"/>
          <w:highlight w:val="none"/>
        </w:rPr>
        <w:t xml:space="preserve">       </w:t>
      </w:r>
      <w:r>
        <w:rPr>
          <w:rFonts w:hint="eastAsia" w:asciiTheme="minorEastAsia" w:hAnsiTheme="minorEastAsia" w:eastAsiaTheme="minorEastAsia"/>
          <w:bCs/>
          <w:sz w:val="28"/>
          <w:szCs w:val="28"/>
          <w:highlight w:val="none"/>
        </w:rPr>
        <w:t>账    号：</w:t>
      </w:r>
      <w:r>
        <w:rPr>
          <w:rFonts w:hint="eastAsia" w:asciiTheme="minorEastAsia" w:hAnsiTheme="minorEastAsia" w:eastAsiaTheme="minorEastAsia"/>
          <w:bCs/>
          <w:sz w:val="28"/>
          <w:szCs w:val="28"/>
          <w:highlight w:val="none"/>
          <w:u w:val="single"/>
        </w:rPr>
        <w:t xml:space="preserve"> </w:t>
      </w:r>
      <w:r>
        <w:rPr>
          <w:rFonts w:hint="eastAsia" w:ascii="宋体" w:hAnsi="宋体"/>
          <w:bCs/>
          <w:szCs w:val="21"/>
          <w:highlight w:val="none"/>
          <w:u w:val="single"/>
        </w:rPr>
        <w:t xml:space="preserve">  </w:t>
      </w:r>
      <w:r>
        <w:rPr>
          <w:rFonts w:ascii="宋体" w:hAnsi="宋体"/>
          <w:bCs/>
          <w:szCs w:val="21"/>
          <w:highlight w:val="none"/>
          <w:u w:val="single"/>
        </w:rPr>
        <w:t xml:space="preserve">                       </w:t>
      </w:r>
    </w:p>
    <w:sectPr>
      <w:headerReference r:id="rId25" w:type="default"/>
      <w:pgSz w:w="11906" w:h="16838"/>
      <w:pgMar w:top="1418" w:right="1134" w:bottom="1418" w:left="1418" w:header="851" w:footer="992" w:gutter="0"/>
      <w:pgNumType w:fmt="decimal"/>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等线 Light">
    <w:panose1 w:val="02010600030101010101"/>
    <w:charset w:val="86"/>
    <w:family w:val="auto"/>
    <w:pitch w:val="default"/>
    <w:sig w:usb0="A00002BF" w:usb1="38CF7CFA" w:usb2="00000016" w:usb3="00000000" w:csb0="0004000F"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10006FF" w:usb1="4000205B" w:usb2="00000010" w:usb3="00000000" w:csb0="2000019F" w:csb1="00000000"/>
  </w:font>
  <w:font w:name="Arial Unicode MS">
    <w:altName w:val="宋体"/>
    <w:panose1 w:val="020B0604020202020204"/>
    <w:charset w:val="86"/>
    <w:family w:val="swiss"/>
    <w:pitch w:val="default"/>
    <w:sig w:usb0="00000000" w:usb1="00000000" w:usb2="0000003F" w:usb3="00000000" w:csb0="603F01FF" w:csb1="FFFF0000"/>
  </w:font>
  <w:font w:name="TimesNewRomanPSMT">
    <w:altName w:val="Times New Roman"/>
    <w:panose1 w:val="00000000000000000000"/>
    <w:charset w:val="86"/>
    <w:family w:val="auto"/>
    <w:pitch w:val="default"/>
    <w:sig w:usb0="00000000" w:usb1="00000000" w:usb2="00000010" w:usb3="00000000" w:csb0="00040000" w:csb1="00000000"/>
  </w:font>
  <w:font w:name="Cambria">
    <w:panose1 w:val="02040503050406030204"/>
    <w:charset w:val="00"/>
    <w:family w:val="roman"/>
    <w:pitch w:val="default"/>
    <w:sig w:usb0="E00002FF" w:usb1="400004FF" w:usb2="00000000" w:usb3="00000000" w:csb0="2000019F" w:csb1="00000000"/>
  </w:font>
  <w:font w:name="Calibri Light">
    <w:panose1 w:val="020F0302020204030204"/>
    <w:charset w:val="00"/>
    <w:family w:val="swiss"/>
    <w:pitch w:val="default"/>
    <w:sig w:usb0="A00002EF" w:usb1="4000207B" w:usb2="00000000" w:usb3="00000000" w:csb0="2000019F" w:csb1="00000000"/>
  </w:font>
  <w:font w:name="华文中宋">
    <w:panose1 w:val="02010600040101010101"/>
    <w:charset w:val="86"/>
    <w:family w:val="auto"/>
    <w:pitch w:val="default"/>
    <w:sig w:usb0="00000287" w:usb1="080F0000" w:usb2="00000000" w:usb3="00000000" w:csb0="0004009F" w:csb1="DFD7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modern"/>
    <w:pitch w:val="default"/>
    <w:sig w:usb0="800002BF" w:usb1="38CF7CFA" w:usb2="00000016" w:usb3="00000000" w:csb0="00040001" w:csb1="00000000"/>
  </w:font>
  <w:font w:name="MS Gothic">
    <w:panose1 w:val="020B0609070205080204"/>
    <w:charset w:val="80"/>
    <w:family w:val="modern"/>
    <w:pitch w:val="default"/>
    <w:sig w:usb0="E00002FF" w:usb1="6AC7FDFB" w:usb2="00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13D870">
    <w:pPr>
      <w:pStyle w:val="27"/>
    </w:pPr>
    <w:r>
      <w:rPr>
        <w:sz w:val="18"/>
      </w:rPr>
      <mc:AlternateContent>
        <mc:Choice Requires="wps">
          <w:drawing>
            <wp:anchor distT="0" distB="0" distL="114300" distR="114300" simplePos="0" relativeHeight="251673600" behindDoc="0" locked="0" layoutInCell="1" allowOverlap="1">
              <wp:simplePos x="0" y="0"/>
              <wp:positionH relativeFrom="margin">
                <wp:align>center</wp:align>
              </wp:positionH>
              <wp:positionV relativeFrom="paragraph">
                <wp:posOffset>0</wp:posOffset>
              </wp:positionV>
              <wp:extent cx="1828800" cy="1828800"/>
              <wp:effectExtent l="0" t="0" r="0" b="0"/>
              <wp:wrapNone/>
              <wp:docPr id="21" name="文本框 2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2A9403F">
                          <w:pPr>
                            <w:pStyle w:val="27"/>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36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bfDwky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t8PCTICAABjBAAADgAAAAAAAAABACAAAAAfAQAAZHJzL2Uyb0RvYy54bWxQSwUG&#10;AAAAAAYABgBZAQAAwwUAAAAA&#10;">
              <v:fill on="f" focussize="0,0"/>
              <v:stroke on="f" weight="0.5pt"/>
              <v:imagedata o:title=""/>
              <o:lock v:ext="edit" aspectratio="f"/>
              <v:textbox inset="0mm,0mm,0mm,0mm" style="mso-fit-shape-to-text:t;">
                <w:txbxContent>
                  <w:p w14:paraId="62A9403F">
                    <w:pPr>
                      <w:pStyle w:val="27"/>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A19209">
    <w:pPr>
      <w:pStyle w:val="27"/>
      <w:jc w:val="center"/>
    </w:pPr>
    <w:r>
      <w:rPr>
        <w:sz w:val="18"/>
      </w:rPr>
      <mc:AlternateContent>
        <mc:Choice Requires="wps">
          <w:drawing>
            <wp:anchor distT="0" distB="0" distL="114300" distR="114300" simplePos="0" relativeHeight="251674624" behindDoc="0" locked="0" layoutInCell="1" allowOverlap="1">
              <wp:simplePos x="0" y="0"/>
              <wp:positionH relativeFrom="margin">
                <wp:align>center</wp:align>
              </wp:positionH>
              <wp:positionV relativeFrom="paragraph">
                <wp:posOffset>0</wp:posOffset>
              </wp:positionV>
              <wp:extent cx="1828800" cy="1828800"/>
              <wp:effectExtent l="0" t="0" r="0" b="0"/>
              <wp:wrapNone/>
              <wp:docPr id="22" name="文本框 2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2F04D98">
                          <w:pPr>
                            <w:pStyle w:val="27"/>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46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EhxuI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ESHG4jICAABjBAAADgAAAAAAAAABACAAAAAfAQAAZHJzL2Uyb0RvYy54bWxQSwUG&#10;AAAAAAYABgBZAQAAwwUAAAAA&#10;">
              <v:fill on="f" focussize="0,0"/>
              <v:stroke on="f" weight="0.5pt"/>
              <v:imagedata o:title=""/>
              <o:lock v:ext="edit" aspectratio="f"/>
              <v:textbox inset="0mm,0mm,0mm,0mm" style="mso-fit-shape-to-text:t;">
                <w:txbxContent>
                  <w:p w14:paraId="62F04D98">
                    <w:pPr>
                      <w:pStyle w:val="27"/>
                    </w:pPr>
                    <w:r>
                      <w:fldChar w:fldCharType="begin"/>
                    </w:r>
                    <w:r>
                      <w:instrText xml:space="preserve"> PAGE  \* MERGEFORMAT </w:instrText>
                    </w:r>
                    <w:r>
                      <w:fldChar w:fldCharType="separate"/>
                    </w:r>
                    <w:r>
                      <w:t>1</w:t>
                    </w:r>
                    <w:r>
                      <w:fldChar w:fldCharType="end"/>
                    </w:r>
                  </w:p>
                </w:txbxContent>
              </v:textbox>
            </v:shape>
          </w:pict>
        </mc:Fallback>
      </mc:AlternateContent>
    </w:r>
  </w:p>
  <w:p w14:paraId="4EAD761E">
    <w:pPr>
      <w:pStyle w:val="2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D34409">
    <w:pPr>
      <w:pStyle w:val="27"/>
      <w:jc w:val="center"/>
    </w:pPr>
    <w:r>
      <w:rPr>
        <w:sz w:val="18"/>
      </w:rPr>
      <mc:AlternateContent>
        <mc:Choice Requires="wps">
          <w:drawing>
            <wp:anchor distT="0" distB="0" distL="114300" distR="114300" simplePos="0" relativeHeight="251675648" behindDoc="0" locked="0" layoutInCell="1" allowOverlap="1">
              <wp:simplePos x="0" y="0"/>
              <wp:positionH relativeFrom="margin">
                <wp:align>center</wp:align>
              </wp:positionH>
              <wp:positionV relativeFrom="paragraph">
                <wp:posOffset>0</wp:posOffset>
              </wp:positionV>
              <wp:extent cx="1828800" cy="1828800"/>
              <wp:effectExtent l="0" t="0" r="0" b="0"/>
              <wp:wrapNone/>
              <wp:docPr id="23" name="文本框 2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8496235">
                          <w:pPr>
                            <w:pStyle w:val="27"/>
                          </w:pPr>
                          <w:r>
                            <w:fldChar w:fldCharType="begin"/>
                          </w:r>
                          <w:r>
                            <w:instrText xml:space="preserve"> PAGE  \* MERGEFORMAT </w:instrText>
                          </w:r>
                          <w:r>
                            <w:fldChar w:fldCharType="separate"/>
                          </w:r>
                          <w:r>
                            <w:t>80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564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OJUQ0z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9MrSgzTqPj5x/fz&#10;z9/nX98IziBQ7cIccQ8OkbF5Zxu0zXAecJh4N6XX6QtGBH7Ie7rIK5pIeLo0m85mY7g4fMMG+NnT&#10;dedDfC+sJsnIqUf9WlnZcRtiFzqEpGzGbqRSbQ2VIXVOr6/ejt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OJUQ0zAgAAYwQAAA4AAAAAAAAAAQAgAAAAHwEAAGRycy9lMm9Eb2MueG1sUEsF&#10;BgAAAAAGAAYAWQEAAMQFAAAAAA==&#10;">
              <v:fill on="f" focussize="0,0"/>
              <v:stroke on="f" weight="0.5pt"/>
              <v:imagedata o:title=""/>
              <o:lock v:ext="edit" aspectratio="f"/>
              <v:textbox inset="0mm,0mm,0mm,0mm" style="mso-fit-shape-to-text:t;">
                <w:txbxContent>
                  <w:p w14:paraId="78496235">
                    <w:pPr>
                      <w:pStyle w:val="27"/>
                    </w:pPr>
                    <w:r>
                      <w:fldChar w:fldCharType="begin"/>
                    </w:r>
                    <w:r>
                      <w:instrText xml:space="preserve"> PAGE  \* MERGEFORMAT </w:instrText>
                    </w:r>
                    <w:r>
                      <w:fldChar w:fldCharType="separate"/>
                    </w:r>
                    <w:r>
                      <w:t>80</w:t>
                    </w:r>
                    <w:r>
                      <w:fldChar w:fldCharType="end"/>
                    </w:r>
                  </w:p>
                </w:txbxContent>
              </v:textbox>
            </v:shape>
          </w:pict>
        </mc:Fallback>
      </mc:AlternateContent>
    </w:r>
  </w:p>
  <w:p w14:paraId="2A7FB957">
    <w:pPr>
      <w:pStyle w:val="27"/>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3293D4">
    <w:pPr>
      <w:pStyle w:val="27"/>
      <w:jc w:val="center"/>
    </w:pPr>
    <w:r>
      <w:rPr>
        <w:sz w:val="18"/>
      </w:rPr>
      <mc:AlternateContent>
        <mc:Choice Requires="wps">
          <w:drawing>
            <wp:anchor distT="0" distB="0" distL="114300" distR="114300" simplePos="0" relativeHeight="251676672" behindDoc="0" locked="0" layoutInCell="1" allowOverlap="1">
              <wp:simplePos x="0" y="0"/>
              <wp:positionH relativeFrom="margin">
                <wp:align>center</wp:align>
              </wp:positionH>
              <wp:positionV relativeFrom="paragraph">
                <wp:posOffset>0</wp:posOffset>
              </wp:positionV>
              <wp:extent cx="1828800" cy="1828800"/>
              <wp:effectExtent l="0" t="0" r="0" b="0"/>
              <wp:wrapNone/>
              <wp:docPr id="24" name="文本框 2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EEEF24D">
                          <w:pPr>
                            <w:pStyle w:val="27"/>
                          </w:pPr>
                          <w:r>
                            <w:fldChar w:fldCharType="begin"/>
                          </w:r>
                          <w:r>
                            <w:instrText xml:space="preserve"> PAGE  \* MERGEFORMAT </w:instrText>
                          </w:r>
                          <w:r>
                            <w:fldChar w:fldCharType="separate"/>
                          </w:r>
                          <w:r>
                            <w:t>86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667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7aJO4z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KGEsM0Kn768f30&#10;8+H06xvBGQRqXJgh7t4hMrbvbIu2Gc4DDhPvtvI6fcGIwA95jxd5RRsJT5emk+k0h4vDN2yAnz1e&#10;dz7E98JqkoyCetSvk5UdNiH2oUNIymbsWirV1VAZ0hT06vX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7aJO4zAgAAYwQAAA4AAAAAAAAAAQAgAAAAHwEAAGRycy9lMm9Eb2MueG1sUEsF&#10;BgAAAAAGAAYAWQEAAMQFAAAAAA==&#10;">
              <v:fill on="f" focussize="0,0"/>
              <v:stroke on="f" weight="0.5pt"/>
              <v:imagedata o:title=""/>
              <o:lock v:ext="edit" aspectratio="f"/>
              <v:textbox inset="0mm,0mm,0mm,0mm" style="mso-fit-shape-to-text:t;">
                <w:txbxContent>
                  <w:p w14:paraId="4EEEF24D">
                    <w:pPr>
                      <w:pStyle w:val="27"/>
                    </w:pPr>
                    <w:r>
                      <w:fldChar w:fldCharType="begin"/>
                    </w:r>
                    <w:r>
                      <w:instrText xml:space="preserve"> PAGE  \* MERGEFORMAT </w:instrText>
                    </w:r>
                    <w:r>
                      <w:fldChar w:fldCharType="separate"/>
                    </w:r>
                    <w:r>
                      <w:t>86</w:t>
                    </w:r>
                    <w:r>
                      <w:fldChar w:fldCharType="end"/>
                    </w:r>
                  </w:p>
                </w:txbxContent>
              </v:textbox>
            </v:shape>
          </w:pict>
        </mc:Fallback>
      </mc:AlternateContent>
    </w:r>
  </w:p>
  <w:p w14:paraId="56F17982">
    <w:pPr>
      <w:pStyle w:val="27"/>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6319F0">
    <w:pPr>
      <w:pStyle w:val="28"/>
      <w:pBdr>
        <w:top w:val="none" w:color="auto" w:sz="0" w:space="1"/>
        <w:left w:val="none" w:color="auto" w:sz="0" w:space="4"/>
        <w:bottom w:val="none" w:color="auto" w:sz="0" w:space="1"/>
        <w:right w:val="none" w:color="auto" w:sz="0" w:space="4"/>
      </w:pBdr>
      <w:jc w:val="both"/>
      <w:rPr>
        <w:rFonts w:ascii="楷体_GB2312" w:eastAsia="楷体_GB2312"/>
        <w:sz w:val="21"/>
        <w:szCs w:val="21"/>
      </w:rPr>
    </w:pPr>
    <w:r>
      <w:rPr>
        <w:rFonts w:ascii="楷体_GB2312" w:eastAsia="楷体_GB2312"/>
        <w:sz w:val="21"/>
        <w:szCs w:val="21"/>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0B5BE8">
    <w:pPr>
      <w:pStyle w:val="28"/>
    </w:pPr>
    <w:r>
      <w:pict>
        <v:shape id="PowerPlusWaterMarkObject124978344" o:spid="_x0000_s2050" o:spt="136" type="#_x0000_t136" style="position:absolute;left:0pt;height:219.8pt;width:439.6pt;mso-position-horizontal:center;mso-position-horizontal-relative:margin;mso-position-vertical:center;mso-position-vertical-relative:margin;rotation:20643840f;z-index:-251650048;mso-width-relative:page;mso-height-relative:page;" fillcolor="#C0C0C0" filled="t" stroked="f" coordsize="21600,21600" o:allowincell="f">
          <v:path/>
          <v:fill on="t" opacity="32768f" focussize="0,0"/>
          <v:stroke on="f"/>
          <v:imagedata o:title=""/>
          <o:lock v:ext="edit"/>
          <v:textpath on="t" fitshape="t" fitpath="t" trim="f" xscale="f" string="线下" style="font-family:宋体;font-size:1pt;v-text-align:center;"/>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D69B0F">
    <w:pPr>
      <w:pStyle w:val="28"/>
    </w:pPr>
    <w:r>
      <w:pict>
        <v:shape id="PowerPlusWaterMarkObject124978343" o:spid="_x0000_s2049" o:spt="136" type="#_x0000_t136" style="position:absolute;left:0pt;height:219.8pt;width:439.6pt;mso-position-horizontal:center;mso-position-horizontal-relative:margin;mso-position-vertical:center;mso-position-vertical-relative:margin;rotation:20643840f;z-index:-251651072;mso-width-relative:page;mso-height-relative:page;" fillcolor="#C0C0C0" filled="t" stroked="f" coordsize="21600,21600" o:allowincell="f">
          <v:path/>
          <v:fill on="t" opacity="32768f" focussize="0,0"/>
          <v:stroke on="f"/>
          <v:imagedata o:title=""/>
          <o:lock v:ext="edit"/>
          <v:textpath on="t" fitshape="t" fitpath="t" trim="f" xscale="f" string="线下" style="font-family:宋体;font-size:1pt;v-text-align:center;"/>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2F42E0">
    <w:pPr>
      <w:pStyle w:val="28"/>
      <w:rPr>
        <w:rFonts w:ascii="楷体_GB2312" w:eastAsia="楷体_GB2312"/>
        <w:sz w:val="21"/>
        <w:szCs w:val="21"/>
      </w:rPr>
    </w:pPr>
    <w:r>
      <w:rPr>
        <w:rFonts w:hint="eastAsia" w:ascii="楷体_GB2312" w:hAnsi="华文中宋" w:eastAsia="楷体_GB2312"/>
        <w:sz w:val="21"/>
        <w:szCs w:val="21"/>
      </w:rPr>
      <w:t>第一章 谈判须知</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2C9AAD">
    <w:pPr>
      <w:pStyle w:val="28"/>
    </w:pPr>
    <w:r>
      <w:pict>
        <v:shape id="PowerPlusWaterMarkObject124978350" o:spid="_x0000_s2056" o:spt="136" type="#_x0000_t136" style="position:absolute;left:0pt;height:219.8pt;width:439.6pt;mso-position-horizontal:center;mso-position-horizontal-relative:margin;mso-position-vertical:center;mso-position-vertical-relative:margin;rotation:20643840f;z-index:-251648000;mso-width-relative:page;mso-height-relative:page;" fillcolor="#C0C0C0" filled="t" stroked="f" coordsize="21600,21600" o:allowincell="f">
          <v:path/>
          <v:fill on="t" opacity="32768f" focussize="0,0"/>
          <v:stroke on="f"/>
          <v:imagedata o:title=""/>
          <o:lock v:ext="edit"/>
          <v:textpath on="t" fitshape="t" fitpath="t" trim="f" xscale="f" string="线下" style="font-family:宋体;font-size:1pt;v-text-align:center;"/>
        </v:shape>
      </w:pic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164A3D">
    <w:pPr>
      <w:pStyle w:val="28"/>
    </w:pPr>
    <w:r>
      <w:pict>
        <v:shape id="PowerPlusWaterMarkObject124978349" o:spid="_x0000_s2055" o:spt="136" type="#_x0000_t136" style="position:absolute;left:0pt;height:219.8pt;width:439.6pt;mso-position-horizontal:center;mso-position-horizontal-relative:margin;mso-position-vertical:center;mso-position-vertical-relative:margin;rotation:20643840f;z-index:-251649024;mso-width-relative:page;mso-height-relative:page;" fillcolor="#C0C0C0" filled="t" stroked="f" coordsize="21600,21600" o:allowincell="f">
          <v:path/>
          <v:fill on="t" opacity="32768f" focussize="0,0"/>
          <v:stroke on="f"/>
          <v:imagedata o:title=""/>
          <o:lock v:ext="edit"/>
          <v:textpath on="t" fitshape="t" fitpath="t" trim="f" xscale="f" string="线下" style="font-family:宋体;font-size:1pt;v-text-align:center;"/>
        </v:shape>
      </w:pic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181B96">
    <w:pPr>
      <w:pStyle w:val="28"/>
      <w:rPr>
        <w:rFonts w:ascii="楷体_GB2312" w:eastAsia="楷体_GB2312"/>
        <w:sz w:val="21"/>
        <w:szCs w:val="21"/>
      </w:rPr>
    </w:pPr>
    <w:r>
      <w:rPr>
        <w:rFonts w:hint="eastAsia" w:ascii="楷体_GB2312" w:hAnsi="华文中宋" w:eastAsia="楷体_GB2312"/>
        <w:sz w:val="21"/>
        <w:szCs w:val="21"/>
      </w:rPr>
      <w:t>第二章 合同通用条款</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12D265">
    <w:pPr>
      <w:pStyle w:val="28"/>
    </w:pPr>
    <w:r>
      <w:pict>
        <v:shape id="PowerPlusWaterMarkObject124978353" o:spid="_x0000_s2059" o:spt="136" type="#_x0000_t136" style="position:absolute;left:0pt;height:219.8pt;width:439.6pt;mso-position-horizontal:center;mso-position-horizontal-relative:margin;mso-position-vertical:center;mso-position-vertical-relative:margin;rotation:20643840f;z-index:-251645952;mso-width-relative:page;mso-height-relative:page;" fillcolor="#C0C0C0" filled="t" stroked="f" coordsize="21600,21600" o:allowincell="f">
          <v:path/>
          <v:fill on="t" opacity="32768f" focussize="0,0"/>
          <v:stroke on="f"/>
          <v:imagedata o:title=""/>
          <o:lock v:ext="edit"/>
          <v:textpath on="t" fitshape="t" fitpath="t" trim="f" xscale="f" string="线下" style="font-family:宋体;font-size:1pt;v-text-align:center;"/>
        </v:shape>
      </w:pic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92D54E">
    <w:pPr>
      <w:pStyle w:val="28"/>
    </w:pPr>
    <w:r>
      <w:pict>
        <v:shape id="PowerPlusWaterMarkObject124978352" o:spid="_x0000_s2058" o:spt="136" type="#_x0000_t136" style="position:absolute;left:0pt;height:219.8pt;width:439.6pt;mso-position-horizontal:center;mso-position-horizontal-relative:margin;mso-position-vertical:center;mso-position-vertical-relative:margin;rotation:20643840f;z-index:-251646976;mso-width-relative:page;mso-height-relative:page;" fillcolor="#C0C0C0" filled="t" stroked="f" coordsize="21600,21600" o:allowincell="f">
          <v:path/>
          <v:fill on="t" opacity="32768f" focussize="0,0"/>
          <v:stroke on="f"/>
          <v:imagedata o:title=""/>
          <o:lock v:ext="edit"/>
          <v:textpath on="t" fitshape="t" fitpath="t" trim="f" xscale="f" string="线下" style="font-family:宋体;font-size:1pt;v-text-align:center;"/>
        </v:shape>
      </w:pic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2470BF">
    <w:pPr>
      <w:pStyle w:val="28"/>
      <w:rPr>
        <w:rFonts w:ascii="楷体_GB2312" w:eastAsia="楷体_GB2312"/>
        <w:sz w:val="21"/>
        <w:szCs w:val="21"/>
      </w:rPr>
    </w:pPr>
    <w:r>
      <w:rPr>
        <w:rFonts w:hint="eastAsia" w:ascii="楷体_GB2312" w:hAnsi="华文中宋" w:eastAsia="楷体_GB2312"/>
        <w:sz w:val="21"/>
        <w:szCs w:val="21"/>
      </w:rPr>
      <w:t>第三章 报价文件内容及格式</w:t>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C9BC25">
    <w:pPr>
      <w:pStyle w:val="28"/>
    </w:pPr>
    <w:r>
      <w:pict>
        <v:shape id="PowerPlusWaterMarkObject124978356" o:spid="_x0000_s2062" o:spt="136" type="#_x0000_t136" style="position:absolute;left:0pt;height:219.8pt;width:439.6pt;mso-position-horizontal:center;mso-position-horizontal-relative:margin;mso-position-vertical:center;mso-position-vertical-relative:margin;rotation:20643840f;z-index:-251643904;mso-width-relative:page;mso-height-relative:page;" fillcolor="#C0C0C0" filled="t" stroked="f" coordsize="21600,21600" o:allowincell="f">
          <v:path/>
          <v:fill on="t" opacity="32768f" focussize="0,0"/>
          <v:stroke on="f"/>
          <v:imagedata o:title=""/>
          <o:lock v:ext="edit"/>
          <v:textpath on="t" fitshape="t" fitpath="t" trim="f" xscale="f" string="线下" style="font-family:宋体;font-size:1pt;v-text-align:center;"/>
        </v:shape>
      </w:pict>
    </w: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5854E8">
    <w:pPr>
      <w:pStyle w:val="28"/>
    </w:pPr>
    <w:r>
      <w:pict>
        <v:shape id="PowerPlusWaterMarkObject124978355" o:spid="_x0000_s2061" o:spt="136" type="#_x0000_t136" style="position:absolute;left:0pt;height:219.8pt;width:439.6pt;mso-position-horizontal:center;mso-position-horizontal-relative:margin;mso-position-vertical:center;mso-position-vertical-relative:margin;rotation:20643840f;z-index:-251644928;mso-width-relative:page;mso-height-relative:page;" fillcolor="#C0C0C0" filled="t" stroked="f" coordsize="21600,21600" o:allowincell="f">
          <v:path/>
          <v:fill on="t" opacity="32768f" focussize="0,0"/>
          <v:stroke on="f"/>
          <v:imagedata o:title=""/>
          <o:lock v:ext="edit"/>
          <v:textpath on="t" fitshape="t" fitpath="t" trim="f" xscale="f" string="线下" style="font-family:宋体;font-size:1pt;v-text-align:center;"/>
        </v:shape>
      </w:pict>
    </w: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B15CED">
    <w:pPr>
      <w:pStyle w:val="28"/>
      <w:jc w:val="both"/>
      <w:rPr>
        <w:rFonts w:ascii="楷体_GB2312" w:eastAsia="楷体_GB2312"/>
        <w:bCs/>
        <w:sz w:val="21"/>
        <w:szCs w:val="21"/>
      </w:rP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AAC1DB">
    <w:pPr>
      <w:pStyle w:val="28"/>
      <w:pBdr>
        <w:bottom w:val="none" w:color="auto" w:sz="0" w:space="1"/>
      </w:pBdr>
      <w:rPr>
        <w:rFonts w:ascii="楷体_GB2312" w:eastAsia="楷体_GB2312"/>
        <w:sz w:val="21"/>
        <w:szCs w:val="21"/>
      </w:rP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FD1383">
    <w:pPr>
      <w:pStyle w:val="28"/>
      <w:rPr>
        <w:rFonts w:ascii="楷体_GB2312" w:eastAsia="楷体_GB2312"/>
        <w:sz w:val="21"/>
        <w:szCs w:val="21"/>
      </w:rPr>
    </w:pPr>
    <w:r>
      <w:rPr>
        <w:rFonts w:hint="eastAsia" w:ascii="楷体_GB2312" w:hAnsi="华文中宋" w:eastAsia="楷体_GB2312"/>
        <w:sz w:val="21"/>
        <w:szCs w:val="21"/>
      </w:rPr>
      <w:t>第四章 报价供应商须知前附表</w:t>
    </w: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9D4A15">
    <w:pPr>
      <w:pStyle w:val="28"/>
      <w:rPr>
        <w:rFonts w:hint="default" w:ascii="楷体_GB2312" w:hAnsi="楷体" w:eastAsia="楷体_GB2312" w:cs="楷体"/>
        <w:sz w:val="21"/>
        <w:szCs w:val="21"/>
        <w:lang w:val="en-US" w:eastAsia="zh-CN"/>
      </w:rPr>
    </w:pPr>
    <w:r>
      <w:rPr>
        <w:rFonts w:hint="eastAsia" w:ascii="楷体_GB2312" w:hAnsi="楷体" w:eastAsia="楷体_GB2312" w:cs="楷体"/>
        <w:sz w:val="21"/>
        <w:szCs w:val="21"/>
      </w:rPr>
      <w:t>第</w:t>
    </w:r>
    <w:r>
      <w:rPr>
        <w:rFonts w:hint="eastAsia" w:ascii="楷体_GB2312" w:hAnsi="楷体" w:eastAsia="楷体_GB2312" w:cs="楷体"/>
        <w:sz w:val="21"/>
        <w:szCs w:val="21"/>
        <w:lang w:eastAsia="zh-CN"/>
      </w:rPr>
      <w:t>五</w:t>
    </w:r>
    <w:r>
      <w:rPr>
        <w:rFonts w:hint="eastAsia" w:ascii="楷体_GB2312" w:hAnsi="楷体" w:eastAsia="楷体_GB2312" w:cs="楷体"/>
        <w:sz w:val="21"/>
        <w:szCs w:val="21"/>
      </w:rPr>
      <w:t xml:space="preserve">章 </w:t>
    </w:r>
    <w:r>
      <w:rPr>
        <w:rFonts w:hint="eastAsia" w:ascii="楷体_GB2312" w:hAnsi="楷体" w:eastAsia="楷体_GB2312" w:cs="楷体"/>
        <w:sz w:val="21"/>
        <w:szCs w:val="21"/>
        <w:lang w:val="en-US" w:eastAsia="zh-CN"/>
      </w:rPr>
      <w:t>竞争性谈判公告</w:t>
    </w: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074A4F">
    <w:pPr>
      <w:pStyle w:val="28"/>
      <w:rPr>
        <w:rFonts w:hint="default" w:ascii="楷体_GB2312" w:hAnsi="楷体" w:eastAsia="楷体_GB2312" w:cs="楷体"/>
        <w:sz w:val="21"/>
        <w:szCs w:val="21"/>
        <w:lang w:val="en-US" w:eastAsia="zh-CN"/>
      </w:rPr>
    </w:pPr>
    <w:r>
      <w:rPr>
        <w:rFonts w:hint="eastAsia" w:ascii="楷体_GB2312" w:hAnsi="楷体" w:eastAsia="楷体_GB2312" w:cs="楷体"/>
        <w:sz w:val="21"/>
        <w:szCs w:val="21"/>
      </w:rPr>
      <w:t>第</w:t>
    </w:r>
    <w:r>
      <w:rPr>
        <w:rFonts w:hint="eastAsia" w:ascii="楷体_GB2312" w:hAnsi="楷体" w:eastAsia="楷体_GB2312" w:cs="楷体"/>
        <w:sz w:val="21"/>
        <w:szCs w:val="21"/>
        <w:lang w:eastAsia="zh-CN"/>
      </w:rPr>
      <w:t>六</w:t>
    </w:r>
    <w:r>
      <w:rPr>
        <w:rFonts w:hint="eastAsia" w:ascii="楷体_GB2312" w:hAnsi="楷体" w:eastAsia="楷体_GB2312" w:cs="楷体"/>
        <w:sz w:val="21"/>
        <w:szCs w:val="21"/>
      </w:rPr>
      <w:t xml:space="preserve">章 </w:t>
    </w:r>
    <w:r>
      <w:rPr>
        <w:rFonts w:hint="eastAsia" w:ascii="楷体_GB2312" w:hAnsi="楷体" w:eastAsia="楷体_GB2312" w:cs="楷体"/>
        <w:sz w:val="21"/>
        <w:szCs w:val="21"/>
        <w:lang w:val="en-US" w:eastAsia="zh-CN"/>
      </w:rPr>
      <w:t>采购项目商务和技术要求</w:t>
    </w: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6C165C">
    <w:pPr>
      <w:pStyle w:val="28"/>
      <w:rPr>
        <w:rFonts w:hint="default"/>
        <w:lang w:val="en-US" w:eastAsia="zh-CN"/>
      </w:rPr>
    </w:pPr>
    <w:r>
      <w:rPr>
        <w:rFonts w:hint="eastAsia" w:ascii="楷体_GB2312" w:hAnsi="楷体" w:eastAsia="楷体_GB2312" w:cs="楷体"/>
        <w:sz w:val="21"/>
        <w:szCs w:val="21"/>
      </w:rPr>
      <w:t>第</w:t>
    </w:r>
    <w:r>
      <w:rPr>
        <w:rFonts w:hint="eastAsia" w:ascii="楷体_GB2312" w:hAnsi="楷体" w:eastAsia="楷体_GB2312" w:cs="楷体"/>
        <w:sz w:val="21"/>
        <w:szCs w:val="21"/>
        <w:lang w:eastAsia="zh-CN"/>
      </w:rPr>
      <w:t>六</w:t>
    </w:r>
    <w:r>
      <w:rPr>
        <w:rFonts w:hint="eastAsia" w:ascii="楷体_GB2312" w:hAnsi="楷体" w:eastAsia="楷体_GB2312" w:cs="楷体"/>
        <w:sz w:val="21"/>
        <w:szCs w:val="21"/>
      </w:rPr>
      <w:t xml:space="preserve">章 </w:t>
    </w:r>
    <w:r>
      <w:rPr>
        <w:rFonts w:hint="eastAsia" w:ascii="楷体_GB2312" w:hAnsi="楷体" w:eastAsia="楷体_GB2312" w:cs="楷体"/>
        <w:sz w:val="21"/>
        <w:szCs w:val="21"/>
        <w:lang w:val="en-US" w:eastAsia="zh-CN"/>
      </w:rPr>
      <w:t>采购项目商务和技术要求</w:t>
    </w: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8BDA52">
    <w:pPr>
      <w:pStyle w:val="28"/>
      <w:rPr>
        <w:rFonts w:hint="default" w:ascii="仿宋_GB2312" w:hAnsi="仿宋_GB2312" w:eastAsia="仿宋_GB2312" w:cs="仿宋_GB2312"/>
        <w:sz w:val="21"/>
        <w:szCs w:val="21"/>
        <w:lang w:val="en-US" w:eastAsia="zh-CN"/>
      </w:rPr>
    </w:pPr>
    <w:r>
      <w:rPr>
        <w:rFonts w:hint="eastAsia" w:ascii="楷体_GB2312" w:hAnsi="楷体" w:eastAsia="楷体_GB2312" w:cs="楷体"/>
        <w:sz w:val="21"/>
        <w:szCs w:val="21"/>
        <w:lang w:eastAsia="zh-CN"/>
      </w:rPr>
      <w:t>第七章</w:t>
    </w:r>
    <w:r>
      <w:rPr>
        <w:rFonts w:hint="eastAsia" w:ascii="楷体_GB2312" w:hAnsi="楷体" w:eastAsia="楷体_GB2312" w:cs="楷体"/>
        <w:sz w:val="21"/>
        <w:szCs w:val="21"/>
        <w:lang w:val="en-US" w:eastAsia="zh-CN"/>
      </w:rPr>
      <w:t xml:space="preserve"> 合同样本</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255D263"/>
    <w:multiLevelType w:val="singleLevel"/>
    <w:tmpl w:val="A255D263"/>
    <w:lvl w:ilvl="0" w:tentative="0">
      <w:start w:val="2"/>
      <w:numFmt w:val="chineseCounting"/>
      <w:suff w:val="nothing"/>
      <w:lvlText w:val="（%1）"/>
      <w:lvlJc w:val="left"/>
      <w:rPr>
        <w:rFonts w:hint="eastAsia"/>
      </w:rPr>
    </w:lvl>
  </w:abstractNum>
  <w:abstractNum w:abstractNumId="1">
    <w:nsid w:val="C3290543"/>
    <w:multiLevelType w:val="singleLevel"/>
    <w:tmpl w:val="C3290543"/>
    <w:lvl w:ilvl="0" w:tentative="0">
      <w:start w:val="4"/>
      <w:numFmt w:val="chineseCounting"/>
      <w:suff w:val="nothing"/>
      <w:lvlText w:val="（%1）"/>
      <w:lvlJc w:val="left"/>
      <w:rPr>
        <w:rFonts w:hint="eastAsia"/>
      </w:rPr>
    </w:lvl>
  </w:abstractNum>
  <w:abstractNum w:abstractNumId="2">
    <w:nsid w:val="0D5C81B7"/>
    <w:multiLevelType w:val="singleLevel"/>
    <w:tmpl w:val="0D5C81B7"/>
    <w:lvl w:ilvl="0" w:tentative="0">
      <w:start w:val="7"/>
      <w:numFmt w:val="decimal"/>
      <w:lvlText w:val="%1."/>
      <w:lvlJc w:val="left"/>
      <w:pPr>
        <w:tabs>
          <w:tab w:val="left" w:pos="312"/>
        </w:tabs>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displayBackgroundShape w:val="1"/>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UyNzFmZjIzZDUzMTVmZmE4NzNhMzc0MGI5YTcxZGMifQ=="/>
  </w:docVars>
  <w:rsids>
    <w:rsidRoot w:val="007434B4"/>
    <w:rsid w:val="00000A61"/>
    <w:rsid w:val="00000A83"/>
    <w:rsid w:val="00000FED"/>
    <w:rsid w:val="000013FE"/>
    <w:rsid w:val="0000186F"/>
    <w:rsid w:val="00001A03"/>
    <w:rsid w:val="00002521"/>
    <w:rsid w:val="00002568"/>
    <w:rsid w:val="00002840"/>
    <w:rsid w:val="000037DE"/>
    <w:rsid w:val="00003D23"/>
    <w:rsid w:val="0000430D"/>
    <w:rsid w:val="00004EAF"/>
    <w:rsid w:val="00005843"/>
    <w:rsid w:val="00006552"/>
    <w:rsid w:val="0001024D"/>
    <w:rsid w:val="00010382"/>
    <w:rsid w:val="00011281"/>
    <w:rsid w:val="00012D8A"/>
    <w:rsid w:val="00013365"/>
    <w:rsid w:val="00013466"/>
    <w:rsid w:val="00013574"/>
    <w:rsid w:val="00013923"/>
    <w:rsid w:val="00014A82"/>
    <w:rsid w:val="00014A8D"/>
    <w:rsid w:val="00015858"/>
    <w:rsid w:val="00015A29"/>
    <w:rsid w:val="00015E56"/>
    <w:rsid w:val="0001617A"/>
    <w:rsid w:val="00017581"/>
    <w:rsid w:val="000175E8"/>
    <w:rsid w:val="00017CF0"/>
    <w:rsid w:val="00017F9C"/>
    <w:rsid w:val="00024C6B"/>
    <w:rsid w:val="000252F0"/>
    <w:rsid w:val="00025EED"/>
    <w:rsid w:val="00027D0F"/>
    <w:rsid w:val="00030A53"/>
    <w:rsid w:val="00031705"/>
    <w:rsid w:val="00031A88"/>
    <w:rsid w:val="00031BBE"/>
    <w:rsid w:val="00031C52"/>
    <w:rsid w:val="00032D53"/>
    <w:rsid w:val="000333AE"/>
    <w:rsid w:val="00033EFF"/>
    <w:rsid w:val="000341DE"/>
    <w:rsid w:val="00035663"/>
    <w:rsid w:val="000358FA"/>
    <w:rsid w:val="00035B2B"/>
    <w:rsid w:val="00035C13"/>
    <w:rsid w:val="00036320"/>
    <w:rsid w:val="0003715A"/>
    <w:rsid w:val="0003794C"/>
    <w:rsid w:val="00040247"/>
    <w:rsid w:val="00040313"/>
    <w:rsid w:val="00040E14"/>
    <w:rsid w:val="0004234C"/>
    <w:rsid w:val="0004444E"/>
    <w:rsid w:val="00045855"/>
    <w:rsid w:val="00045B4B"/>
    <w:rsid w:val="00045F7D"/>
    <w:rsid w:val="000460A8"/>
    <w:rsid w:val="00046881"/>
    <w:rsid w:val="00046B3B"/>
    <w:rsid w:val="00047440"/>
    <w:rsid w:val="0004759C"/>
    <w:rsid w:val="00047E16"/>
    <w:rsid w:val="00047F88"/>
    <w:rsid w:val="0005019F"/>
    <w:rsid w:val="00050652"/>
    <w:rsid w:val="000508AD"/>
    <w:rsid w:val="0005168D"/>
    <w:rsid w:val="0005208E"/>
    <w:rsid w:val="00052342"/>
    <w:rsid w:val="00052B20"/>
    <w:rsid w:val="00052DBD"/>
    <w:rsid w:val="0005383E"/>
    <w:rsid w:val="00053BE1"/>
    <w:rsid w:val="00053C94"/>
    <w:rsid w:val="00055AC8"/>
    <w:rsid w:val="000566BD"/>
    <w:rsid w:val="0005678A"/>
    <w:rsid w:val="0005701C"/>
    <w:rsid w:val="00057A68"/>
    <w:rsid w:val="00060695"/>
    <w:rsid w:val="000606A2"/>
    <w:rsid w:val="00060C04"/>
    <w:rsid w:val="0006124F"/>
    <w:rsid w:val="00061310"/>
    <w:rsid w:val="000614FC"/>
    <w:rsid w:val="00061914"/>
    <w:rsid w:val="00061B37"/>
    <w:rsid w:val="000620A1"/>
    <w:rsid w:val="000638C9"/>
    <w:rsid w:val="0006395F"/>
    <w:rsid w:val="00065B10"/>
    <w:rsid w:val="00065B59"/>
    <w:rsid w:val="000662FC"/>
    <w:rsid w:val="000666F2"/>
    <w:rsid w:val="000675E6"/>
    <w:rsid w:val="000677C7"/>
    <w:rsid w:val="00067D0B"/>
    <w:rsid w:val="000709FB"/>
    <w:rsid w:val="00070B21"/>
    <w:rsid w:val="00070F95"/>
    <w:rsid w:val="0007140C"/>
    <w:rsid w:val="0007188D"/>
    <w:rsid w:val="00072573"/>
    <w:rsid w:val="0007343D"/>
    <w:rsid w:val="000740D0"/>
    <w:rsid w:val="00074523"/>
    <w:rsid w:val="000745C1"/>
    <w:rsid w:val="0007473A"/>
    <w:rsid w:val="00074CB8"/>
    <w:rsid w:val="00076502"/>
    <w:rsid w:val="00076523"/>
    <w:rsid w:val="000775DD"/>
    <w:rsid w:val="000777C0"/>
    <w:rsid w:val="00077E78"/>
    <w:rsid w:val="00081000"/>
    <w:rsid w:val="00082346"/>
    <w:rsid w:val="00082EBA"/>
    <w:rsid w:val="0008332D"/>
    <w:rsid w:val="00083A04"/>
    <w:rsid w:val="00083B76"/>
    <w:rsid w:val="000841E5"/>
    <w:rsid w:val="00085204"/>
    <w:rsid w:val="00085B42"/>
    <w:rsid w:val="00086CA3"/>
    <w:rsid w:val="00086D4B"/>
    <w:rsid w:val="00087522"/>
    <w:rsid w:val="00087CA6"/>
    <w:rsid w:val="000904BC"/>
    <w:rsid w:val="0009082C"/>
    <w:rsid w:val="000909AB"/>
    <w:rsid w:val="00090D47"/>
    <w:rsid w:val="00091751"/>
    <w:rsid w:val="000917F5"/>
    <w:rsid w:val="000921D2"/>
    <w:rsid w:val="00092E61"/>
    <w:rsid w:val="00094343"/>
    <w:rsid w:val="0009483A"/>
    <w:rsid w:val="0009530E"/>
    <w:rsid w:val="0009567C"/>
    <w:rsid w:val="00095A0E"/>
    <w:rsid w:val="00096239"/>
    <w:rsid w:val="00096A68"/>
    <w:rsid w:val="00097766"/>
    <w:rsid w:val="00097FB9"/>
    <w:rsid w:val="000A0CD6"/>
    <w:rsid w:val="000A1036"/>
    <w:rsid w:val="000A2575"/>
    <w:rsid w:val="000A25D2"/>
    <w:rsid w:val="000A2631"/>
    <w:rsid w:val="000A2B8B"/>
    <w:rsid w:val="000A3313"/>
    <w:rsid w:val="000A3BB4"/>
    <w:rsid w:val="000A4283"/>
    <w:rsid w:val="000A4354"/>
    <w:rsid w:val="000A4742"/>
    <w:rsid w:val="000A50C8"/>
    <w:rsid w:val="000A6658"/>
    <w:rsid w:val="000A75D0"/>
    <w:rsid w:val="000B0390"/>
    <w:rsid w:val="000B0F6F"/>
    <w:rsid w:val="000B1637"/>
    <w:rsid w:val="000B1715"/>
    <w:rsid w:val="000B2648"/>
    <w:rsid w:val="000B2722"/>
    <w:rsid w:val="000B2905"/>
    <w:rsid w:val="000B320F"/>
    <w:rsid w:val="000B33DF"/>
    <w:rsid w:val="000B34F6"/>
    <w:rsid w:val="000B3A4F"/>
    <w:rsid w:val="000B447F"/>
    <w:rsid w:val="000B4504"/>
    <w:rsid w:val="000B48CB"/>
    <w:rsid w:val="000B5D7D"/>
    <w:rsid w:val="000B5E13"/>
    <w:rsid w:val="000B67D9"/>
    <w:rsid w:val="000B6A6A"/>
    <w:rsid w:val="000B7DF1"/>
    <w:rsid w:val="000C035B"/>
    <w:rsid w:val="000C0714"/>
    <w:rsid w:val="000C0BA1"/>
    <w:rsid w:val="000C16CF"/>
    <w:rsid w:val="000C188C"/>
    <w:rsid w:val="000C245B"/>
    <w:rsid w:val="000C2AE6"/>
    <w:rsid w:val="000C32F8"/>
    <w:rsid w:val="000C354A"/>
    <w:rsid w:val="000C4FD9"/>
    <w:rsid w:val="000C52A0"/>
    <w:rsid w:val="000C6B2C"/>
    <w:rsid w:val="000C70C2"/>
    <w:rsid w:val="000C7812"/>
    <w:rsid w:val="000D00A1"/>
    <w:rsid w:val="000D04C8"/>
    <w:rsid w:val="000D0769"/>
    <w:rsid w:val="000D0E5E"/>
    <w:rsid w:val="000D1018"/>
    <w:rsid w:val="000D211B"/>
    <w:rsid w:val="000D2A3F"/>
    <w:rsid w:val="000D344B"/>
    <w:rsid w:val="000D5249"/>
    <w:rsid w:val="000D5F13"/>
    <w:rsid w:val="000D6185"/>
    <w:rsid w:val="000D6514"/>
    <w:rsid w:val="000D6ECB"/>
    <w:rsid w:val="000D76E5"/>
    <w:rsid w:val="000E0761"/>
    <w:rsid w:val="000E0802"/>
    <w:rsid w:val="000E0BAE"/>
    <w:rsid w:val="000E1142"/>
    <w:rsid w:val="000E166F"/>
    <w:rsid w:val="000E1A7A"/>
    <w:rsid w:val="000E3DCC"/>
    <w:rsid w:val="000E4525"/>
    <w:rsid w:val="000E46D9"/>
    <w:rsid w:val="000E4E77"/>
    <w:rsid w:val="000E4E95"/>
    <w:rsid w:val="000E50DD"/>
    <w:rsid w:val="000E640C"/>
    <w:rsid w:val="000E7308"/>
    <w:rsid w:val="000E7417"/>
    <w:rsid w:val="000E741F"/>
    <w:rsid w:val="000F093B"/>
    <w:rsid w:val="000F171A"/>
    <w:rsid w:val="000F1903"/>
    <w:rsid w:val="000F1A45"/>
    <w:rsid w:val="000F1AF9"/>
    <w:rsid w:val="000F21C8"/>
    <w:rsid w:val="000F3713"/>
    <w:rsid w:val="000F376A"/>
    <w:rsid w:val="000F37AB"/>
    <w:rsid w:val="000F4155"/>
    <w:rsid w:val="000F4491"/>
    <w:rsid w:val="000F44CB"/>
    <w:rsid w:val="000F4E22"/>
    <w:rsid w:val="000F4F2F"/>
    <w:rsid w:val="000F5866"/>
    <w:rsid w:val="000F620C"/>
    <w:rsid w:val="000F6717"/>
    <w:rsid w:val="000F6981"/>
    <w:rsid w:val="000F7591"/>
    <w:rsid w:val="001000C3"/>
    <w:rsid w:val="0010071B"/>
    <w:rsid w:val="00100CE4"/>
    <w:rsid w:val="001027BD"/>
    <w:rsid w:val="0010312A"/>
    <w:rsid w:val="00103897"/>
    <w:rsid w:val="001047E3"/>
    <w:rsid w:val="00104908"/>
    <w:rsid w:val="00104D5D"/>
    <w:rsid w:val="00105A9C"/>
    <w:rsid w:val="00106446"/>
    <w:rsid w:val="00106598"/>
    <w:rsid w:val="00107077"/>
    <w:rsid w:val="00107DD7"/>
    <w:rsid w:val="00107FD9"/>
    <w:rsid w:val="00110005"/>
    <w:rsid w:val="00110169"/>
    <w:rsid w:val="00110B4B"/>
    <w:rsid w:val="001113FC"/>
    <w:rsid w:val="00111596"/>
    <w:rsid w:val="00111CC9"/>
    <w:rsid w:val="00111F7C"/>
    <w:rsid w:val="0011207D"/>
    <w:rsid w:val="00112A3D"/>
    <w:rsid w:val="00112C5C"/>
    <w:rsid w:val="001133AC"/>
    <w:rsid w:val="00113C61"/>
    <w:rsid w:val="00114B15"/>
    <w:rsid w:val="00115CAE"/>
    <w:rsid w:val="00117058"/>
    <w:rsid w:val="00117143"/>
    <w:rsid w:val="00120369"/>
    <w:rsid w:val="00120A2E"/>
    <w:rsid w:val="00120B65"/>
    <w:rsid w:val="001217FB"/>
    <w:rsid w:val="00121A14"/>
    <w:rsid w:val="00121A30"/>
    <w:rsid w:val="001228FD"/>
    <w:rsid w:val="001232B6"/>
    <w:rsid w:val="001240B1"/>
    <w:rsid w:val="00124345"/>
    <w:rsid w:val="00124FA7"/>
    <w:rsid w:val="00125769"/>
    <w:rsid w:val="00125F48"/>
    <w:rsid w:val="001260C6"/>
    <w:rsid w:val="00126231"/>
    <w:rsid w:val="001264B5"/>
    <w:rsid w:val="001264DC"/>
    <w:rsid w:val="00127083"/>
    <w:rsid w:val="0012740B"/>
    <w:rsid w:val="0013114F"/>
    <w:rsid w:val="0013172D"/>
    <w:rsid w:val="001322EF"/>
    <w:rsid w:val="001324B3"/>
    <w:rsid w:val="001336E5"/>
    <w:rsid w:val="00133EE2"/>
    <w:rsid w:val="001340C2"/>
    <w:rsid w:val="001345E9"/>
    <w:rsid w:val="00134894"/>
    <w:rsid w:val="001348D3"/>
    <w:rsid w:val="00135375"/>
    <w:rsid w:val="001370E3"/>
    <w:rsid w:val="00137DBD"/>
    <w:rsid w:val="00137DCD"/>
    <w:rsid w:val="00140DA3"/>
    <w:rsid w:val="001411CB"/>
    <w:rsid w:val="001413DF"/>
    <w:rsid w:val="001416CB"/>
    <w:rsid w:val="00141BEE"/>
    <w:rsid w:val="0014223B"/>
    <w:rsid w:val="00143121"/>
    <w:rsid w:val="00144141"/>
    <w:rsid w:val="0014428B"/>
    <w:rsid w:val="00144B01"/>
    <w:rsid w:val="00144C3B"/>
    <w:rsid w:val="00144F97"/>
    <w:rsid w:val="00145474"/>
    <w:rsid w:val="0014575C"/>
    <w:rsid w:val="00145791"/>
    <w:rsid w:val="00145878"/>
    <w:rsid w:val="0014699B"/>
    <w:rsid w:val="00146D14"/>
    <w:rsid w:val="00146FCF"/>
    <w:rsid w:val="00151BA6"/>
    <w:rsid w:val="0015269F"/>
    <w:rsid w:val="00153432"/>
    <w:rsid w:val="00153AE6"/>
    <w:rsid w:val="00153C89"/>
    <w:rsid w:val="00155095"/>
    <w:rsid w:val="00156049"/>
    <w:rsid w:val="0015624F"/>
    <w:rsid w:val="001564DB"/>
    <w:rsid w:val="00156F75"/>
    <w:rsid w:val="00157416"/>
    <w:rsid w:val="00157B5A"/>
    <w:rsid w:val="00160E3C"/>
    <w:rsid w:val="00161540"/>
    <w:rsid w:val="001617E9"/>
    <w:rsid w:val="00161B9A"/>
    <w:rsid w:val="00162175"/>
    <w:rsid w:val="00162403"/>
    <w:rsid w:val="0016254E"/>
    <w:rsid w:val="0016265E"/>
    <w:rsid w:val="00162F23"/>
    <w:rsid w:val="001637C1"/>
    <w:rsid w:val="00164199"/>
    <w:rsid w:val="0016451E"/>
    <w:rsid w:val="00164C0D"/>
    <w:rsid w:val="00164CFA"/>
    <w:rsid w:val="001655DB"/>
    <w:rsid w:val="0016583A"/>
    <w:rsid w:val="001663C1"/>
    <w:rsid w:val="00166A7A"/>
    <w:rsid w:val="00166F38"/>
    <w:rsid w:val="00166F58"/>
    <w:rsid w:val="00167313"/>
    <w:rsid w:val="001673AD"/>
    <w:rsid w:val="00167763"/>
    <w:rsid w:val="001708E8"/>
    <w:rsid w:val="00170AAA"/>
    <w:rsid w:val="00170E24"/>
    <w:rsid w:val="00170F11"/>
    <w:rsid w:val="0017148D"/>
    <w:rsid w:val="00171F60"/>
    <w:rsid w:val="0017284E"/>
    <w:rsid w:val="0017334A"/>
    <w:rsid w:val="00173713"/>
    <w:rsid w:val="00173A95"/>
    <w:rsid w:val="00173D83"/>
    <w:rsid w:val="0017404D"/>
    <w:rsid w:val="00175C3F"/>
    <w:rsid w:val="00175FE2"/>
    <w:rsid w:val="0017633E"/>
    <w:rsid w:val="001773C6"/>
    <w:rsid w:val="0017741D"/>
    <w:rsid w:val="001810E9"/>
    <w:rsid w:val="00181D2E"/>
    <w:rsid w:val="001828D3"/>
    <w:rsid w:val="00183543"/>
    <w:rsid w:val="00183B31"/>
    <w:rsid w:val="001846F2"/>
    <w:rsid w:val="001850A4"/>
    <w:rsid w:val="00185B43"/>
    <w:rsid w:val="00186927"/>
    <w:rsid w:val="001870D2"/>
    <w:rsid w:val="00190053"/>
    <w:rsid w:val="00190101"/>
    <w:rsid w:val="00190C8F"/>
    <w:rsid w:val="00191A57"/>
    <w:rsid w:val="00192075"/>
    <w:rsid w:val="001932A5"/>
    <w:rsid w:val="00193526"/>
    <w:rsid w:val="00193C11"/>
    <w:rsid w:val="00194270"/>
    <w:rsid w:val="00195771"/>
    <w:rsid w:val="001960A0"/>
    <w:rsid w:val="00197441"/>
    <w:rsid w:val="001977A5"/>
    <w:rsid w:val="00197B7E"/>
    <w:rsid w:val="001A053D"/>
    <w:rsid w:val="001A101A"/>
    <w:rsid w:val="001A12A4"/>
    <w:rsid w:val="001A130A"/>
    <w:rsid w:val="001A14B1"/>
    <w:rsid w:val="001A2976"/>
    <w:rsid w:val="001A2B6D"/>
    <w:rsid w:val="001A3AA5"/>
    <w:rsid w:val="001A3AFC"/>
    <w:rsid w:val="001A3B29"/>
    <w:rsid w:val="001A3BCB"/>
    <w:rsid w:val="001A4D9B"/>
    <w:rsid w:val="001A561A"/>
    <w:rsid w:val="001A58C6"/>
    <w:rsid w:val="001A59EB"/>
    <w:rsid w:val="001A5BD5"/>
    <w:rsid w:val="001A675A"/>
    <w:rsid w:val="001A67D3"/>
    <w:rsid w:val="001B0115"/>
    <w:rsid w:val="001B0B82"/>
    <w:rsid w:val="001B11F6"/>
    <w:rsid w:val="001B1405"/>
    <w:rsid w:val="001B15B8"/>
    <w:rsid w:val="001B2294"/>
    <w:rsid w:val="001B313B"/>
    <w:rsid w:val="001B383C"/>
    <w:rsid w:val="001B4531"/>
    <w:rsid w:val="001B4F01"/>
    <w:rsid w:val="001B589D"/>
    <w:rsid w:val="001B5907"/>
    <w:rsid w:val="001B5C78"/>
    <w:rsid w:val="001B5D87"/>
    <w:rsid w:val="001B6C7A"/>
    <w:rsid w:val="001B7056"/>
    <w:rsid w:val="001B734C"/>
    <w:rsid w:val="001B77B0"/>
    <w:rsid w:val="001C00F5"/>
    <w:rsid w:val="001C049D"/>
    <w:rsid w:val="001C0AA4"/>
    <w:rsid w:val="001C0C83"/>
    <w:rsid w:val="001C0D4F"/>
    <w:rsid w:val="001C2072"/>
    <w:rsid w:val="001C274B"/>
    <w:rsid w:val="001C2DAC"/>
    <w:rsid w:val="001C2FB2"/>
    <w:rsid w:val="001C3481"/>
    <w:rsid w:val="001C4E4C"/>
    <w:rsid w:val="001C5444"/>
    <w:rsid w:val="001C6699"/>
    <w:rsid w:val="001C685E"/>
    <w:rsid w:val="001C737E"/>
    <w:rsid w:val="001C7A6F"/>
    <w:rsid w:val="001C7B25"/>
    <w:rsid w:val="001D0129"/>
    <w:rsid w:val="001D06C8"/>
    <w:rsid w:val="001D0F5F"/>
    <w:rsid w:val="001D1282"/>
    <w:rsid w:val="001D1A86"/>
    <w:rsid w:val="001D26DC"/>
    <w:rsid w:val="001D300D"/>
    <w:rsid w:val="001D302B"/>
    <w:rsid w:val="001D37A8"/>
    <w:rsid w:val="001D4A1C"/>
    <w:rsid w:val="001D558F"/>
    <w:rsid w:val="001D574C"/>
    <w:rsid w:val="001D5B75"/>
    <w:rsid w:val="001E0663"/>
    <w:rsid w:val="001E162A"/>
    <w:rsid w:val="001E1D4A"/>
    <w:rsid w:val="001E2054"/>
    <w:rsid w:val="001E30C2"/>
    <w:rsid w:val="001E3396"/>
    <w:rsid w:val="001E385A"/>
    <w:rsid w:val="001E3A6E"/>
    <w:rsid w:val="001E3AF6"/>
    <w:rsid w:val="001E3D6A"/>
    <w:rsid w:val="001E4458"/>
    <w:rsid w:val="001E59F7"/>
    <w:rsid w:val="001E5D15"/>
    <w:rsid w:val="001E6A66"/>
    <w:rsid w:val="001E6EC4"/>
    <w:rsid w:val="001F075D"/>
    <w:rsid w:val="001F130D"/>
    <w:rsid w:val="001F1672"/>
    <w:rsid w:val="001F1819"/>
    <w:rsid w:val="001F25A9"/>
    <w:rsid w:val="001F3A23"/>
    <w:rsid w:val="001F4878"/>
    <w:rsid w:val="001F4C67"/>
    <w:rsid w:val="001F5321"/>
    <w:rsid w:val="001F534E"/>
    <w:rsid w:val="001F5B18"/>
    <w:rsid w:val="001F724E"/>
    <w:rsid w:val="001F7AFA"/>
    <w:rsid w:val="001F7DF3"/>
    <w:rsid w:val="00200789"/>
    <w:rsid w:val="002008A9"/>
    <w:rsid w:val="00200C39"/>
    <w:rsid w:val="00200D09"/>
    <w:rsid w:val="002018AB"/>
    <w:rsid w:val="002023F0"/>
    <w:rsid w:val="0020308E"/>
    <w:rsid w:val="00203B8B"/>
    <w:rsid w:val="00203EA6"/>
    <w:rsid w:val="00205CF8"/>
    <w:rsid w:val="00205FE6"/>
    <w:rsid w:val="00206018"/>
    <w:rsid w:val="00207D02"/>
    <w:rsid w:val="00210EE8"/>
    <w:rsid w:val="00210F21"/>
    <w:rsid w:val="00211F38"/>
    <w:rsid w:val="00212851"/>
    <w:rsid w:val="00213220"/>
    <w:rsid w:val="0021548B"/>
    <w:rsid w:val="002157B6"/>
    <w:rsid w:val="00215C17"/>
    <w:rsid w:val="00215D98"/>
    <w:rsid w:val="00216282"/>
    <w:rsid w:val="00216FA2"/>
    <w:rsid w:val="002203CE"/>
    <w:rsid w:val="00221240"/>
    <w:rsid w:val="00221600"/>
    <w:rsid w:val="00221BE4"/>
    <w:rsid w:val="0022324C"/>
    <w:rsid w:val="00223541"/>
    <w:rsid w:val="00223B66"/>
    <w:rsid w:val="002240A4"/>
    <w:rsid w:val="0022478B"/>
    <w:rsid w:val="0022498D"/>
    <w:rsid w:val="00224BF9"/>
    <w:rsid w:val="002253F6"/>
    <w:rsid w:val="00225547"/>
    <w:rsid w:val="0022641B"/>
    <w:rsid w:val="00226CCD"/>
    <w:rsid w:val="00227AF9"/>
    <w:rsid w:val="00227BCE"/>
    <w:rsid w:val="002303FF"/>
    <w:rsid w:val="002307DA"/>
    <w:rsid w:val="00230B4C"/>
    <w:rsid w:val="00231C9E"/>
    <w:rsid w:val="0023235C"/>
    <w:rsid w:val="00232836"/>
    <w:rsid w:val="00232D80"/>
    <w:rsid w:val="0023339C"/>
    <w:rsid w:val="00234309"/>
    <w:rsid w:val="00234F89"/>
    <w:rsid w:val="00235123"/>
    <w:rsid w:val="002362FB"/>
    <w:rsid w:val="002416E2"/>
    <w:rsid w:val="002419D0"/>
    <w:rsid w:val="00242897"/>
    <w:rsid w:val="00242A62"/>
    <w:rsid w:val="00243436"/>
    <w:rsid w:val="002440DA"/>
    <w:rsid w:val="002444EA"/>
    <w:rsid w:val="00244B2A"/>
    <w:rsid w:val="0024502F"/>
    <w:rsid w:val="00245BAC"/>
    <w:rsid w:val="00245EF6"/>
    <w:rsid w:val="00247C06"/>
    <w:rsid w:val="00250A62"/>
    <w:rsid w:val="00250EAD"/>
    <w:rsid w:val="0025131F"/>
    <w:rsid w:val="002521A3"/>
    <w:rsid w:val="0025341F"/>
    <w:rsid w:val="00253669"/>
    <w:rsid w:val="00253FFF"/>
    <w:rsid w:val="002553C4"/>
    <w:rsid w:val="00255AC7"/>
    <w:rsid w:val="002569C5"/>
    <w:rsid w:val="00256A84"/>
    <w:rsid w:val="00257F4D"/>
    <w:rsid w:val="00260902"/>
    <w:rsid w:val="00260A71"/>
    <w:rsid w:val="0026198C"/>
    <w:rsid w:val="00261AC6"/>
    <w:rsid w:val="00262FCB"/>
    <w:rsid w:val="00263A46"/>
    <w:rsid w:val="00263AB2"/>
    <w:rsid w:val="002643E5"/>
    <w:rsid w:val="00264503"/>
    <w:rsid w:val="0026458D"/>
    <w:rsid w:val="00264EB2"/>
    <w:rsid w:val="00265009"/>
    <w:rsid w:val="0026705D"/>
    <w:rsid w:val="00267C83"/>
    <w:rsid w:val="002702C6"/>
    <w:rsid w:val="00270841"/>
    <w:rsid w:val="00270DBF"/>
    <w:rsid w:val="00270FE8"/>
    <w:rsid w:val="00272498"/>
    <w:rsid w:val="002725A0"/>
    <w:rsid w:val="002725B6"/>
    <w:rsid w:val="002726B5"/>
    <w:rsid w:val="00272DCB"/>
    <w:rsid w:val="0027423B"/>
    <w:rsid w:val="002747D4"/>
    <w:rsid w:val="00275AE2"/>
    <w:rsid w:val="00276030"/>
    <w:rsid w:val="002764E4"/>
    <w:rsid w:val="00276AC4"/>
    <w:rsid w:val="00276F7B"/>
    <w:rsid w:val="0027767A"/>
    <w:rsid w:val="00277D4D"/>
    <w:rsid w:val="00280407"/>
    <w:rsid w:val="0028084E"/>
    <w:rsid w:val="002815E4"/>
    <w:rsid w:val="0028179E"/>
    <w:rsid w:val="0028240A"/>
    <w:rsid w:val="00282892"/>
    <w:rsid w:val="00283506"/>
    <w:rsid w:val="00283523"/>
    <w:rsid w:val="00283715"/>
    <w:rsid w:val="00283A43"/>
    <w:rsid w:val="002842BF"/>
    <w:rsid w:val="00284301"/>
    <w:rsid w:val="00284647"/>
    <w:rsid w:val="0028487B"/>
    <w:rsid w:val="002849EB"/>
    <w:rsid w:val="002853E8"/>
    <w:rsid w:val="002859F4"/>
    <w:rsid w:val="00285A81"/>
    <w:rsid w:val="00285BDF"/>
    <w:rsid w:val="00285F61"/>
    <w:rsid w:val="002862E3"/>
    <w:rsid w:val="002868A8"/>
    <w:rsid w:val="0028704A"/>
    <w:rsid w:val="00287BB6"/>
    <w:rsid w:val="00287E12"/>
    <w:rsid w:val="00290145"/>
    <w:rsid w:val="00290605"/>
    <w:rsid w:val="00290AA3"/>
    <w:rsid w:val="00290DAB"/>
    <w:rsid w:val="00291042"/>
    <w:rsid w:val="002913B9"/>
    <w:rsid w:val="0029153A"/>
    <w:rsid w:val="00291C24"/>
    <w:rsid w:val="00292441"/>
    <w:rsid w:val="00292657"/>
    <w:rsid w:val="00292F73"/>
    <w:rsid w:val="00293A07"/>
    <w:rsid w:val="00295039"/>
    <w:rsid w:val="002950BC"/>
    <w:rsid w:val="002958E2"/>
    <w:rsid w:val="00295CE8"/>
    <w:rsid w:val="002962B1"/>
    <w:rsid w:val="002965AD"/>
    <w:rsid w:val="00297B75"/>
    <w:rsid w:val="002A0C4E"/>
    <w:rsid w:val="002A15D6"/>
    <w:rsid w:val="002A1672"/>
    <w:rsid w:val="002A22D6"/>
    <w:rsid w:val="002A2B5D"/>
    <w:rsid w:val="002A2ED0"/>
    <w:rsid w:val="002A3505"/>
    <w:rsid w:val="002A3741"/>
    <w:rsid w:val="002A485E"/>
    <w:rsid w:val="002A4AAB"/>
    <w:rsid w:val="002A513E"/>
    <w:rsid w:val="002A5CB2"/>
    <w:rsid w:val="002A5E44"/>
    <w:rsid w:val="002A65E2"/>
    <w:rsid w:val="002A7BBC"/>
    <w:rsid w:val="002B00AE"/>
    <w:rsid w:val="002B062E"/>
    <w:rsid w:val="002B12E2"/>
    <w:rsid w:val="002B1662"/>
    <w:rsid w:val="002B3F03"/>
    <w:rsid w:val="002B4148"/>
    <w:rsid w:val="002B469A"/>
    <w:rsid w:val="002B51EA"/>
    <w:rsid w:val="002B59E5"/>
    <w:rsid w:val="002B5C26"/>
    <w:rsid w:val="002B61C9"/>
    <w:rsid w:val="002B7974"/>
    <w:rsid w:val="002C0DD0"/>
    <w:rsid w:val="002C1AB9"/>
    <w:rsid w:val="002C2883"/>
    <w:rsid w:val="002C2D6E"/>
    <w:rsid w:val="002C3042"/>
    <w:rsid w:val="002C33EB"/>
    <w:rsid w:val="002C363B"/>
    <w:rsid w:val="002C465A"/>
    <w:rsid w:val="002C4AA2"/>
    <w:rsid w:val="002C55F3"/>
    <w:rsid w:val="002C666B"/>
    <w:rsid w:val="002C6C07"/>
    <w:rsid w:val="002C6E3F"/>
    <w:rsid w:val="002C7157"/>
    <w:rsid w:val="002C7A23"/>
    <w:rsid w:val="002D04E4"/>
    <w:rsid w:val="002D13DD"/>
    <w:rsid w:val="002D1777"/>
    <w:rsid w:val="002D25B7"/>
    <w:rsid w:val="002D2F30"/>
    <w:rsid w:val="002D33ED"/>
    <w:rsid w:val="002D47DE"/>
    <w:rsid w:val="002D54C8"/>
    <w:rsid w:val="002D54FF"/>
    <w:rsid w:val="002D565B"/>
    <w:rsid w:val="002D5C40"/>
    <w:rsid w:val="002D61AB"/>
    <w:rsid w:val="002D71AA"/>
    <w:rsid w:val="002D73B2"/>
    <w:rsid w:val="002D77A2"/>
    <w:rsid w:val="002D7BB2"/>
    <w:rsid w:val="002E1F2C"/>
    <w:rsid w:val="002E273F"/>
    <w:rsid w:val="002E28E9"/>
    <w:rsid w:val="002E348F"/>
    <w:rsid w:val="002E34F6"/>
    <w:rsid w:val="002E36ED"/>
    <w:rsid w:val="002E3E18"/>
    <w:rsid w:val="002E466F"/>
    <w:rsid w:val="002E6B73"/>
    <w:rsid w:val="002E6BFE"/>
    <w:rsid w:val="002F0995"/>
    <w:rsid w:val="002F0B3D"/>
    <w:rsid w:val="002F1878"/>
    <w:rsid w:val="002F1ED9"/>
    <w:rsid w:val="002F2CFB"/>
    <w:rsid w:val="002F2E14"/>
    <w:rsid w:val="002F35ED"/>
    <w:rsid w:val="002F4310"/>
    <w:rsid w:val="002F4865"/>
    <w:rsid w:val="002F499D"/>
    <w:rsid w:val="002F57E6"/>
    <w:rsid w:val="002F5B6F"/>
    <w:rsid w:val="002F654F"/>
    <w:rsid w:val="002F6D2B"/>
    <w:rsid w:val="002F7978"/>
    <w:rsid w:val="002F7B60"/>
    <w:rsid w:val="0030203A"/>
    <w:rsid w:val="003020CB"/>
    <w:rsid w:val="00302104"/>
    <w:rsid w:val="0030277D"/>
    <w:rsid w:val="00303106"/>
    <w:rsid w:val="00303573"/>
    <w:rsid w:val="00306A74"/>
    <w:rsid w:val="00307143"/>
    <w:rsid w:val="003113B9"/>
    <w:rsid w:val="00311CEC"/>
    <w:rsid w:val="00312B59"/>
    <w:rsid w:val="00313325"/>
    <w:rsid w:val="00313A4D"/>
    <w:rsid w:val="00313F34"/>
    <w:rsid w:val="00314ACC"/>
    <w:rsid w:val="00314DB9"/>
    <w:rsid w:val="003158D4"/>
    <w:rsid w:val="0031707F"/>
    <w:rsid w:val="0031734F"/>
    <w:rsid w:val="00317639"/>
    <w:rsid w:val="00317C38"/>
    <w:rsid w:val="00320F57"/>
    <w:rsid w:val="00321CBA"/>
    <w:rsid w:val="00321E2F"/>
    <w:rsid w:val="00322ECB"/>
    <w:rsid w:val="0032303C"/>
    <w:rsid w:val="003246F2"/>
    <w:rsid w:val="00324865"/>
    <w:rsid w:val="003248E5"/>
    <w:rsid w:val="00324B01"/>
    <w:rsid w:val="00324E36"/>
    <w:rsid w:val="0032557C"/>
    <w:rsid w:val="003257AA"/>
    <w:rsid w:val="00326478"/>
    <w:rsid w:val="00326E9A"/>
    <w:rsid w:val="0032788A"/>
    <w:rsid w:val="00327D41"/>
    <w:rsid w:val="00331031"/>
    <w:rsid w:val="00331154"/>
    <w:rsid w:val="00331281"/>
    <w:rsid w:val="003321FC"/>
    <w:rsid w:val="0033310A"/>
    <w:rsid w:val="003333CF"/>
    <w:rsid w:val="0033420E"/>
    <w:rsid w:val="003347D8"/>
    <w:rsid w:val="003347F8"/>
    <w:rsid w:val="003348AD"/>
    <w:rsid w:val="003350FF"/>
    <w:rsid w:val="003351E6"/>
    <w:rsid w:val="0033575A"/>
    <w:rsid w:val="003359F2"/>
    <w:rsid w:val="00335BF6"/>
    <w:rsid w:val="003367A2"/>
    <w:rsid w:val="00336D2D"/>
    <w:rsid w:val="00337271"/>
    <w:rsid w:val="00337FAE"/>
    <w:rsid w:val="00340374"/>
    <w:rsid w:val="003405B0"/>
    <w:rsid w:val="00340734"/>
    <w:rsid w:val="0034095A"/>
    <w:rsid w:val="00340B45"/>
    <w:rsid w:val="00341D21"/>
    <w:rsid w:val="0034287E"/>
    <w:rsid w:val="00342E44"/>
    <w:rsid w:val="00343125"/>
    <w:rsid w:val="00343334"/>
    <w:rsid w:val="0034486A"/>
    <w:rsid w:val="003453C0"/>
    <w:rsid w:val="00346577"/>
    <w:rsid w:val="00346A9F"/>
    <w:rsid w:val="00346F10"/>
    <w:rsid w:val="00347500"/>
    <w:rsid w:val="00347713"/>
    <w:rsid w:val="00347D18"/>
    <w:rsid w:val="00347DC8"/>
    <w:rsid w:val="00350642"/>
    <w:rsid w:val="0035087B"/>
    <w:rsid w:val="00352E5D"/>
    <w:rsid w:val="003538B4"/>
    <w:rsid w:val="00353D3F"/>
    <w:rsid w:val="003546A7"/>
    <w:rsid w:val="00354E41"/>
    <w:rsid w:val="00355F7D"/>
    <w:rsid w:val="003565D4"/>
    <w:rsid w:val="00356C0C"/>
    <w:rsid w:val="003571D2"/>
    <w:rsid w:val="003571F7"/>
    <w:rsid w:val="00357A18"/>
    <w:rsid w:val="00357CAE"/>
    <w:rsid w:val="0036003D"/>
    <w:rsid w:val="00360170"/>
    <w:rsid w:val="003601EE"/>
    <w:rsid w:val="0036092F"/>
    <w:rsid w:val="0036212C"/>
    <w:rsid w:val="0036260D"/>
    <w:rsid w:val="003628FC"/>
    <w:rsid w:val="00363F24"/>
    <w:rsid w:val="00364709"/>
    <w:rsid w:val="00364E57"/>
    <w:rsid w:val="0036525E"/>
    <w:rsid w:val="00365849"/>
    <w:rsid w:val="00365CEB"/>
    <w:rsid w:val="0036608F"/>
    <w:rsid w:val="00367761"/>
    <w:rsid w:val="0037027C"/>
    <w:rsid w:val="00370315"/>
    <w:rsid w:val="00371061"/>
    <w:rsid w:val="003710EC"/>
    <w:rsid w:val="003723EC"/>
    <w:rsid w:val="003725C2"/>
    <w:rsid w:val="003726E1"/>
    <w:rsid w:val="00372842"/>
    <w:rsid w:val="00372FC6"/>
    <w:rsid w:val="00373228"/>
    <w:rsid w:val="0037357C"/>
    <w:rsid w:val="003738C5"/>
    <w:rsid w:val="0037398C"/>
    <w:rsid w:val="00373BCB"/>
    <w:rsid w:val="00373DDA"/>
    <w:rsid w:val="003751D4"/>
    <w:rsid w:val="00375AFE"/>
    <w:rsid w:val="003765C9"/>
    <w:rsid w:val="00376B4A"/>
    <w:rsid w:val="00376BEA"/>
    <w:rsid w:val="003772B8"/>
    <w:rsid w:val="0037765F"/>
    <w:rsid w:val="0037789B"/>
    <w:rsid w:val="0038023F"/>
    <w:rsid w:val="003805C3"/>
    <w:rsid w:val="003808DC"/>
    <w:rsid w:val="003812EE"/>
    <w:rsid w:val="00381353"/>
    <w:rsid w:val="003817D3"/>
    <w:rsid w:val="00381AD3"/>
    <w:rsid w:val="00382023"/>
    <w:rsid w:val="00382317"/>
    <w:rsid w:val="00382748"/>
    <w:rsid w:val="0038366B"/>
    <w:rsid w:val="00383E27"/>
    <w:rsid w:val="00384533"/>
    <w:rsid w:val="00384A33"/>
    <w:rsid w:val="00384F53"/>
    <w:rsid w:val="003856C7"/>
    <w:rsid w:val="0038718B"/>
    <w:rsid w:val="00390037"/>
    <w:rsid w:val="003908CB"/>
    <w:rsid w:val="00390F51"/>
    <w:rsid w:val="00391805"/>
    <w:rsid w:val="00392780"/>
    <w:rsid w:val="003946D6"/>
    <w:rsid w:val="00394FA6"/>
    <w:rsid w:val="003965DB"/>
    <w:rsid w:val="003966A4"/>
    <w:rsid w:val="003978D3"/>
    <w:rsid w:val="00397EA7"/>
    <w:rsid w:val="003A131A"/>
    <w:rsid w:val="003A1873"/>
    <w:rsid w:val="003A2CA3"/>
    <w:rsid w:val="003A3153"/>
    <w:rsid w:val="003A31C9"/>
    <w:rsid w:val="003A389D"/>
    <w:rsid w:val="003A4099"/>
    <w:rsid w:val="003A41CB"/>
    <w:rsid w:val="003A4466"/>
    <w:rsid w:val="003A4572"/>
    <w:rsid w:val="003A48A3"/>
    <w:rsid w:val="003A4DEB"/>
    <w:rsid w:val="003A56B4"/>
    <w:rsid w:val="003A597D"/>
    <w:rsid w:val="003A63A3"/>
    <w:rsid w:val="003A7CE9"/>
    <w:rsid w:val="003A7D94"/>
    <w:rsid w:val="003B02A4"/>
    <w:rsid w:val="003B074C"/>
    <w:rsid w:val="003B0865"/>
    <w:rsid w:val="003B304F"/>
    <w:rsid w:val="003B3085"/>
    <w:rsid w:val="003B30BB"/>
    <w:rsid w:val="003B36FD"/>
    <w:rsid w:val="003B3D13"/>
    <w:rsid w:val="003B4D18"/>
    <w:rsid w:val="003B52E3"/>
    <w:rsid w:val="003B57E2"/>
    <w:rsid w:val="003B5E5D"/>
    <w:rsid w:val="003B67B6"/>
    <w:rsid w:val="003B6EB4"/>
    <w:rsid w:val="003B7531"/>
    <w:rsid w:val="003C0A14"/>
    <w:rsid w:val="003C1256"/>
    <w:rsid w:val="003C1404"/>
    <w:rsid w:val="003C229B"/>
    <w:rsid w:val="003C24AD"/>
    <w:rsid w:val="003C2F63"/>
    <w:rsid w:val="003C4815"/>
    <w:rsid w:val="003C55CA"/>
    <w:rsid w:val="003C5D94"/>
    <w:rsid w:val="003C6855"/>
    <w:rsid w:val="003C70F6"/>
    <w:rsid w:val="003C73B0"/>
    <w:rsid w:val="003C7A73"/>
    <w:rsid w:val="003D061C"/>
    <w:rsid w:val="003D16A0"/>
    <w:rsid w:val="003D1765"/>
    <w:rsid w:val="003D188B"/>
    <w:rsid w:val="003D1D6F"/>
    <w:rsid w:val="003D20CE"/>
    <w:rsid w:val="003D2207"/>
    <w:rsid w:val="003D252A"/>
    <w:rsid w:val="003D36F5"/>
    <w:rsid w:val="003D3B4B"/>
    <w:rsid w:val="003D3B9A"/>
    <w:rsid w:val="003D42BA"/>
    <w:rsid w:val="003D4669"/>
    <w:rsid w:val="003D5E2A"/>
    <w:rsid w:val="003D6656"/>
    <w:rsid w:val="003D67DD"/>
    <w:rsid w:val="003D6B57"/>
    <w:rsid w:val="003E0880"/>
    <w:rsid w:val="003E0893"/>
    <w:rsid w:val="003E0C00"/>
    <w:rsid w:val="003E2013"/>
    <w:rsid w:val="003E3CBC"/>
    <w:rsid w:val="003E4724"/>
    <w:rsid w:val="003E4C21"/>
    <w:rsid w:val="003E5316"/>
    <w:rsid w:val="003E5AEC"/>
    <w:rsid w:val="003E5B81"/>
    <w:rsid w:val="003E5E8C"/>
    <w:rsid w:val="003E63DA"/>
    <w:rsid w:val="003E6E9A"/>
    <w:rsid w:val="003E6FD8"/>
    <w:rsid w:val="003E7A91"/>
    <w:rsid w:val="003F000C"/>
    <w:rsid w:val="003F0052"/>
    <w:rsid w:val="003F06DE"/>
    <w:rsid w:val="003F080A"/>
    <w:rsid w:val="003F1D10"/>
    <w:rsid w:val="003F1E69"/>
    <w:rsid w:val="003F2BA3"/>
    <w:rsid w:val="003F405E"/>
    <w:rsid w:val="003F4086"/>
    <w:rsid w:val="003F435F"/>
    <w:rsid w:val="003F4609"/>
    <w:rsid w:val="003F47E7"/>
    <w:rsid w:val="003F4887"/>
    <w:rsid w:val="003F4BB3"/>
    <w:rsid w:val="003F5820"/>
    <w:rsid w:val="003F6718"/>
    <w:rsid w:val="003F7A91"/>
    <w:rsid w:val="00400ACB"/>
    <w:rsid w:val="00400B93"/>
    <w:rsid w:val="004014AC"/>
    <w:rsid w:val="00401EA9"/>
    <w:rsid w:val="00402BA3"/>
    <w:rsid w:val="004032D1"/>
    <w:rsid w:val="004041BB"/>
    <w:rsid w:val="0040496E"/>
    <w:rsid w:val="00404CFF"/>
    <w:rsid w:val="0040556F"/>
    <w:rsid w:val="00405C57"/>
    <w:rsid w:val="0040628F"/>
    <w:rsid w:val="0040634B"/>
    <w:rsid w:val="00406717"/>
    <w:rsid w:val="004067FC"/>
    <w:rsid w:val="00406F15"/>
    <w:rsid w:val="00407DF5"/>
    <w:rsid w:val="00410F21"/>
    <w:rsid w:val="00410FD4"/>
    <w:rsid w:val="004112B7"/>
    <w:rsid w:val="004113F2"/>
    <w:rsid w:val="0041189C"/>
    <w:rsid w:val="00411C38"/>
    <w:rsid w:val="00412846"/>
    <w:rsid w:val="0041286B"/>
    <w:rsid w:val="00412E55"/>
    <w:rsid w:val="00412EDA"/>
    <w:rsid w:val="00413199"/>
    <w:rsid w:val="0041342D"/>
    <w:rsid w:val="00413ED6"/>
    <w:rsid w:val="0041470D"/>
    <w:rsid w:val="00414820"/>
    <w:rsid w:val="00414B61"/>
    <w:rsid w:val="00415069"/>
    <w:rsid w:val="00415306"/>
    <w:rsid w:val="004153E5"/>
    <w:rsid w:val="00416293"/>
    <w:rsid w:val="004165A5"/>
    <w:rsid w:val="004165E0"/>
    <w:rsid w:val="00417D39"/>
    <w:rsid w:val="0042020F"/>
    <w:rsid w:val="00420765"/>
    <w:rsid w:val="004209AD"/>
    <w:rsid w:val="00420E26"/>
    <w:rsid w:val="00421006"/>
    <w:rsid w:val="00423265"/>
    <w:rsid w:val="00423AB0"/>
    <w:rsid w:val="004241CA"/>
    <w:rsid w:val="00424412"/>
    <w:rsid w:val="00424664"/>
    <w:rsid w:val="00424DB7"/>
    <w:rsid w:val="0042508B"/>
    <w:rsid w:val="004255AF"/>
    <w:rsid w:val="00425EF9"/>
    <w:rsid w:val="00426195"/>
    <w:rsid w:val="00426293"/>
    <w:rsid w:val="00427AE6"/>
    <w:rsid w:val="0043056E"/>
    <w:rsid w:val="0043102C"/>
    <w:rsid w:val="00431770"/>
    <w:rsid w:val="00431D80"/>
    <w:rsid w:val="0043264C"/>
    <w:rsid w:val="00432ECD"/>
    <w:rsid w:val="00432EDE"/>
    <w:rsid w:val="00433361"/>
    <w:rsid w:val="00433970"/>
    <w:rsid w:val="004343D0"/>
    <w:rsid w:val="004346A4"/>
    <w:rsid w:val="00434A55"/>
    <w:rsid w:val="00434E74"/>
    <w:rsid w:val="004352D0"/>
    <w:rsid w:val="00435970"/>
    <w:rsid w:val="004366AC"/>
    <w:rsid w:val="00436879"/>
    <w:rsid w:val="00437343"/>
    <w:rsid w:val="00437C0C"/>
    <w:rsid w:val="00437DC8"/>
    <w:rsid w:val="0044073E"/>
    <w:rsid w:val="00440935"/>
    <w:rsid w:val="00440C8C"/>
    <w:rsid w:val="0044137D"/>
    <w:rsid w:val="00441DE0"/>
    <w:rsid w:val="004428F8"/>
    <w:rsid w:val="004438EC"/>
    <w:rsid w:val="004455B2"/>
    <w:rsid w:val="00445686"/>
    <w:rsid w:val="0044589A"/>
    <w:rsid w:val="00445A54"/>
    <w:rsid w:val="00445F02"/>
    <w:rsid w:val="00446471"/>
    <w:rsid w:val="00446B24"/>
    <w:rsid w:val="004470BD"/>
    <w:rsid w:val="00447425"/>
    <w:rsid w:val="00447D46"/>
    <w:rsid w:val="00447F68"/>
    <w:rsid w:val="004508EB"/>
    <w:rsid w:val="00450D37"/>
    <w:rsid w:val="004515F1"/>
    <w:rsid w:val="00453947"/>
    <w:rsid w:val="004545E1"/>
    <w:rsid w:val="00455F73"/>
    <w:rsid w:val="00456A2C"/>
    <w:rsid w:val="004571B3"/>
    <w:rsid w:val="00457B50"/>
    <w:rsid w:val="004604E3"/>
    <w:rsid w:val="00460668"/>
    <w:rsid w:val="00460A67"/>
    <w:rsid w:val="004611C1"/>
    <w:rsid w:val="00461E1A"/>
    <w:rsid w:val="00462B72"/>
    <w:rsid w:val="0046306F"/>
    <w:rsid w:val="0046318E"/>
    <w:rsid w:val="004632C6"/>
    <w:rsid w:val="004640B8"/>
    <w:rsid w:val="00464D3A"/>
    <w:rsid w:val="00465AF5"/>
    <w:rsid w:val="004661B0"/>
    <w:rsid w:val="00466929"/>
    <w:rsid w:val="00466FEA"/>
    <w:rsid w:val="004702BD"/>
    <w:rsid w:val="00470775"/>
    <w:rsid w:val="004707A5"/>
    <w:rsid w:val="0047091D"/>
    <w:rsid w:val="00470E82"/>
    <w:rsid w:val="004720BD"/>
    <w:rsid w:val="004721F2"/>
    <w:rsid w:val="00472D5C"/>
    <w:rsid w:val="00472DED"/>
    <w:rsid w:val="00473462"/>
    <w:rsid w:val="00473A7F"/>
    <w:rsid w:val="00474273"/>
    <w:rsid w:val="00474276"/>
    <w:rsid w:val="0047596E"/>
    <w:rsid w:val="00477335"/>
    <w:rsid w:val="00477865"/>
    <w:rsid w:val="00480F9B"/>
    <w:rsid w:val="0048210E"/>
    <w:rsid w:val="00482A44"/>
    <w:rsid w:val="004838AA"/>
    <w:rsid w:val="00483F80"/>
    <w:rsid w:val="00484599"/>
    <w:rsid w:val="00484AFF"/>
    <w:rsid w:val="004851C5"/>
    <w:rsid w:val="00485335"/>
    <w:rsid w:val="00485F0D"/>
    <w:rsid w:val="00487EFD"/>
    <w:rsid w:val="00490BB9"/>
    <w:rsid w:val="004911DC"/>
    <w:rsid w:val="00491899"/>
    <w:rsid w:val="004920BD"/>
    <w:rsid w:val="00493271"/>
    <w:rsid w:val="0049332A"/>
    <w:rsid w:val="0049418A"/>
    <w:rsid w:val="004944B6"/>
    <w:rsid w:val="00494A80"/>
    <w:rsid w:val="004952A2"/>
    <w:rsid w:val="004952AE"/>
    <w:rsid w:val="004972FF"/>
    <w:rsid w:val="004976E0"/>
    <w:rsid w:val="004A20BE"/>
    <w:rsid w:val="004A3B8B"/>
    <w:rsid w:val="004A3D79"/>
    <w:rsid w:val="004A4630"/>
    <w:rsid w:val="004A491E"/>
    <w:rsid w:val="004A4935"/>
    <w:rsid w:val="004A4CC2"/>
    <w:rsid w:val="004A5AEC"/>
    <w:rsid w:val="004A792F"/>
    <w:rsid w:val="004A7952"/>
    <w:rsid w:val="004A7ACC"/>
    <w:rsid w:val="004A7AFF"/>
    <w:rsid w:val="004B0749"/>
    <w:rsid w:val="004B1465"/>
    <w:rsid w:val="004B268D"/>
    <w:rsid w:val="004B4C1B"/>
    <w:rsid w:val="004B5555"/>
    <w:rsid w:val="004B582C"/>
    <w:rsid w:val="004B6A9B"/>
    <w:rsid w:val="004C0A57"/>
    <w:rsid w:val="004C11CB"/>
    <w:rsid w:val="004C159B"/>
    <w:rsid w:val="004C1CEC"/>
    <w:rsid w:val="004C2A1A"/>
    <w:rsid w:val="004C4320"/>
    <w:rsid w:val="004C4671"/>
    <w:rsid w:val="004C47B1"/>
    <w:rsid w:val="004C5584"/>
    <w:rsid w:val="004C5B11"/>
    <w:rsid w:val="004C6B9E"/>
    <w:rsid w:val="004C6C6E"/>
    <w:rsid w:val="004C780E"/>
    <w:rsid w:val="004C7E35"/>
    <w:rsid w:val="004D04CD"/>
    <w:rsid w:val="004D090D"/>
    <w:rsid w:val="004D14D8"/>
    <w:rsid w:val="004D2C1C"/>
    <w:rsid w:val="004D32A3"/>
    <w:rsid w:val="004D3D91"/>
    <w:rsid w:val="004D4549"/>
    <w:rsid w:val="004D5636"/>
    <w:rsid w:val="004D5ACE"/>
    <w:rsid w:val="004D5BB9"/>
    <w:rsid w:val="004D66A6"/>
    <w:rsid w:val="004D7834"/>
    <w:rsid w:val="004D7BF8"/>
    <w:rsid w:val="004E01E1"/>
    <w:rsid w:val="004E0B7A"/>
    <w:rsid w:val="004E0B8E"/>
    <w:rsid w:val="004E1894"/>
    <w:rsid w:val="004E18EE"/>
    <w:rsid w:val="004E2CF6"/>
    <w:rsid w:val="004E311F"/>
    <w:rsid w:val="004E3BBF"/>
    <w:rsid w:val="004E417C"/>
    <w:rsid w:val="004E4223"/>
    <w:rsid w:val="004E495B"/>
    <w:rsid w:val="004E4CC2"/>
    <w:rsid w:val="004E518C"/>
    <w:rsid w:val="004E6F94"/>
    <w:rsid w:val="004E7578"/>
    <w:rsid w:val="004F0107"/>
    <w:rsid w:val="004F0560"/>
    <w:rsid w:val="004F1699"/>
    <w:rsid w:val="004F17FB"/>
    <w:rsid w:val="004F195A"/>
    <w:rsid w:val="004F1E1D"/>
    <w:rsid w:val="004F3090"/>
    <w:rsid w:val="004F35F7"/>
    <w:rsid w:val="004F4346"/>
    <w:rsid w:val="004F4628"/>
    <w:rsid w:val="004F489A"/>
    <w:rsid w:val="004F4A39"/>
    <w:rsid w:val="004F4D75"/>
    <w:rsid w:val="004F58BD"/>
    <w:rsid w:val="004F5F21"/>
    <w:rsid w:val="004F612A"/>
    <w:rsid w:val="004F66D0"/>
    <w:rsid w:val="004F6747"/>
    <w:rsid w:val="004F6E30"/>
    <w:rsid w:val="00500332"/>
    <w:rsid w:val="00500F88"/>
    <w:rsid w:val="00501B6B"/>
    <w:rsid w:val="00504154"/>
    <w:rsid w:val="00504223"/>
    <w:rsid w:val="00504419"/>
    <w:rsid w:val="0050477B"/>
    <w:rsid w:val="005052E6"/>
    <w:rsid w:val="005057CC"/>
    <w:rsid w:val="00505858"/>
    <w:rsid w:val="00505A9A"/>
    <w:rsid w:val="00505E4D"/>
    <w:rsid w:val="00505F80"/>
    <w:rsid w:val="00506735"/>
    <w:rsid w:val="005069A5"/>
    <w:rsid w:val="005075CD"/>
    <w:rsid w:val="00507E86"/>
    <w:rsid w:val="0051089D"/>
    <w:rsid w:val="005115F3"/>
    <w:rsid w:val="00511899"/>
    <w:rsid w:val="00512BB7"/>
    <w:rsid w:val="00512BF2"/>
    <w:rsid w:val="00513834"/>
    <w:rsid w:val="00514908"/>
    <w:rsid w:val="00514A6D"/>
    <w:rsid w:val="00515EB7"/>
    <w:rsid w:val="00517489"/>
    <w:rsid w:val="00520518"/>
    <w:rsid w:val="005208EB"/>
    <w:rsid w:val="005209D7"/>
    <w:rsid w:val="00520CD4"/>
    <w:rsid w:val="005216BC"/>
    <w:rsid w:val="00521FBE"/>
    <w:rsid w:val="0052205A"/>
    <w:rsid w:val="00522FE5"/>
    <w:rsid w:val="00523329"/>
    <w:rsid w:val="00523D1E"/>
    <w:rsid w:val="0052537E"/>
    <w:rsid w:val="00525F48"/>
    <w:rsid w:val="0052611C"/>
    <w:rsid w:val="005261F1"/>
    <w:rsid w:val="00526332"/>
    <w:rsid w:val="00526620"/>
    <w:rsid w:val="00526784"/>
    <w:rsid w:val="00526E2C"/>
    <w:rsid w:val="00526F14"/>
    <w:rsid w:val="00527268"/>
    <w:rsid w:val="00527919"/>
    <w:rsid w:val="00527B44"/>
    <w:rsid w:val="00527CD2"/>
    <w:rsid w:val="00531527"/>
    <w:rsid w:val="005316B6"/>
    <w:rsid w:val="005321A3"/>
    <w:rsid w:val="00532A63"/>
    <w:rsid w:val="00533FFC"/>
    <w:rsid w:val="005346B7"/>
    <w:rsid w:val="0053539D"/>
    <w:rsid w:val="005361E0"/>
    <w:rsid w:val="005378EF"/>
    <w:rsid w:val="00540570"/>
    <w:rsid w:val="00541D5B"/>
    <w:rsid w:val="0054285E"/>
    <w:rsid w:val="00543138"/>
    <w:rsid w:val="005437CF"/>
    <w:rsid w:val="0054382E"/>
    <w:rsid w:val="005439FC"/>
    <w:rsid w:val="0054482C"/>
    <w:rsid w:val="005458B0"/>
    <w:rsid w:val="00546884"/>
    <w:rsid w:val="005476EB"/>
    <w:rsid w:val="0054785A"/>
    <w:rsid w:val="00547B5A"/>
    <w:rsid w:val="00550282"/>
    <w:rsid w:val="0055130D"/>
    <w:rsid w:val="00551CE2"/>
    <w:rsid w:val="005536BC"/>
    <w:rsid w:val="005550DD"/>
    <w:rsid w:val="00555359"/>
    <w:rsid w:val="005575BA"/>
    <w:rsid w:val="00557DC5"/>
    <w:rsid w:val="00560F77"/>
    <w:rsid w:val="00561EA3"/>
    <w:rsid w:val="005624A0"/>
    <w:rsid w:val="00562CBE"/>
    <w:rsid w:val="005634AE"/>
    <w:rsid w:val="005635C8"/>
    <w:rsid w:val="00564354"/>
    <w:rsid w:val="00564B12"/>
    <w:rsid w:val="0056550D"/>
    <w:rsid w:val="005659AC"/>
    <w:rsid w:val="00566122"/>
    <w:rsid w:val="005665E1"/>
    <w:rsid w:val="00567592"/>
    <w:rsid w:val="00567730"/>
    <w:rsid w:val="00567B55"/>
    <w:rsid w:val="005701BB"/>
    <w:rsid w:val="005708AC"/>
    <w:rsid w:val="005709B5"/>
    <w:rsid w:val="00570BB9"/>
    <w:rsid w:val="005712A8"/>
    <w:rsid w:val="00572418"/>
    <w:rsid w:val="0057266D"/>
    <w:rsid w:val="00572A77"/>
    <w:rsid w:val="00573462"/>
    <w:rsid w:val="00573BE5"/>
    <w:rsid w:val="00574301"/>
    <w:rsid w:val="00574656"/>
    <w:rsid w:val="00574806"/>
    <w:rsid w:val="005752A3"/>
    <w:rsid w:val="00575521"/>
    <w:rsid w:val="00575C97"/>
    <w:rsid w:val="00575CB7"/>
    <w:rsid w:val="00575D15"/>
    <w:rsid w:val="00576EEB"/>
    <w:rsid w:val="00577B39"/>
    <w:rsid w:val="00577C52"/>
    <w:rsid w:val="00577D51"/>
    <w:rsid w:val="005800F5"/>
    <w:rsid w:val="00580F55"/>
    <w:rsid w:val="005821A0"/>
    <w:rsid w:val="00583F70"/>
    <w:rsid w:val="005845CD"/>
    <w:rsid w:val="00584D05"/>
    <w:rsid w:val="0058523D"/>
    <w:rsid w:val="00585D2F"/>
    <w:rsid w:val="00586934"/>
    <w:rsid w:val="00586E05"/>
    <w:rsid w:val="005873AF"/>
    <w:rsid w:val="00587C00"/>
    <w:rsid w:val="00587E4F"/>
    <w:rsid w:val="00587E60"/>
    <w:rsid w:val="0059033F"/>
    <w:rsid w:val="00590527"/>
    <w:rsid w:val="00591BBD"/>
    <w:rsid w:val="0059324C"/>
    <w:rsid w:val="0059449D"/>
    <w:rsid w:val="00594FBB"/>
    <w:rsid w:val="00596EE8"/>
    <w:rsid w:val="00597E4B"/>
    <w:rsid w:val="005A1260"/>
    <w:rsid w:val="005A2328"/>
    <w:rsid w:val="005A241E"/>
    <w:rsid w:val="005A2FA1"/>
    <w:rsid w:val="005A3014"/>
    <w:rsid w:val="005A35B6"/>
    <w:rsid w:val="005A4232"/>
    <w:rsid w:val="005A50A0"/>
    <w:rsid w:val="005A5CED"/>
    <w:rsid w:val="005A6740"/>
    <w:rsid w:val="005A6767"/>
    <w:rsid w:val="005A696E"/>
    <w:rsid w:val="005A77C9"/>
    <w:rsid w:val="005A7A37"/>
    <w:rsid w:val="005B016E"/>
    <w:rsid w:val="005B03C3"/>
    <w:rsid w:val="005B04B0"/>
    <w:rsid w:val="005B0807"/>
    <w:rsid w:val="005B0C96"/>
    <w:rsid w:val="005B1244"/>
    <w:rsid w:val="005B214B"/>
    <w:rsid w:val="005B28C3"/>
    <w:rsid w:val="005B2AD5"/>
    <w:rsid w:val="005B2CA3"/>
    <w:rsid w:val="005B3314"/>
    <w:rsid w:val="005B3467"/>
    <w:rsid w:val="005B4D44"/>
    <w:rsid w:val="005B5AF6"/>
    <w:rsid w:val="005B61FE"/>
    <w:rsid w:val="005B6537"/>
    <w:rsid w:val="005B6687"/>
    <w:rsid w:val="005B7304"/>
    <w:rsid w:val="005C09B3"/>
    <w:rsid w:val="005C0D7E"/>
    <w:rsid w:val="005C0DE7"/>
    <w:rsid w:val="005C0F07"/>
    <w:rsid w:val="005C177B"/>
    <w:rsid w:val="005C1CA1"/>
    <w:rsid w:val="005C218A"/>
    <w:rsid w:val="005C2348"/>
    <w:rsid w:val="005C26C6"/>
    <w:rsid w:val="005C2DE6"/>
    <w:rsid w:val="005C3042"/>
    <w:rsid w:val="005C3E05"/>
    <w:rsid w:val="005C3E4F"/>
    <w:rsid w:val="005C4A2B"/>
    <w:rsid w:val="005C4EBF"/>
    <w:rsid w:val="005C5098"/>
    <w:rsid w:val="005C58EB"/>
    <w:rsid w:val="005C5977"/>
    <w:rsid w:val="005C5B3F"/>
    <w:rsid w:val="005C6D21"/>
    <w:rsid w:val="005C7ED7"/>
    <w:rsid w:val="005D0120"/>
    <w:rsid w:val="005D01A4"/>
    <w:rsid w:val="005D0251"/>
    <w:rsid w:val="005D088D"/>
    <w:rsid w:val="005D0D39"/>
    <w:rsid w:val="005D1A7D"/>
    <w:rsid w:val="005D1D9B"/>
    <w:rsid w:val="005D1F21"/>
    <w:rsid w:val="005D392F"/>
    <w:rsid w:val="005D3F2D"/>
    <w:rsid w:val="005D57AA"/>
    <w:rsid w:val="005D5D39"/>
    <w:rsid w:val="005D67D7"/>
    <w:rsid w:val="005D6B4D"/>
    <w:rsid w:val="005D78A2"/>
    <w:rsid w:val="005E1C52"/>
    <w:rsid w:val="005E2E68"/>
    <w:rsid w:val="005E33D2"/>
    <w:rsid w:val="005E3607"/>
    <w:rsid w:val="005E41E1"/>
    <w:rsid w:val="005E4442"/>
    <w:rsid w:val="005E4900"/>
    <w:rsid w:val="005E4BD2"/>
    <w:rsid w:val="005E4C0D"/>
    <w:rsid w:val="005E501E"/>
    <w:rsid w:val="005E50F3"/>
    <w:rsid w:val="005E533A"/>
    <w:rsid w:val="005E5490"/>
    <w:rsid w:val="005E5F00"/>
    <w:rsid w:val="005E6067"/>
    <w:rsid w:val="005E7B3D"/>
    <w:rsid w:val="005F0DBF"/>
    <w:rsid w:val="005F190C"/>
    <w:rsid w:val="005F2D4C"/>
    <w:rsid w:val="005F3033"/>
    <w:rsid w:val="005F31D5"/>
    <w:rsid w:val="005F37D4"/>
    <w:rsid w:val="005F42D2"/>
    <w:rsid w:val="005F4DD9"/>
    <w:rsid w:val="005F512B"/>
    <w:rsid w:val="005F51F9"/>
    <w:rsid w:val="005F554A"/>
    <w:rsid w:val="005F67E2"/>
    <w:rsid w:val="005F6D71"/>
    <w:rsid w:val="00600630"/>
    <w:rsid w:val="006008EC"/>
    <w:rsid w:val="006009F5"/>
    <w:rsid w:val="0060107E"/>
    <w:rsid w:val="0060111F"/>
    <w:rsid w:val="006020D9"/>
    <w:rsid w:val="0060267A"/>
    <w:rsid w:val="00602F71"/>
    <w:rsid w:val="006030D6"/>
    <w:rsid w:val="006043A4"/>
    <w:rsid w:val="006045CD"/>
    <w:rsid w:val="006048D0"/>
    <w:rsid w:val="00604B50"/>
    <w:rsid w:val="00605007"/>
    <w:rsid w:val="0060594A"/>
    <w:rsid w:val="006060BB"/>
    <w:rsid w:val="006105B3"/>
    <w:rsid w:val="00610619"/>
    <w:rsid w:val="00610E14"/>
    <w:rsid w:val="006119B8"/>
    <w:rsid w:val="00611A6C"/>
    <w:rsid w:val="00611AF5"/>
    <w:rsid w:val="00612E64"/>
    <w:rsid w:val="006143D2"/>
    <w:rsid w:val="0061494B"/>
    <w:rsid w:val="00614CD3"/>
    <w:rsid w:val="00615D8A"/>
    <w:rsid w:val="0061627F"/>
    <w:rsid w:val="00616BF1"/>
    <w:rsid w:val="00616E5C"/>
    <w:rsid w:val="00617F54"/>
    <w:rsid w:val="0062043A"/>
    <w:rsid w:val="006205DE"/>
    <w:rsid w:val="00620808"/>
    <w:rsid w:val="006217E3"/>
    <w:rsid w:val="00621A67"/>
    <w:rsid w:val="00621EDB"/>
    <w:rsid w:val="00622F37"/>
    <w:rsid w:val="006232A3"/>
    <w:rsid w:val="006240A6"/>
    <w:rsid w:val="006242DF"/>
    <w:rsid w:val="0062497C"/>
    <w:rsid w:val="00624EB7"/>
    <w:rsid w:val="0062600E"/>
    <w:rsid w:val="00626EC9"/>
    <w:rsid w:val="00627EBD"/>
    <w:rsid w:val="00632A0E"/>
    <w:rsid w:val="00632BC3"/>
    <w:rsid w:val="006342A8"/>
    <w:rsid w:val="006345BE"/>
    <w:rsid w:val="00634C20"/>
    <w:rsid w:val="00636643"/>
    <w:rsid w:val="006374CD"/>
    <w:rsid w:val="00637C61"/>
    <w:rsid w:val="00637F16"/>
    <w:rsid w:val="006402B9"/>
    <w:rsid w:val="00640570"/>
    <w:rsid w:val="00640CB0"/>
    <w:rsid w:val="00641143"/>
    <w:rsid w:val="0064267E"/>
    <w:rsid w:val="006430FF"/>
    <w:rsid w:val="0064347A"/>
    <w:rsid w:val="00643967"/>
    <w:rsid w:val="00643C32"/>
    <w:rsid w:val="00645FB5"/>
    <w:rsid w:val="006466C7"/>
    <w:rsid w:val="0064721C"/>
    <w:rsid w:val="00647882"/>
    <w:rsid w:val="00647DA8"/>
    <w:rsid w:val="00647F9D"/>
    <w:rsid w:val="006502AB"/>
    <w:rsid w:val="00650757"/>
    <w:rsid w:val="00650DE3"/>
    <w:rsid w:val="00650F32"/>
    <w:rsid w:val="00651177"/>
    <w:rsid w:val="0065208A"/>
    <w:rsid w:val="0065343A"/>
    <w:rsid w:val="00653A2A"/>
    <w:rsid w:val="00653B74"/>
    <w:rsid w:val="00655AF4"/>
    <w:rsid w:val="00655C85"/>
    <w:rsid w:val="00656803"/>
    <w:rsid w:val="006569FD"/>
    <w:rsid w:val="006605A1"/>
    <w:rsid w:val="0066096D"/>
    <w:rsid w:val="0066100B"/>
    <w:rsid w:val="00661697"/>
    <w:rsid w:val="006616F5"/>
    <w:rsid w:val="0066219C"/>
    <w:rsid w:val="0066293A"/>
    <w:rsid w:val="00663D25"/>
    <w:rsid w:val="00663EF7"/>
    <w:rsid w:val="0066654B"/>
    <w:rsid w:val="006666EA"/>
    <w:rsid w:val="00666B1D"/>
    <w:rsid w:val="006672FF"/>
    <w:rsid w:val="00667A54"/>
    <w:rsid w:val="00671816"/>
    <w:rsid w:val="006724CA"/>
    <w:rsid w:val="006726C8"/>
    <w:rsid w:val="006727E9"/>
    <w:rsid w:val="00672CC4"/>
    <w:rsid w:val="00674551"/>
    <w:rsid w:val="006746CD"/>
    <w:rsid w:val="00674DB1"/>
    <w:rsid w:val="006751FB"/>
    <w:rsid w:val="00675B52"/>
    <w:rsid w:val="006763D1"/>
    <w:rsid w:val="00677156"/>
    <w:rsid w:val="006779A1"/>
    <w:rsid w:val="00677B12"/>
    <w:rsid w:val="006801A6"/>
    <w:rsid w:val="006807B3"/>
    <w:rsid w:val="006813A4"/>
    <w:rsid w:val="00681A1D"/>
    <w:rsid w:val="00681F5E"/>
    <w:rsid w:val="00681F77"/>
    <w:rsid w:val="0068219C"/>
    <w:rsid w:val="006823B3"/>
    <w:rsid w:val="00682BA0"/>
    <w:rsid w:val="00682E7A"/>
    <w:rsid w:val="00683517"/>
    <w:rsid w:val="0068368F"/>
    <w:rsid w:val="0068390A"/>
    <w:rsid w:val="00684D30"/>
    <w:rsid w:val="00685133"/>
    <w:rsid w:val="0068528A"/>
    <w:rsid w:val="006855D3"/>
    <w:rsid w:val="00685D06"/>
    <w:rsid w:val="00685ED6"/>
    <w:rsid w:val="00686202"/>
    <w:rsid w:val="00690243"/>
    <w:rsid w:val="006903B8"/>
    <w:rsid w:val="00690951"/>
    <w:rsid w:val="00691273"/>
    <w:rsid w:val="0069139A"/>
    <w:rsid w:val="006917A7"/>
    <w:rsid w:val="00691862"/>
    <w:rsid w:val="0069205C"/>
    <w:rsid w:val="0069219F"/>
    <w:rsid w:val="006925DB"/>
    <w:rsid w:val="006928E7"/>
    <w:rsid w:val="006941ED"/>
    <w:rsid w:val="006944EB"/>
    <w:rsid w:val="00694C2D"/>
    <w:rsid w:val="00694EE3"/>
    <w:rsid w:val="006954C4"/>
    <w:rsid w:val="006954F0"/>
    <w:rsid w:val="00696927"/>
    <w:rsid w:val="00696AF8"/>
    <w:rsid w:val="00696C30"/>
    <w:rsid w:val="006A007A"/>
    <w:rsid w:val="006A00B7"/>
    <w:rsid w:val="006A0563"/>
    <w:rsid w:val="006A0F81"/>
    <w:rsid w:val="006A134B"/>
    <w:rsid w:val="006A1B12"/>
    <w:rsid w:val="006A229F"/>
    <w:rsid w:val="006A2927"/>
    <w:rsid w:val="006A2CFB"/>
    <w:rsid w:val="006A3054"/>
    <w:rsid w:val="006A34AC"/>
    <w:rsid w:val="006A3E57"/>
    <w:rsid w:val="006A46A7"/>
    <w:rsid w:val="006A4751"/>
    <w:rsid w:val="006A4D18"/>
    <w:rsid w:val="006A4F09"/>
    <w:rsid w:val="006A50E4"/>
    <w:rsid w:val="006A64C0"/>
    <w:rsid w:val="006A7371"/>
    <w:rsid w:val="006B079E"/>
    <w:rsid w:val="006B0D28"/>
    <w:rsid w:val="006B0F49"/>
    <w:rsid w:val="006B146D"/>
    <w:rsid w:val="006B1F01"/>
    <w:rsid w:val="006B23B0"/>
    <w:rsid w:val="006B34C9"/>
    <w:rsid w:val="006B366A"/>
    <w:rsid w:val="006B399A"/>
    <w:rsid w:val="006B4795"/>
    <w:rsid w:val="006B507D"/>
    <w:rsid w:val="006B5791"/>
    <w:rsid w:val="006B60A2"/>
    <w:rsid w:val="006B6798"/>
    <w:rsid w:val="006B7437"/>
    <w:rsid w:val="006B77BE"/>
    <w:rsid w:val="006B7B54"/>
    <w:rsid w:val="006C02E9"/>
    <w:rsid w:val="006C06AF"/>
    <w:rsid w:val="006C0F76"/>
    <w:rsid w:val="006C1209"/>
    <w:rsid w:val="006C1340"/>
    <w:rsid w:val="006C23C2"/>
    <w:rsid w:val="006C339D"/>
    <w:rsid w:val="006C33AC"/>
    <w:rsid w:val="006C4B1F"/>
    <w:rsid w:val="006C5815"/>
    <w:rsid w:val="006C5C39"/>
    <w:rsid w:val="006C6FBB"/>
    <w:rsid w:val="006C723E"/>
    <w:rsid w:val="006C769E"/>
    <w:rsid w:val="006C7B71"/>
    <w:rsid w:val="006D01E3"/>
    <w:rsid w:val="006D1457"/>
    <w:rsid w:val="006D1C8F"/>
    <w:rsid w:val="006D22F3"/>
    <w:rsid w:val="006D2DBD"/>
    <w:rsid w:val="006D3A6D"/>
    <w:rsid w:val="006D3CD1"/>
    <w:rsid w:val="006D4628"/>
    <w:rsid w:val="006D46C6"/>
    <w:rsid w:val="006D4B09"/>
    <w:rsid w:val="006D4F91"/>
    <w:rsid w:val="006D53C1"/>
    <w:rsid w:val="006D5556"/>
    <w:rsid w:val="006D651D"/>
    <w:rsid w:val="006D6DB3"/>
    <w:rsid w:val="006D7A10"/>
    <w:rsid w:val="006D7E02"/>
    <w:rsid w:val="006E0419"/>
    <w:rsid w:val="006E07BA"/>
    <w:rsid w:val="006E0CF5"/>
    <w:rsid w:val="006E15B5"/>
    <w:rsid w:val="006E18EB"/>
    <w:rsid w:val="006E1A69"/>
    <w:rsid w:val="006E1B78"/>
    <w:rsid w:val="006E1C31"/>
    <w:rsid w:val="006E2018"/>
    <w:rsid w:val="006E20B6"/>
    <w:rsid w:val="006E2293"/>
    <w:rsid w:val="006E31A3"/>
    <w:rsid w:val="006E42E3"/>
    <w:rsid w:val="006E451F"/>
    <w:rsid w:val="006E45CC"/>
    <w:rsid w:val="006E5193"/>
    <w:rsid w:val="006E52E1"/>
    <w:rsid w:val="006E5BF7"/>
    <w:rsid w:val="006E5C6C"/>
    <w:rsid w:val="006E5D11"/>
    <w:rsid w:val="006E63DE"/>
    <w:rsid w:val="006E6A42"/>
    <w:rsid w:val="006E70D1"/>
    <w:rsid w:val="006F04D9"/>
    <w:rsid w:val="006F07FA"/>
    <w:rsid w:val="006F0FBF"/>
    <w:rsid w:val="006F136A"/>
    <w:rsid w:val="006F137B"/>
    <w:rsid w:val="006F18F4"/>
    <w:rsid w:val="006F1B2E"/>
    <w:rsid w:val="006F1DC1"/>
    <w:rsid w:val="006F2292"/>
    <w:rsid w:val="006F31D7"/>
    <w:rsid w:val="006F32C7"/>
    <w:rsid w:val="006F3670"/>
    <w:rsid w:val="006F3932"/>
    <w:rsid w:val="006F3B2C"/>
    <w:rsid w:val="006F48D3"/>
    <w:rsid w:val="006F4901"/>
    <w:rsid w:val="006F617A"/>
    <w:rsid w:val="006F6424"/>
    <w:rsid w:val="006F6D52"/>
    <w:rsid w:val="006F783C"/>
    <w:rsid w:val="007001BB"/>
    <w:rsid w:val="00700E2D"/>
    <w:rsid w:val="0070184C"/>
    <w:rsid w:val="007028E7"/>
    <w:rsid w:val="00703986"/>
    <w:rsid w:val="007039B7"/>
    <w:rsid w:val="00703CAD"/>
    <w:rsid w:val="0070401B"/>
    <w:rsid w:val="00704082"/>
    <w:rsid w:val="00704B13"/>
    <w:rsid w:val="00705371"/>
    <w:rsid w:val="007056A9"/>
    <w:rsid w:val="00705E8D"/>
    <w:rsid w:val="00707014"/>
    <w:rsid w:val="007077DC"/>
    <w:rsid w:val="00707DAE"/>
    <w:rsid w:val="007100B0"/>
    <w:rsid w:val="007100BD"/>
    <w:rsid w:val="0071032B"/>
    <w:rsid w:val="00710C2B"/>
    <w:rsid w:val="00713132"/>
    <w:rsid w:val="00713384"/>
    <w:rsid w:val="00713D73"/>
    <w:rsid w:val="007141E1"/>
    <w:rsid w:val="007145AA"/>
    <w:rsid w:val="00714F31"/>
    <w:rsid w:val="0071558A"/>
    <w:rsid w:val="0071593B"/>
    <w:rsid w:val="00715ADA"/>
    <w:rsid w:val="00716B8E"/>
    <w:rsid w:val="0071766B"/>
    <w:rsid w:val="007208EA"/>
    <w:rsid w:val="00721056"/>
    <w:rsid w:val="007215B7"/>
    <w:rsid w:val="007219F6"/>
    <w:rsid w:val="00722046"/>
    <w:rsid w:val="00722080"/>
    <w:rsid w:val="00722CFC"/>
    <w:rsid w:val="00723D1F"/>
    <w:rsid w:val="0072440A"/>
    <w:rsid w:val="00724504"/>
    <w:rsid w:val="007247EB"/>
    <w:rsid w:val="007257D4"/>
    <w:rsid w:val="0072605A"/>
    <w:rsid w:val="00726485"/>
    <w:rsid w:val="00726F2B"/>
    <w:rsid w:val="00732F1A"/>
    <w:rsid w:val="00733151"/>
    <w:rsid w:val="00733AC8"/>
    <w:rsid w:val="00734A87"/>
    <w:rsid w:val="00734CF6"/>
    <w:rsid w:val="00735189"/>
    <w:rsid w:val="00736049"/>
    <w:rsid w:val="007360FB"/>
    <w:rsid w:val="007369A0"/>
    <w:rsid w:val="00736AFC"/>
    <w:rsid w:val="00736C69"/>
    <w:rsid w:val="007372E6"/>
    <w:rsid w:val="00740E6A"/>
    <w:rsid w:val="007413D9"/>
    <w:rsid w:val="0074150C"/>
    <w:rsid w:val="007419AB"/>
    <w:rsid w:val="00742024"/>
    <w:rsid w:val="007434B4"/>
    <w:rsid w:val="00744360"/>
    <w:rsid w:val="00744E6E"/>
    <w:rsid w:val="007455AC"/>
    <w:rsid w:val="00745685"/>
    <w:rsid w:val="0074593E"/>
    <w:rsid w:val="007460BC"/>
    <w:rsid w:val="00746586"/>
    <w:rsid w:val="00747190"/>
    <w:rsid w:val="00747779"/>
    <w:rsid w:val="00747DDA"/>
    <w:rsid w:val="00747F03"/>
    <w:rsid w:val="00750446"/>
    <w:rsid w:val="0075088F"/>
    <w:rsid w:val="00751132"/>
    <w:rsid w:val="00751F7C"/>
    <w:rsid w:val="00752720"/>
    <w:rsid w:val="0075299F"/>
    <w:rsid w:val="00752E2E"/>
    <w:rsid w:val="00753FAF"/>
    <w:rsid w:val="00754835"/>
    <w:rsid w:val="0075502C"/>
    <w:rsid w:val="007556C8"/>
    <w:rsid w:val="00755EF3"/>
    <w:rsid w:val="00755F77"/>
    <w:rsid w:val="00756587"/>
    <w:rsid w:val="00756604"/>
    <w:rsid w:val="0075674F"/>
    <w:rsid w:val="007567BC"/>
    <w:rsid w:val="007568EE"/>
    <w:rsid w:val="007601F3"/>
    <w:rsid w:val="007606C3"/>
    <w:rsid w:val="00760E64"/>
    <w:rsid w:val="007611A9"/>
    <w:rsid w:val="007614FE"/>
    <w:rsid w:val="0076156E"/>
    <w:rsid w:val="007618B1"/>
    <w:rsid w:val="00761C5D"/>
    <w:rsid w:val="00761F02"/>
    <w:rsid w:val="0076313F"/>
    <w:rsid w:val="00763178"/>
    <w:rsid w:val="0076488F"/>
    <w:rsid w:val="00764A9A"/>
    <w:rsid w:val="00765AED"/>
    <w:rsid w:val="0076675E"/>
    <w:rsid w:val="00766831"/>
    <w:rsid w:val="0076684A"/>
    <w:rsid w:val="00767220"/>
    <w:rsid w:val="007712CC"/>
    <w:rsid w:val="00771449"/>
    <w:rsid w:val="00771DE6"/>
    <w:rsid w:val="007723AB"/>
    <w:rsid w:val="0077273F"/>
    <w:rsid w:val="0077276B"/>
    <w:rsid w:val="00773028"/>
    <w:rsid w:val="00773D28"/>
    <w:rsid w:val="00773EA7"/>
    <w:rsid w:val="007741AD"/>
    <w:rsid w:val="00774632"/>
    <w:rsid w:val="00774762"/>
    <w:rsid w:val="00774BF7"/>
    <w:rsid w:val="00775065"/>
    <w:rsid w:val="00775D80"/>
    <w:rsid w:val="00777B6C"/>
    <w:rsid w:val="00777E20"/>
    <w:rsid w:val="00780163"/>
    <w:rsid w:val="007802C1"/>
    <w:rsid w:val="00780CB0"/>
    <w:rsid w:val="00780DDA"/>
    <w:rsid w:val="007832B7"/>
    <w:rsid w:val="00783BC4"/>
    <w:rsid w:val="00784213"/>
    <w:rsid w:val="007847B2"/>
    <w:rsid w:val="00784E25"/>
    <w:rsid w:val="00785952"/>
    <w:rsid w:val="00786755"/>
    <w:rsid w:val="00787111"/>
    <w:rsid w:val="00787136"/>
    <w:rsid w:val="0078751B"/>
    <w:rsid w:val="00787713"/>
    <w:rsid w:val="00787B90"/>
    <w:rsid w:val="00790E4F"/>
    <w:rsid w:val="007928E2"/>
    <w:rsid w:val="007936B7"/>
    <w:rsid w:val="007938A2"/>
    <w:rsid w:val="00793C99"/>
    <w:rsid w:val="007946C7"/>
    <w:rsid w:val="007948EB"/>
    <w:rsid w:val="007948FA"/>
    <w:rsid w:val="00794F1A"/>
    <w:rsid w:val="0079531F"/>
    <w:rsid w:val="00795D1A"/>
    <w:rsid w:val="00796100"/>
    <w:rsid w:val="007972B8"/>
    <w:rsid w:val="00797518"/>
    <w:rsid w:val="007975C6"/>
    <w:rsid w:val="007A2789"/>
    <w:rsid w:val="007A33DB"/>
    <w:rsid w:val="007A3ABD"/>
    <w:rsid w:val="007A437C"/>
    <w:rsid w:val="007A4B56"/>
    <w:rsid w:val="007A54CF"/>
    <w:rsid w:val="007A5DA5"/>
    <w:rsid w:val="007A5DDD"/>
    <w:rsid w:val="007A69F1"/>
    <w:rsid w:val="007A6B90"/>
    <w:rsid w:val="007A7B9C"/>
    <w:rsid w:val="007A7D34"/>
    <w:rsid w:val="007B00EC"/>
    <w:rsid w:val="007B0338"/>
    <w:rsid w:val="007B0520"/>
    <w:rsid w:val="007B2232"/>
    <w:rsid w:val="007B3FE0"/>
    <w:rsid w:val="007B4A00"/>
    <w:rsid w:val="007B643E"/>
    <w:rsid w:val="007B644C"/>
    <w:rsid w:val="007B65F8"/>
    <w:rsid w:val="007B694C"/>
    <w:rsid w:val="007B6DBA"/>
    <w:rsid w:val="007C0C56"/>
    <w:rsid w:val="007C2C9D"/>
    <w:rsid w:val="007C302F"/>
    <w:rsid w:val="007C3340"/>
    <w:rsid w:val="007C3562"/>
    <w:rsid w:val="007C36D5"/>
    <w:rsid w:val="007C3B50"/>
    <w:rsid w:val="007C5299"/>
    <w:rsid w:val="007C553C"/>
    <w:rsid w:val="007C5C1F"/>
    <w:rsid w:val="007C5F6A"/>
    <w:rsid w:val="007C6ED7"/>
    <w:rsid w:val="007C76F3"/>
    <w:rsid w:val="007C7ADB"/>
    <w:rsid w:val="007C7B99"/>
    <w:rsid w:val="007D0885"/>
    <w:rsid w:val="007D118C"/>
    <w:rsid w:val="007D1565"/>
    <w:rsid w:val="007D21D7"/>
    <w:rsid w:val="007D23C8"/>
    <w:rsid w:val="007D348B"/>
    <w:rsid w:val="007D3630"/>
    <w:rsid w:val="007D3A21"/>
    <w:rsid w:val="007D3A8A"/>
    <w:rsid w:val="007D405F"/>
    <w:rsid w:val="007D460B"/>
    <w:rsid w:val="007D4EAE"/>
    <w:rsid w:val="007D50E3"/>
    <w:rsid w:val="007D57AF"/>
    <w:rsid w:val="007D5C23"/>
    <w:rsid w:val="007D6E84"/>
    <w:rsid w:val="007D71A8"/>
    <w:rsid w:val="007D7812"/>
    <w:rsid w:val="007E0993"/>
    <w:rsid w:val="007E0E67"/>
    <w:rsid w:val="007E1305"/>
    <w:rsid w:val="007E16F5"/>
    <w:rsid w:val="007E1DC0"/>
    <w:rsid w:val="007E256E"/>
    <w:rsid w:val="007E28A7"/>
    <w:rsid w:val="007E2C2B"/>
    <w:rsid w:val="007E2F36"/>
    <w:rsid w:val="007E3355"/>
    <w:rsid w:val="007E45B9"/>
    <w:rsid w:val="007E4784"/>
    <w:rsid w:val="007E484A"/>
    <w:rsid w:val="007E4969"/>
    <w:rsid w:val="007E4E2F"/>
    <w:rsid w:val="007E5152"/>
    <w:rsid w:val="007E546D"/>
    <w:rsid w:val="007E553F"/>
    <w:rsid w:val="007E57F7"/>
    <w:rsid w:val="007E5BC4"/>
    <w:rsid w:val="007E6215"/>
    <w:rsid w:val="007E6291"/>
    <w:rsid w:val="007F0111"/>
    <w:rsid w:val="007F0BCB"/>
    <w:rsid w:val="007F1D04"/>
    <w:rsid w:val="007F2845"/>
    <w:rsid w:val="007F2889"/>
    <w:rsid w:val="007F4996"/>
    <w:rsid w:val="007F4EA0"/>
    <w:rsid w:val="007F5195"/>
    <w:rsid w:val="007F5322"/>
    <w:rsid w:val="007F589A"/>
    <w:rsid w:val="007F5A41"/>
    <w:rsid w:val="007F5C7E"/>
    <w:rsid w:val="007F5C8A"/>
    <w:rsid w:val="007F6756"/>
    <w:rsid w:val="007F6ECA"/>
    <w:rsid w:val="007F773E"/>
    <w:rsid w:val="008006DF"/>
    <w:rsid w:val="00800C27"/>
    <w:rsid w:val="00801B24"/>
    <w:rsid w:val="0080201E"/>
    <w:rsid w:val="008022FA"/>
    <w:rsid w:val="00802842"/>
    <w:rsid w:val="008029A3"/>
    <w:rsid w:val="00802D88"/>
    <w:rsid w:val="00803272"/>
    <w:rsid w:val="008041E9"/>
    <w:rsid w:val="0080530F"/>
    <w:rsid w:val="00805524"/>
    <w:rsid w:val="00805B8A"/>
    <w:rsid w:val="00805E68"/>
    <w:rsid w:val="00807280"/>
    <w:rsid w:val="00807527"/>
    <w:rsid w:val="008075D4"/>
    <w:rsid w:val="008100B3"/>
    <w:rsid w:val="00811003"/>
    <w:rsid w:val="00811559"/>
    <w:rsid w:val="008122CC"/>
    <w:rsid w:val="0081339F"/>
    <w:rsid w:val="008137E0"/>
    <w:rsid w:val="0081427B"/>
    <w:rsid w:val="00814617"/>
    <w:rsid w:val="00814F1A"/>
    <w:rsid w:val="00815685"/>
    <w:rsid w:val="00816093"/>
    <w:rsid w:val="008168BB"/>
    <w:rsid w:val="008171F2"/>
    <w:rsid w:val="008205E0"/>
    <w:rsid w:val="00820C24"/>
    <w:rsid w:val="0082191D"/>
    <w:rsid w:val="00821980"/>
    <w:rsid w:val="0082253F"/>
    <w:rsid w:val="00823B5F"/>
    <w:rsid w:val="00824B7E"/>
    <w:rsid w:val="00824C12"/>
    <w:rsid w:val="00826848"/>
    <w:rsid w:val="00826A07"/>
    <w:rsid w:val="00826BEC"/>
    <w:rsid w:val="00826EE0"/>
    <w:rsid w:val="00826FDC"/>
    <w:rsid w:val="00831C14"/>
    <w:rsid w:val="008327F1"/>
    <w:rsid w:val="0083358D"/>
    <w:rsid w:val="00833685"/>
    <w:rsid w:val="008348A7"/>
    <w:rsid w:val="00834DF7"/>
    <w:rsid w:val="008368A0"/>
    <w:rsid w:val="00840AB2"/>
    <w:rsid w:val="008417A5"/>
    <w:rsid w:val="00842836"/>
    <w:rsid w:val="00842D56"/>
    <w:rsid w:val="0084318E"/>
    <w:rsid w:val="00844573"/>
    <w:rsid w:val="00844B59"/>
    <w:rsid w:val="00844C56"/>
    <w:rsid w:val="00845C17"/>
    <w:rsid w:val="00845F6A"/>
    <w:rsid w:val="00846218"/>
    <w:rsid w:val="00846C2C"/>
    <w:rsid w:val="00847FEC"/>
    <w:rsid w:val="0085129C"/>
    <w:rsid w:val="008516E5"/>
    <w:rsid w:val="00851EDD"/>
    <w:rsid w:val="00852227"/>
    <w:rsid w:val="00852675"/>
    <w:rsid w:val="00852853"/>
    <w:rsid w:val="00853251"/>
    <w:rsid w:val="0085424E"/>
    <w:rsid w:val="00854301"/>
    <w:rsid w:val="008554B1"/>
    <w:rsid w:val="008558C2"/>
    <w:rsid w:val="00855F68"/>
    <w:rsid w:val="008570AA"/>
    <w:rsid w:val="00857724"/>
    <w:rsid w:val="00860E07"/>
    <w:rsid w:val="008613AD"/>
    <w:rsid w:val="00861FD9"/>
    <w:rsid w:val="0086223C"/>
    <w:rsid w:val="00862AC9"/>
    <w:rsid w:val="00862BDE"/>
    <w:rsid w:val="00862E2B"/>
    <w:rsid w:val="00863896"/>
    <w:rsid w:val="00865FC0"/>
    <w:rsid w:val="00865FEB"/>
    <w:rsid w:val="0086635F"/>
    <w:rsid w:val="0086659F"/>
    <w:rsid w:val="00866B3B"/>
    <w:rsid w:val="008706F9"/>
    <w:rsid w:val="00871BBB"/>
    <w:rsid w:val="00872B17"/>
    <w:rsid w:val="00873CDE"/>
    <w:rsid w:val="00874C18"/>
    <w:rsid w:val="00875458"/>
    <w:rsid w:val="00876925"/>
    <w:rsid w:val="00877941"/>
    <w:rsid w:val="00877C2B"/>
    <w:rsid w:val="0088016F"/>
    <w:rsid w:val="00880359"/>
    <w:rsid w:val="008803E8"/>
    <w:rsid w:val="0088062D"/>
    <w:rsid w:val="00880C22"/>
    <w:rsid w:val="00881408"/>
    <w:rsid w:val="0088206F"/>
    <w:rsid w:val="008821CE"/>
    <w:rsid w:val="00882419"/>
    <w:rsid w:val="008828A3"/>
    <w:rsid w:val="00882F88"/>
    <w:rsid w:val="008836B3"/>
    <w:rsid w:val="00883835"/>
    <w:rsid w:val="00884527"/>
    <w:rsid w:val="00884762"/>
    <w:rsid w:val="00885100"/>
    <w:rsid w:val="00885429"/>
    <w:rsid w:val="00886054"/>
    <w:rsid w:val="008862FF"/>
    <w:rsid w:val="00886B4F"/>
    <w:rsid w:val="00886FAE"/>
    <w:rsid w:val="00887570"/>
    <w:rsid w:val="0088767A"/>
    <w:rsid w:val="00892D2C"/>
    <w:rsid w:val="00893531"/>
    <w:rsid w:val="00893542"/>
    <w:rsid w:val="008952DA"/>
    <w:rsid w:val="00895D20"/>
    <w:rsid w:val="008961A9"/>
    <w:rsid w:val="00897074"/>
    <w:rsid w:val="00897720"/>
    <w:rsid w:val="008978AE"/>
    <w:rsid w:val="008A0865"/>
    <w:rsid w:val="008A0F2B"/>
    <w:rsid w:val="008A1CC1"/>
    <w:rsid w:val="008A1E03"/>
    <w:rsid w:val="008A2295"/>
    <w:rsid w:val="008A397B"/>
    <w:rsid w:val="008A400C"/>
    <w:rsid w:val="008A4564"/>
    <w:rsid w:val="008A4EC6"/>
    <w:rsid w:val="008A5FE9"/>
    <w:rsid w:val="008A6096"/>
    <w:rsid w:val="008A62B9"/>
    <w:rsid w:val="008A64F6"/>
    <w:rsid w:val="008A6636"/>
    <w:rsid w:val="008A664A"/>
    <w:rsid w:val="008A6C2A"/>
    <w:rsid w:val="008A7562"/>
    <w:rsid w:val="008A75A2"/>
    <w:rsid w:val="008B064A"/>
    <w:rsid w:val="008B09BE"/>
    <w:rsid w:val="008B0CF2"/>
    <w:rsid w:val="008B35FF"/>
    <w:rsid w:val="008B3914"/>
    <w:rsid w:val="008B3B34"/>
    <w:rsid w:val="008B4ECD"/>
    <w:rsid w:val="008B5BF8"/>
    <w:rsid w:val="008B685F"/>
    <w:rsid w:val="008B6EF6"/>
    <w:rsid w:val="008B7BB3"/>
    <w:rsid w:val="008B7C50"/>
    <w:rsid w:val="008B7C74"/>
    <w:rsid w:val="008B7CFC"/>
    <w:rsid w:val="008B7E9E"/>
    <w:rsid w:val="008C008E"/>
    <w:rsid w:val="008C0BF9"/>
    <w:rsid w:val="008C0FFB"/>
    <w:rsid w:val="008C2395"/>
    <w:rsid w:val="008C2834"/>
    <w:rsid w:val="008C29DE"/>
    <w:rsid w:val="008C2DE1"/>
    <w:rsid w:val="008C31A7"/>
    <w:rsid w:val="008C3A07"/>
    <w:rsid w:val="008C3B97"/>
    <w:rsid w:val="008C41AF"/>
    <w:rsid w:val="008C47C2"/>
    <w:rsid w:val="008C59E1"/>
    <w:rsid w:val="008C7964"/>
    <w:rsid w:val="008C7F04"/>
    <w:rsid w:val="008D0C02"/>
    <w:rsid w:val="008D201F"/>
    <w:rsid w:val="008D2AB7"/>
    <w:rsid w:val="008D3FC4"/>
    <w:rsid w:val="008D499A"/>
    <w:rsid w:val="008D4A08"/>
    <w:rsid w:val="008D5A64"/>
    <w:rsid w:val="008D60F8"/>
    <w:rsid w:val="008D63C6"/>
    <w:rsid w:val="008D71E1"/>
    <w:rsid w:val="008E1904"/>
    <w:rsid w:val="008E1B2E"/>
    <w:rsid w:val="008E2E02"/>
    <w:rsid w:val="008E2EE5"/>
    <w:rsid w:val="008E3162"/>
    <w:rsid w:val="008E3392"/>
    <w:rsid w:val="008E3A93"/>
    <w:rsid w:val="008E3C1A"/>
    <w:rsid w:val="008E40EB"/>
    <w:rsid w:val="008E4ED5"/>
    <w:rsid w:val="008E526C"/>
    <w:rsid w:val="008E6566"/>
    <w:rsid w:val="008E6C1D"/>
    <w:rsid w:val="008E6DFB"/>
    <w:rsid w:val="008E76A7"/>
    <w:rsid w:val="008F0E77"/>
    <w:rsid w:val="008F1C57"/>
    <w:rsid w:val="008F1CCB"/>
    <w:rsid w:val="008F1D16"/>
    <w:rsid w:val="008F2499"/>
    <w:rsid w:val="008F2679"/>
    <w:rsid w:val="008F2E6A"/>
    <w:rsid w:val="008F2F18"/>
    <w:rsid w:val="008F587E"/>
    <w:rsid w:val="008F63FC"/>
    <w:rsid w:val="008F6500"/>
    <w:rsid w:val="008F73EE"/>
    <w:rsid w:val="008F74E5"/>
    <w:rsid w:val="008F7E52"/>
    <w:rsid w:val="00901406"/>
    <w:rsid w:val="00901880"/>
    <w:rsid w:val="00901F5B"/>
    <w:rsid w:val="00902F20"/>
    <w:rsid w:val="0090312E"/>
    <w:rsid w:val="00903231"/>
    <w:rsid w:val="0090323D"/>
    <w:rsid w:val="00903285"/>
    <w:rsid w:val="0090365C"/>
    <w:rsid w:val="00903AF0"/>
    <w:rsid w:val="009040DE"/>
    <w:rsid w:val="00904101"/>
    <w:rsid w:val="00904F6C"/>
    <w:rsid w:val="00904FDD"/>
    <w:rsid w:val="009051CE"/>
    <w:rsid w:val="009055CB"/>
    <w:rsid w:val="00905943"/>
    <w:rsid w:val="00905D1C"/>
    <w:rsid w:val="009069C0"/>
    <w:rsid w:val="009073B7"/>
    <w:rsid w:val="0090766C"/>
    <w:rsid w:val="009104BE"/>
    <w:rsid w:val="00910FB9"/>
    <w:rsid w:val="0091102F"/>
    <w:rsid w:val="00912CD4"/>
    <w:rsid w:val="00912D70"/>
    <w:rsid w:val="009130C4"/>
    <w:rsid w:val="009138A1"/>
    <w:rsid w:val="00913D07"/>
    <w:rsid w:val="00914055"/>
    <w:rsid w:val="00915408"/>
    <w:rsid w:val="00915C2A"/>
    <w:rsid w:val="00915DAA"/>
    <w:rsid w:val="00916580"/>
    <w:rsid w:val="0091715D"/>
    <w:rsid w:val="00917234"/>
    <w:rsid w:val="009179EE"/>
    <w:rsid w:val="00917B30"/>
    <w:rsid w:val="00917B86"/>
    <w:rsid w:val="0092025A"/>
    <w:rsid w:val="00920279"/>
    <w:rsid w:val="009207BB"/>
    <w:rsid w:val="00921556"/>
    <w:rsid w:val="009216DA"/>
    <w:rsid w:val="0092181D"/>
    <w:rsid w:val="00921C52"/>
    <w:rsid w:val="009220E1"/>
    <w:rsid w:val="009226FF"/>
    <w:rsid w:val="00922BF1"/>
    <w:rsid w:val="00922DDF"/>
    <w:rsid w:val="0092412A"/>
    <w:rsid w:val="00924EFE"/>
    <w:rsid w:val="0092516A"/>
    <w:rsid w:val="009258D3"/>
    <w:rsid w:val="00926E98"/>
    <w:rsid w:val="009300C5"/>
    <w:rsid w:val="009300C9"/>
    <w:rsid w:val="0093049E"/>
    <w:rsid w:val="00932396"/>
    <w:rsid w:val="00932D24"/>
    <w:rsid w:val="00934305"/>
    <w:rsid w:val="0093449D"/>
    <w:rsid w:val="009353FD"/>
    <w:rsid w:val="00935DBD"/>
    <w:rsid w:val="0093744F"/>
    <w:rsid w:val="00940A57"/>
    <w:rsid w:val="00942255"/>
    <w:rsid w:val="00942856"/>
    <w:rsid w:val="009438E2"/>
    <w:rsid w:val="00943933"/>
    <w:rsid w:val="00943F2F"/>
    <w:rsid w:val="009440E8"/>
    <w:rsid w:val="009445EB"/>
    <w:rsid w:val="0094476B"/>
    <w:rsid w:val="00944F45"/>
    <w:rsid w:val="0094524C"/>
    <w:rsid w:val="00945779"/>
    <w:rsid w:val="00945FCD"/>
    <w:rsid w:val="009467BB"/>
    <w:rsid w:val="00946E90"/>
    <w:rsid w:val="009471C8"/>
    <w:rsid w:val="00947F8E"/>
    <w:rsid w:val="00950768"/>
    <w:rsid w:val="009507CD"/>
    <w:rsid w:val="00951665"/>
    <w:rsid w:val="00951E05"/>
    <w:rsid w:val="0095230A"/>
    <w:rsid w:val="009523BC"/>
    <w:rsid w:val="0095283A"/>
    <w:rsid w:val="009530CA"/>
    <w:rsid w:val="00953295"/>
    <w:rsid w:val="009533D4"/>
    <w:rsid w:val="009536C0"/>
    <w:rsid w:val="00954A02"/>
    <w:rsid w:val="00955A0A"/>
    <w:rsid w:val="00955EB5"/>
    <w:rsid w:val="00956792"/>
    <w:rsid w:val="009575AE"/>
    <w:rsid w:val="0096037C"/>
    <w:rsid w:val="0096052E"/>
    <w:rsid w:val="009605C3"/>
    <w:rsid w:val="00960AEF"/>
    <w:rsid w:val="009627BD"/>
    <w:rsid w:val="00962AC7"/>
    <w:rsid w:val="00962FA5"/>
    <w:rsid w:val="009638A3"/>
    <w:rsid w:val="0096393F"/>
    <w:rsid w:val="00963AE9"/>
    <w:rsid w:val="00964404"/>
    <w:rsid w:val="009663CE"/>
    <w:rsid w:val="009665FC"/>
    <w:rsid w:val="00966666"/>
    <w:rsid w:val="00966A87"/>
    <w:rsid w:val="00967B29"/>
    <w:rsid w:val="00967EB5"/>
    <w:rsid w:val="0097053B"/>
    <w:rsid w:val="009716E8"/>
    <w:rsid w:val="0097273D"/>
    <w:rsid w:val="00972F30"/>
    <w:rsid w:val="009731CD"/>
    <w:rsid w:val="00974A7D"/>
    <w:rsid w:val="00974D37"/>
    <w:rsid w:val="00974E44"/>
    <w:rsid w:val="00975B91"/>
    <w:rsid w:val="009764A4"/>
    <w:rsid w:val="009771AA"/>
    <w:rsid w:val="00977BA6"/>
    <w:rsid w:val="00980519"/>
    <w:rsid w:val="00980724"/>
    <w:rsid w:val="009808B0"/>
    <w:rsid w:val="00980B20"/>
    <w:rsid w:val="0098151F"/>
    <w:rsid w:val="009822D7"/>
    <w:rsid w:val="009822F0"/>
    <w:rsid w:val="00983308"/>
    <w:rsid w:val="00983A67"/>
    <w:rsid w:val="00983E55"/>
    <w:rsid w:val="009864CF"/>
    <w:rsid w:val="009868D4"/>
    <w:rsid w:val="0099031D"/>
    <w:rsid w:val="00991000"/>
    <w:rsid w:val="00991EB4"/>
    <w:rsid w:val="00991FA8"/>
    <w:rsid w:val="009928A8"/>
    <w:rsid w:val="00992BAF"/>
    <w:rsid w:val="00992F43"/>
    <w:rsid w:val="00993871"/>
    <w:rsid w:val="00994C2B"/>
    <w:rsid w:val="00994DAF"/>
    <w:rsid w:val="00996896"/>
    <w:rsid w:val="00996B4D"/>
    <w:rsid w:val="00996D0D"/>
    <w:rsid w:val="009972DA"/>
    <w:rsid w:val="009A0AA3"/>
    <w:rsid w:val="009A0EAF"/>
    <w:rsid w:val="009A280E"/>
    <w:rsid w:val="009A291F"/>
    <w:rsid w:val="009A2CBF"/>
    <w:rsid w:val="009A30BF"/>
    <w:rsid w:val="009A3F9F"/>
    <w:rsid w:val="009A4083"/>
    <w:rsid w:val="009A4727"/>
    <w:rsid w:val="009A4A47"/>
    <w:rsid w:val="009A4C47"/>
    <w:rsid w:val="009A59DF"/>
    <w:rsid w:val="009A5A24"/>
    <w:rsid w:val="009A5E9C"/>
    <w:rsid w:val="009A6B90"/>
    <w:rsid w:val="009A6B91"/>
    <w:rsid w:val="009A7525"/>
    <w:rsid w:val="009A7664"/>
    <w:rsid w:val="009A7FB8"/>
    <w:rsid w:val="009B06BC"/>
    <w:rsid w:val="009B1169"/>
    <w:rsid w:val="009B1687"/>
    <w:rsid w:val="009B1BDE"/>
    <w:rsid w:val="009B1F47"/>
    <w:rsid w:val="009B2B6A"/>
    <w:rsid w:val="009B327E"/>
    <w:rsid w:val="009B339A"/>
    <w:rsid w:val="009B3680"/>
    <w:rsid w:val="009B3F01"/>
    <w:rsid w:val="009B4D71"/>
    <w:rsid w:val="009B52D7"/>
    <w:rsid w:val="009B56E8"/>
    <w:rsid w:val="009B5BE2"/>
    <w:rsid w:val="009B5CEA"/>
    <w:rsid w:val="009B6E55"/>
    <w:rsid w:val="009B7CA4"/>
    <w:rsid w:val="009C05AC"/>
    <w:rsid w:val="009C089E"/>
    <w:rsid w:val="009C120F"/>
    <w:rsid w:val="009C12B4"/>
    <w:rsid w:val="009C139B"/>
    <w:rsid w:val="009C29F4"/>
    <w:rsid w:val="009C2F1E"/>
    <w:rsid w:val="009C39BD"/>
    <w:rsid w:val="009C3DDB"/>
    <w:rsid w:val="009C53B2"/>
    <w:rsid w:val="009C5932"/>
    <w:rsid w:val="009C5AC1"/>
    <w:rsid w:val="009C7D08"/>
    <w:rsid w:val="009C7F22"/>
    <w:rsid w:val="009D09B9"/>
    <w:rsid w:val="009D09C4"/>
    <w:rsid w:val="009D0D04"/>
    <w:rsid w:val="009D52C7"/>
    <w:rsid w:val="009D7095"/>
    <w:rsid w:val="009E04AF"/>
    <w:rsid w:val="009E08FF"/>
    <w:rsid w:val="009E4159"/>
    <w:rsid w:val="009E485D"/>
    <w:rsid w:val="009E4A6F"/>
    <w:rsid w:val="009E4E38"/>
    <w:rsid w:val="009E5BB5"/>
    <w:rsid w:val="009E63FE"/>
    <w:rsid w:val="009E6986"/>
    <w:rsid w:val="009E69CC"/>
    <w:rsid w:val="009E6AD0"/>
    <w:rsid w:val="009F091E"/>
    <w:rsid w:val="009F09DD"/>
    <w:rsid w:val="009F0E20"/>
    <w:rsid w:val="009F0F57"/>
    <w:rsid w:val="009F12B1"/>
    <w:rsid w:val="009F1A29"/>
    <w:rsid w:val="009F3C62"/>
    <w:rsid w:val="009F51BF"/>
    <w:rsid w:val="009F5C69"/>
    <w:rsid w:val="009F6612"/>
    <w:rsid w:val="009F7FB0"/>
    <w:rsid w:val="00A00FE5"/>
    <w:rsid w:val="00A010AF"/>
    <w:rsid w:val="00A025C8"/>
    <w:rsid w:val="00A035B6"/>
    <w:rsid w:val="00A0440E"/>
    <w:rsid w:val="00A0447E"/>
    <w:rsid w:val="00A054DB"/>
    <w:rsid w:val="00A055A2"/>
    <w:rsid w:val="00A055BA"/>
    <w:rsid w:val="00A05838"/>
    <w:rsid w:val="00A05BDC"/>
    <w:rsid w:val="00A065E3"/>
    <w:rsid w:val="00A068BD"/>
    <w:rsid w:val="00A0736F"/>
    <w:rsid w:val="00A079C5"/>
    <w:rsid w:val="00A07DF1"/>
    <w:rsid w:val="00A10993"/>
    <w:rsid w:val="00A10DF5"/>
    <w:rsid w:val="00A118FA"/>
    <w:rsid w:val="00A11C65"/>
    <w:rsid w:val="00A1238E"/>
    <w:rsid w:val="00A147BA"/>
    <w:rsid w:val="00A14F25"/>
    <w:rsid w:val="00A150CD"/>
    <w:rsid w:val="00A15463"/>
    <w:rsid w:val="00A17698"/>
    <w:rsid w:val="00A20365"/>
    <w:rsid w:val="00A2099A"/>
    <w:rsid w:val="00A20DB6"/>
    <w:rsid w:val="00A2195D"/>
    <w:rsid w:val="00A21A8D"/>
    <w:rsid w:val="00A21F26"/>
    <w:rsid w:val="00A23123"/>
    <w:rsid w:val="00A2364B"/>
    <w:rsid w:val="00A23AC1"/>
    <w:rsid w:val="00A23FB7"/>
    <w:rsid w:val="00A2409B"/>
    <w:rsid w:val="00A25025"/>
    <w:rsid w:val="00A251BE"/>
    <w:rsid w:val="00A25EAB"/>
    <w:rsid w:val="00A27620"/>
    <w:rsid w:val="00A3036E"/>
    <w:rsid w:val="00A308A5"/>
    <w:rsid w:val="00A30A94"/>
    <w:rsid w:val="00A30C20"/>
    <w:rsid w:val="00A3149F"/>
    <w:rsid w:val="00A31C0C"/>
    <w:rsid w:val="00A322D3"/>
    <w:rsid w:val="00A32970"/>
    <w:rsid w:val="00A335B9"/>
    <w:rsid w:val="00A33BF9"/>
    <w:rsid w:val="00A340D8"/>
    <w:rsid w:val="00A35822"/>
    <w:rsid w:val="00A364E0"/>
    <w:rsid w:val="00A36990"/>
    <w:rsid w:val="00A371AF"/>
    <w:rsid w:val="00A3740A"/>
    <w:rsid w:val="00A37EF6"/>
    <w:rsid w:val="00A40786"/>
    <w:rsid w:val="00A410EA"/>
    <w:rsid w:val="00A4180D"/>
    <w:rsid w:val="00A4267E"/>
    <w:rsid w:val="00A42F8F"/>
    <w:rsid w:val="00A43137"/>
    <w:rsid w:val="00A437F6"/>
    <w:rsid w:val="00A43F6D"/>
    <w:rsid w:val="00A4402D"/>
    <w:rsid w:val="00A441DF"/>
    <w:rsid w:val="00A44AA1"/>
    <w:rsid w:val="00A455EE"/>
    <w:rsid w:val="00A45D07"/>
    <w:rsid w:val="00A46E26"/>
    <w:rsid w:val="00A4789F"/>
    <w:rsid w:val="00A47B85"/>
    <w:rsid w:val="00A509AB"/>
    <w:rsid w:val="00A513BE"/>
    <w:rsid w:val="00A51B00"/>
    <w:rsid w:val="00A52C1A"/>
    <w:rsid w:val="00A52E3D"/>
    <w:rsid w:val="00A52E6B"/>
    <w:rsid w:val="00A53A4C"/>
    <w:rsid w:val="00A53AA9"/>
    <w:rsid w:val="00A543D4"/>
    <w:rsid w:val="00A5485A"/>
    <w:rsid w:val="00A54A4F"/>
    <w:rsid w:val="00A54ADC"/>
    <w:rsid w:val="00A56471"/>
    <w:rsid w:val="00A56B18"/>
    <w:rsid w:val="00A5723F"/>
    <w:rsid w:val="00A572BD"/>
    <w:rsid w:val="00A57B0B"/>
    <w:rsid w:val="00A57F96"/>
    <w:rsid w:val="00A60510"/>
    <w:rsid w:val="00A611BB"/>
    <w:rsid w:val="00A64028"/>
    <w:rsid w:val="00A643FA"/>
    <w:rsid w:val="00A64425"/>
    <w:rsid w:val="00A65E86"/>
    <w:rsid w:val="00A668FB"/>
    <w:rsid w:val="00A6702B"/>
    <w:rsid w:val="00A70DA5"/>
    <w:rsid w:val="00A71189"/>
    <w:rsid w:val="00A71D10"/>
    <w:rsid w:val="00A71D21"/>
    <w:rsid w:val="00A7220C"/>
    <w:rsid w:val="00A72533"/>
    <w:rsid w:val="00A7267F"/>
    <w:rsid w:val="00A73A8A"/>
    <w:rsid w:val="00A74F07"/>
    <w:rsid w:val="00A75972"/>
    <w:rsid w:val="00A76084"/>
    <w:rsid w:val="00A761C5"/>
    <w:rsid w:val="00A80432"/>
    <w:rsid w:val="00A806A9"/>
    <w:rsid w:val="00A807C8"/>
    <w:rsid w:val="00A8099F"/>
    <w:rsid w:val="00A80A87"/>
    <w:rsid w:val="00A812A3"/>
    <w:rsid w:val="00A81C21"/>
    <w:rsid w:val="00A82039"/>
    <w:rsid w:val="00A839FB"/>
    <w:rsid w:val="00A83F45"/>
    <w:rsid w:val="00A8400E"/>
    <w:rsid w:val="00A841D9"/>
    <w:rsid w:val="00A867DB"/>
    <w:rsid w:val="00A869D6"/>
    <w:rsid w:val="00A86ECE"/>
    <w:rsid w:val="00A875BE"/>
    <w:rsid w:val="00A877F9"/>
    <w:rsid w:val="00A90B18"/>
    <w:rsid w:val="00A91520"/>
    <w:rsid w:val="00A91773"/>
    <w:rsid w:val="00A918FC"/>
    <w:rsid w:val="00A91ABE"/>
    <w:rsid w:val="00A921D4"/>
    <w:rsid w:val="00A92883"/>
    <w:rsid w:val="00A92E92"/>
    <w:rsid w:val="00A92F4F"/>
    <w:rsid w:val="00A93090"/>
    <w:rsid w:val="00A933B4"/>
    <w:rsid w:val="00A93839"/>
    <w:rsid w:val="00A93D8C"/>
    <w:rsid w:val="00A93DA1"/>
    <w:rsid w:val="00A94C29"/>
    <w:rsid w:val="00A95AC6"/>
    <w:rsid w:val="00A95E01"/>
    <w:rsid w:val="00A96395"/>
    <w:rsid w:val="00A96972"/>
    <w:rsid w:val="00A9710F"/>
    <w:rsid w:val="00A979CB"/>
    <w:rsid w:val="00AA4277"/>
    <w:rsid w:val="00AA4545"/>
    <w:rsid w:val="00AA6414"/>
    <w:rsid w:val="00AA6C82"/>
    <w:rsid w:val="00AA6EC7"/>
    <w:rsid w:val="00AB01AE"/>
    <w:rsid w:val="00AB03B3"/>
    <w:rsid w:val="00AB05A0"/>
    <w:rsid w:val="00AB0DD6"/>
    <w:rsid w:val="00AB126F"/>
    <w:rsid w:val="00AB1312"/>
    <w:rsid w:val="00AB1757"/>
    <w:rsid w:val="00AB179F"/>
    <w:rsid w:val="00AB19F2"/>
    <w:rsid w:val="00AB1A15"/>
    <w:rsid w:val="00AB210D"/>
    <w:rsid w:val="00AB2E65"/>
    <w:rsid w:val="00AB315A"/>
    <w:rsid w:val="00AB3D3B"/>
    <w:rsid w:val="00AB4CFA"/>
    <w:rsid w:val="00AB51E4"/>
    <w:rsid w:val="00AB5225"/>
    <w:rsid w:val="00AB621A"/>
    <w:rsid w:val="00AB65F6"/>
    <w:rsid w:val="00AB67B0"/>
    <w:rsid w:val="00AB704D"/>
    <w:rsid w:val="00AB70A5"/>
    <w:rsid w:val="00AB7655"/>
    <w:rsid w:val="00AB77B3"/>
    <w:rsid w:val="00AB782C"/>
    <w:rsid w:val="00AB7A04"/>
    <w:rsid w:val="00AC06FE"/>
    <w:rsid w:val="00AC14AF"/>
    <w:rsid w:val="00AC17FF"/>
    <w:rsid w:val="00AC1B7C"/>
    <w:rsid w:val="00AC25B2"/>
    <w:rsid w:val="00AC41C3"/>
    <w:rsid w:val="00AC47B6"/>
    <w:rsid w:val="00AC4AB2"/>
    <w:rsid w:val="00AC4E6C"/>
    <w:rsid w:val="00AC52EC"/>
    <w:rsid w:val="00AC553A"/>
    <w:rsid w:val="00AC558B"/>
    <w:rsid w:val="00AC5C66"/>
    <w:rsid w:val="00AC5FEB"/>
    <w:rsid w:val="00AC6961"/>
    <w:rsid w:val="00AC6A24"/>
    <w:rsid w:val="00AC7093"/>
    <w:rsid w:val="00AC7186"/>
    <w:rsid w:val="00AC7568"/>
    <w:rsid w:val="00AC79E4"/>
    <w:rsid w:val="00AC7AA9"/>
    <w:rsid w:val="00AC7D32"/>
    <w:rsid w:val="00AD0017"/>
    <w:rsid w:val="00AD0343"/>
    <w:rsid w:val="00AD0B8C"/>
    <w:rsid w:val="00AD0D36"/>
    <w:rsid w:val="00AD2CA2"/>
    <w:rsid w:val="00AD3712"/>
    <w:rsid w:val="00AD3D71"/>
    <w:rsid w:val="00AD3EA2"/>
    <w:rsid w:val="00AD4070"/>
    <w:rsid w:val="00AD44DC"/>
    <w:rsid w:val="00AD4609"/>
    <w:rsid w:val="00AD5A5C"/>
    <w:rsid w:val="00AD6872"/>
    <w:rsid w:val="00AE0B31"/>
    <w:rsid w:val="00AE0EF8"/>
    <w:rsid w:val="00AE17A7"/>
    <w:rsid w:val="00AE1F33"/>
    <w:rsid w:val="00AE2989"/>
    <w:rsid w:val="00AE3218"/>
    <w:rsid w:val="00AE32D9"/>
    <w:rsid w:val="00AE3B1F"/>
    <w:rsid w:val="00AE3DD4"/>
    <w:rsid w:val="00AE43C4"/>
    <w:rsid w:val="00AE4454"/>
    <w:rsid w:val="00AE456A"/>
    <w:rsid w:val="00AE4958"/>
    <w:rsid w:val="00AE4D65"/>
    <w:rsid w:val="00AE52B3"/>
    <w:rsid w:val="00AE58AB"/>
    <w:rsid w:val="00AE5D68"/>
    <w:rsid w:val="00AE6DAB"/>
    <w:rsid w:val="00AE7A92"/>
    <w:rsid w:val="00AE7DF5"/>
    <w:rsid w:val="00AE7EF6"/>
    <w:rsid w:val="00AE7F0F"/>
    <w:rsid w:val="00AF0136"/>
    <w:rsid w:val="00AF0141"/>
    <w:rsid w:val="00AF0EBD"/>
    <w:rsid w:val="00AF18B3"/>
    <w:rsid w:val="00AF3BA9"/>
    <w:rsid w:val="00AF40DE"/>
    <w:rsid w:val="00AF4CCA"/>
    <w:rsid w:val="00AF5435"/>
    <w:rsid w:val="00AF77E8"/>
    <w:rsid w:val="00AF7B5E"/>
    <w:rsid w:val="00B00499"/>
    <w:rsid w:val="00B004D3"/>
    <w:rsid w:val="00B00761"/>
    <w:rsid w:val="00B00935"/>
    <w:rsid w:val="00B00CF6"/>
    <w:rsid w:val="00B012BD"/>
    <w:rsid w:val="00B014E7"/>
    <w:rsid w:val="00B0152A"/>
    <w:rsid w:val="00B02A7E"/>
    <w:rsid w:val="00B02D50"/>
    <w:rsid w:val="00B0338D"/>
    <w:rsid w:val="00B036E5"/>
    <w:rsid w:val="00B038AB"/>
    <w:rsid w:val="00B03D8D"/>
    <w:rsid w:val="00B04187"/>
    <w:rsid w:val="00B06424"/>
    <w:rsid w:val="00B06604"/>
    <w:rsid w:val="00B07EC2"/>
    <w:rsid w:val="00B10B2A"/>
    <w:rsid w:val="00B115CA"/>
    <w:rsid w:val="00B11964"/>
    <w:rsid w:val="00B122B7"/>
    <w:rsid w:val="00B1287D"/>
    <w:rsid w:val="00B137EA"/>
    <w:rsid w:val="00B13FED"/>
    <w:rsid w:val="00B14152"/>
    <w:rsid w:val="00B14513"/>
    <w:rsid w:val="00B147C9"/>
    <w:rsid w:val="00B15ACB"/>
    <w:rsid w:val="00B1686A"/>
    <w:rsid w:val="00B16BF8"/>
    <w:rsid w:val="00B20D82"/>
    <w:rsid w:val="00B20FEC"/>
    <w:rsid w:val="00B216C6"/>
    <w:rsid w:val="00B218D2"/>
    <w:rsid w:val="00B21BCE"/>
    <w:rsid w:val="00B21D78"/>
    <w:rsid w:val="00B221AB"/>
    <w:rsid w:val="00B2223A"/>
    <w:rsid w:val="00B2265B"/>
    <w:rsid w:val="00B22735"/>
    <w:rsid w:val="00B22ABA"/>
    <w:rsid w:val="00B23044"/>
    <w:rsid w:val="00B233A7"/>
    <w:rsid w:val="00B23717"/>
    <w:rsid w:val="00B242AF"/>
    <w:rsid w:val="00B245FF"/>
    <w:rsid w:val="00B24A89"/>
    <w:rsid w:val="00B24DFF"/>
    <w:rsid w:val="00B254E2"/>
    <w:rsid w:val="00B2614F"/>
    <w:rsid w:val="00B26607"/>
    <w:rsid w:val="00B277C0"/>
    <w:rsid w:val="00B279D4"/>
    <w:rsid w:val="00B27EEB"/>
    <w:rsid w:val="00B30004"/>
    <w:rsid w:val="00B30157"/>
    <w:rsid w:val="00B302AC"/>
    <w:rsid w:val="00B311F7"/>
    <w:rsid w:val="00B318AA"/>
    <w:rsid w:val="00B31CB9"/>
    <w:rsid w:val="00B3290C"/>
    <w:rsid w:val="00B32F25"/>
    <w:rsid w:val="00B332BE"/>
    <w:rsid w:val="00B3346B"/>
    <w:rsid w:val="00B33C46"/>
    <w:rsid w:val="00B353ED"/>
    <w:rsid w:val="00B35592"/>
    <w:rsid w:val="00B358E4"/>
    <w:rsid w:val="00B35A85"/>
    <w:rsid w:val="00B362B8"/>
    <w:rsid w:val="00B36F33"/>
    <w:rsid w:val="00B37CD6"/>
    <w:rsid w:val="00B41261"/>
    <w:rsid w:val="00B416F4"/>
    <w:rsid w:val="00B41991"/>
    <w:rsid w:val="00B41E8E"/>
    <w:rsid w:val="00B41E9A"/>
    <w:rsid w:val="00B420B0"/>
    <w:rsid w:val="00B42258"/>
    <w:rsid w:val="00B42450"/>
    <w:rsid w:val="00B44107"/>
    <w:rsid w:val="00B45413"/>
    <w:rsid w:val="00B45891"/>
    <w:rsid w:val="00B45C90"/>
    <w:rsid w:val="00B46449"/>
    <w:rsid w:val="00B46A3C"/>
    <w:rsid w:val="00B47A89"/>
    <w:rsid w:val="00B47BB3"/>
    <w:rsid w:val="00B47F99"/>
    <w:rsid w:val="00B501CD"/>
    <w:rsid w:val="00B50B02"/>
    <w:rsid w:val="00B51A8A"/>
    <w:rsid w:val="00B51CB4"/>
    <w:rsid w:val="00B52945"/>
    <w:rsid w:val="00B52B57"/>
    <w:rsid w:val="00B53088"/>
    <w:rsid w:val="00B53341"/>
    <w:rsid w:val="00B533D2"/>
    <w:rsid w:val="00B53710"/>
    <w:rsid w:val="00B53D89"/>
    <w:rsid w:val="00B567C8"/>
    <w:rsid w:val="00B56CDE"/>
    <w:rsid w:val="00B5734F"/>
    <w:rsid w:val="00B575F0"/>
    <w:rsid w:val="00B578B5"/>
    <w:rsid w:val="00B600FE"/>
    <w:rsid w:val="00B6048A"/>
    <w:rsid w:val="00B61262"/>
    <w:rsid w:val="00B612F1"/>
    <w:rsid w:val="00B618A0"/>
    <w:rsid w:val="00B629EE"/>
    <w:rsid w:val="00B6351D"/>
    <w:rsid w:val="00B6426D"/>
    <w:rsid w:val="00B650CF"/>
    <w:rsid w:val="00B661D4"/>
    <w:rsid w:val="00B667F6"/>
    <w:rsid w:val="00B671A0"/>
    <w:rsid w:val="00B70D74"/>
    <w:rsid w:val="00B71032"/>
    <w:rsid w:val="00B713AA"/>
    <w:rsid w:val="00B716F8"/>
    <w:rsid w:val="00B71E34"/>
    <w:rsid w:val="00B7326F"/>
    <w:rsid w:val="00B7378C"/>
    <w:rsid w:val="00B7465B"/>
    <w:rsid w:val="00B74958"/>
    <w:rsid w:val="00B74E27"/>
    <w:rsid w:val="00B74E55"/>
    <w:rsid w:val="00B75163"/>
    <w:rsid w:val="00B762A9"/>
    <w:rsid w:val="00B76AA9"/>
    <w:rsid w:val="00B77BB6"/>
    <w:rsid w:val="00B80622"/>
    <w:rsid w:val="00B80917"/>
    <w:rsid w:val="00B81B3B"/>
    <w:rsid w:val="00B8333A"/>
    <w:rsid w:val="00B83403"/>
    <w:rsid w:val="00B8342D"/>
    <w:rsid w:val="00B8443F"/>
    <w:rsid w:val="00B85535"/>
    <w:rsid w:val="00B87EE4"/>
    <w:rsid w:val="00B87F3F"/>
    <w:rsid w:val="00B902E6"/>
    <w:rsid w:val="00B90B56"/>
    <w:rsid w:val="00B91352"/>
    <w:rsid w:val="00B917E2"/>
    <w:rsid w:val="00B924B7"/>
    <w:rsid w:val="00B924B9"/>
    <w:rsid w:val="00B92BEC"/>
    <w:rsid w:val="00B9388E"/>
    <w:rsid w:val="00B93D7E"/>
    <w:rsid w:val="00B948B3"/>
    <w:rsid w:val="00B95547"/>
    <w:rsid w:val="00B95659"/>
    <w:rsid w:val="00B958BB"/>
    <w:rsid w:val="00B95B64"/>
    <w:rsid w:val="00B95BF4"/>
    <w:rsid w:val="00B962C7"/>
    <w:rsid w:val="00B96A16"/>
    <w:rsid w:val="00B9759F"/>
    <w:rsid w:val="00BA0A03"/>
    <w:rsid w:val="00BA1B32"/>
    <w:rsid w:val="00BA1CF8"/>
    <w:rsid w:val="00BA255F"/>
    <w:rsid w:val="00BA27AD"/>
    <w:rsid w:val="00BA2A64"/>
    <w:rsid w:val="00BA3DEF"/>
    <w:rsid w:val="00BA499C"/>
    <w:rsid w:val="00BA5168"/>
    <w:rsid w:val="00BA5A6A"/>
    <w:rsid w:val="00BA7C26"/>
    <w:rsid w:val="00BA7CAD"/>
    <w:rsid w:val="00BB014D"/>
    <w:rsid w:val="00BB0291"/>
    <w:rsid w:val="00BB148E"/>
    <w:rsid w:val="00BB1830"/>
    <w:rsid w:val="00BB1EDB"/>
    <w:rsid w:val="00BB220F"/>
    <w:rsid w:val="00BB3A28"/>
    <w:rsid w:val="00BB3C24"/>
    <w:rsid w:val="00BB428F"/>
    <w:rsid w:val="00BB430E"/>
    <w:rsid w:val="00BB4A09"/>
    <w:rsid w:val="00BB5B51"/>
    <w:rsid w:val="00BB650B"/>
    <w:rsid w:val="00BB7E13"/>
    <w:rsid w:val="00BC06E2"/>
    <w:rsid w:val="00BC0FDA"/>
    <w:rsid w:val="00BC121F"/>
    <w:rsid w:val="00BC1A1F"/>
    <w:rsid w:val="00BC23A2"/>
    <w:rsid w:val="00BC32DF"/>
    <w:rsid w:val="00BC3C3D"/>
    <w:rsid w:val="00BC43EA"/>
    <w:rsid w:val="00BC4CC0"/>
    <w:rsid w:val="00BC509C"/>
    <w:rsid w:val="00BC51EA"/>
    <w:rsid w:val="00BC5625"/>
    <w:rsid w:val="00BC5F46"/>
    <w:rsid w:val="00BC60F6"/>
    <w:rsid w:val="00BC61E8"/>
    <w:rsid w:val="00BC62F1"/>
    <w:rsid w:val="00BC65BB"/>
    <w:rsid w:val="00BC6F2C"/>
    <w:rsid w:val="00BC7C2B"/>
    <w:rsid w:val="00BC7CB4"/>
    <w:rsid w:val="00BD01E6"/>
    <w:rsid w:val="00BD060C"/>
    <w:rsid w:val="00BD1B12"/>
    <w:rsid w:val="00BD2656"/>
    <w:rsid w:val="00BD313F"/>
    <w:rsid w:val="00BD34C9"/>
    <w:rsid w:val="00BD3615"/>
    <w:rsid w:val="00BD53DE"/>
    <w:rsid w:val="00BD5BEE"/>
    <w:rsid w:val="00BD7E7A"/>
    <w:rsid w:val="00BE0B80"/>
    <w:rsid w:val="00BE0C22"/>
    <w:rsid w:val="00BE1049"/>
    <w:rsid w:val="00BE1C1D"/>
    <w:rsid w:val="00BE2565"/>
    <w:rsid w:val="00BE2979"/>
    <w:rsid w:val="00BE2FF1"/>
    <w:rsid w:val="00BE3417"/>
    <w:rsid w:val="00BE36BB"/>
    <w:rsid w:val="00BE37D6"/>
    <w:rsid w:val="00BE3879"/>
    <w:rsid w:val="00BE3967"/>
    <w:rsid w:val="00BE399F"/>
    <w:rsid w:val="00BE4053"/>
    <w:rsid w:val="00BE45B4"/>
    <w:rsid w:val="00BE4BDB"/>
    <w:rsid w:val="00BE4EF1"/>
    <w:rsid w:val="00BE60B5"/>
    <w:rsid w:val="00BE623D"/>
    <w:rsid w:val="00BE66FC"/>
    <w:rsid w:val="00BE6AA0"/>
    <w:rsid w:val="00BE7139"/>
    <w:rsid w:val="00BE7826"/>
    <w:rsid w:val="00BF0581"/>
    <w:rsid w:val="00BF0D44"/>
    <w:rsid w:val="00BF19DA"/>
    <w:rsid w:val="00BF28B7"/>
    <w:rsid w:val="00BF39FE"/>
    <w:rsid w:val="00BF3DF7"/>
    <w:rsid w:val="00BF49D9"/>
    <w:rsid w:val="00BF4C07"/>
    <w:rsid w:val="00BF4E81"/>
    <w:rsid w:val="00BF4EA7"/>
    <w:rsid w:val="00BF5454"/>
    <w:rsid w:val="00BF56F8"/>
    <w:rsid w:val="00BF59BE"/>
    <w:rsid w:val="00BF6097"/>
    <w:rsid w:val="00BF6CAA"/>
    <w:rsid w:val="00BF7233"/>
    <w:rsid w:val="00BF7576"/>
    <w:rsid w:val="00BF79D5"/>
    <w:rsid w:val="00C00793"/>
    <w:rsid w:val="00C00EE7"/>
    <w:rsid w:val="00C01C3F"/>
    <w:rsid w:val="00C02274"/>
    <w:rsid w:val="00C023A6"/>
    <w:rsid w:val="00C02620"/>
    <w:rsid w:val="00C02977"/>
    <w:rsid w:val="00C02F22"/>
    <w:rsid w:val="00C0330A"/>
    <w:rsid w:val="00C05048"/>
    <w:rsid w:val="00C0528C"/>
    <w:rsid w:val="00C07D8A"/>
    <w:rsid w:val="00C10D06"/>
    <w:rsid w:val="00C11D0C"/>
    <w:rsid w:val="00C12F2F"/>
    <w:rsid w:val="00C1338C"/>
    <w:rsid w:val="00C16D20"/>
    <w:rsid w:val="00C17281"/>
    <w:rsid w:val="00C208D9"/>
    <w:rsid w:val="00C208F9"/>
    <w:rsid w:val="00C20B7F"/>
    <w:rsid w:val="00C20E1F"/>
    <w:rsid w:val="00C2139A"/>
    <w:rsid w:val="00C23328"/>
    <w:rsid w:val="00C2372B"/>
    <w:rsid w:val="00C23CC1"/>
    <w:rsid w:val="00C23D8A"/>
    <w:rsid w:val="00C23E80"/>
    <w:rsid w:val="00C2463D"/>
    <w:rsid w:val="00C251FE"/>
    <w:rsid w:val="00C25318"/>
    <w:rsid w:val="00C2615D"/>
    <w:rsid w:val="00C26A6B"/>
    <w:rsid w:val="00C26DAF"/>
    <w:rsid w:val="00C270E8"/>
    <w:rsid w:val="00C2747A"/>
    <w:rsid w:val="00C2755A"/>
    <w:rsid w:val="00C275D5"/>
    <w:rsid w:val="00C27659"/>
    <w:rsid w:val="00C278BE"/>
    <w:rsid w:val="00C27C4F"/>
    <w:rsid w:val="00C302A8"/>
    <w:rsid w:val="00C3055B"/>
    <w:rsid w:val="00C30D32"/>
    <w:rsid w:val="00C3149C"/>
    <w:rsid w:val="00C315B1"/>
    <w:rsid w:val="00C31822"/>
    <w:rsid w:val="00C3210C"/>
    <w:rsid w:val="00C3302E"/>
    <w:rsid w:val="00C338EB"/>
    <w:rsid w:val="00C33EC6"/>
    <w:rsid w:val="00C35288"/>
    <w:rsid w:val="00C40DA5"/>
    <w:rsid w:val="00C40E1A"/>
    <w:rsid w:val="00C4109D"/>
    <w:rsid w:val="00C4463C"/>
    <w:rsid w:val="00C4491A"/>
    <w:rsid w:val="00C4500C"/>
    <w:rsid w:val="00C464A7"/>
    <w:rsid w:val="00C469CD"/>
    <w:rsid w:val="00C47184"/>
    <w:rsid w:val="00C475AC"/>
    <w:rsid w:val="00C51023"/>
    <w:rsid w:val="00C5245A"/>
    <w:rsid w:val="00C52767"/>
    <w:rsid w:val="00C52EFF"/>
    <w:rsid w:val="00C53170"/>
    <w:rsid w:val="00C536AF"/>
    <w:rsid w:val="00C54135"/>
    <w:rsid w:val="00C54290"/>
    <w:rsid w:val="00C54739"/>
    <w:rsid w:val="00C54A9B"/>
    <w:rsid w:val="00C54C6E"/>
    <w:rsid w:val="00C55250"/>
    <w:rsid w:val="00C55584"/>
    <w:rsid w:val="00C56048"/>
    <w:rsid w:val="00C56136"/>
    <w:rsid w:val="00C571C6"/>
    <w:rsid w:val="00C578FA"/>
    <w:rsid w:val="00C60135"/>
    <w:rsid w:val="00C6021F"/>
    <w:rsid w:val="00C613C2"/>
    <w:rsid w:val="00C61777"/>
    <w:rsid w:val="00C6257B"/>
    <w:rsid w:val="00C62CE9"/>
    <w:rsid w:val="00C62FE6"/>
    <w:rsid w:val="00C63C78"/>
    <w:rsid w:val="00C63CB0"/>
    <w:rsid w:val="00C64F0F"/>
    <w:rsid w:val="00C65169"/>
    <w:rsid w:val="00C6536F"/>
    <w:rsid w:val="00C659FC"/>
    <w:rsid w:val="00C66B15"/>
    <w:rsid w:val="00C66CF4"/>
    <w:rsid w:val="00C66D00"/>
    <w:rsid w:val="00C67517"/>
    <w:rsid w:val="00C678F5"/>
    <w:rsid w:val="00C67AF0"/>
    <w:rsid w:val="00C67B05"/>
    <w:rsid w:val="00C7025C"/>
    <w:rsid w:val="00C704F9"/>
    <w:rsid w:val="00C71E43"/>
    <w:rsid w:val="00C72881"/>
    <w:rsid w:val="00C73AB3"/>
    <w:rsid w:val="00C74497"/>
    <w:rsid w:val="00C75191"/>
    <w:rsid w:val="00C75910"/>
    <w:rsid w:val="00C75E6C"/>
    <w:rsid w:val="00C7696B"/>
    <w:rsid w:val="00C76B08"/>
    <w:rsid w:val="00C7720A"/>
    <w:rsid w:val="00C7722E"/>
    <w:rsid w:val="00C77BDC"/>
    <w:rsid w:val="00C77DF9"/>
    <w:rsid w:val="00C8019B"/>
    <w:rsid w:val="00C80892"/>
    <w:rsid w:val="00C80904"/>
    <w:rsid w:val="00C814BA"/>
    <w:rsid w:val="00C81682"/>
    <w:rsid w:val="00C8248D"/>
    <w:rsid w:val="00C82A37"/>
    <w:rsid w:val="00C849DC"/>
    <w:rsid w:val="00C84BEE"/>
    <w:rsid w:val="00C85093"/>
    <w:rsid w:val="00C867C3"/>
    <w:rsid w:val="00C873D9"/>
    <w:rsid w:val="00C903D2"/>
    <w:rsid w:val="00C90F10"/>
    <w:rsid w:val="00C938EC"/>
    <w:rsid w:val="00C93B6F"/>
    <w:rsid w:val="00C94A69"/>
    <w:rsid w:val="00C9576D"/>
    <w:rsid w:val="00C957B6"/>
    <w:rsid w:val="00C95B16"/>
    <w:rsid w:val="00C961C3"/>
    <w:rsid w:val="00C96684"/>
    <w:rsid w:val="00C96A6F"/>
    <w:rsid w:val="00C96FD0"/>
    <w:rsid w:val="00C972C5"/>
    <w:rsid w:val="00CA0337"/>
    <w:rsid w:val="00CA0823"/>
    <w:rsid w:val="00CA23A8"/>
    <w:rsid w:val="00CA2DF0"/>
    <w:rsid w:val="00CA3A38"/>
    <w:rsid w:val="00CA467A"/>
    <w:rsid w:val="00CA4698"/>
    <w:rsid w:val="00CA46D9"/>
    <w:rsid w:val="00CA473C"/>
    <w:rsid w:val="00CA5C85"/>
    <w:rsid w:val="00CA6433"/>
    <w:rsid w:val="00CA6F49"/>
    <w:rsid w:val="00CA752A"/>
    <w:rsid w:val="00CB003D"/>
    <w:rsid w:val="00CB066D"/>
    <w:rsid w:val="00CB0E79"/>
    <w:rsid w:val="00CB110F"/>
    <w:rsid w:val="00CB22B1"/>
    <w:rsid w:val="00CB2335"/>
    <w:rsid w:val="00CB28D1"/>
    <w:rsid w:val="00CB2C90"/>
    <w:rsid w:val="00CB3619"/>
    <w:rsid w:val="00CB3788"/>
    <w:rsid w:val="00CB4902"/>
    <w:rsid w:val="00CB566F"/>
    <w:rsid w:val="00CB58B3"/>
    <w:rsid w:val="00CB65B0"/>
    <w:rsid w:val="00CB67F0"/>
    <w:rsid w:val="00CB68B5"/>
    <w:rsid w:val="00CB6A0A"/>
    <w:rsid w:val="00CB6C72"/>
    <w:rsid w:val="00CC01C6"/>
    <w:rsid w:val="00CC0244"/>
    <w:rsid w:val="00CC24BD"/>
    <w:rsid w:val="00CC25F6"/>
    <w:rsid w:val="00CC26CB"/>
    <w:rsid w:val="00CC2F7B"/>
    <w:rsid w:val="00CC385C"/>
    <w:rsid w:val="00CC3B64"/>
    <w:rsid w:val="00CC4291"/>
    <w:rsid w:val="00CC44EE"/>
    <w:rsid w:val="00CC479D"/>
    <w:rsid w:val="00CC4845"/>
    <w:rsid w:val="00CC4990"/>
    <w:rsid w:val="00CC5325"/>
    <w:rsid w:val="00CC54FD"/>
    <w:rsid w:val="00CC60E8"/>
    <w:rsid w:val="00CC627D"/>
    <w:rsid w:val="00CC6CF9"/>
    <w:rsid w:val="00CC72C5"/>
    <w:rsid w:val="00CC78C4"/>
    <w:rsid w:val="00CD1183"/>
    <w:rsid w:val="00CD13E8"/>
    <w:rsid w:val="00CD1B6A"/>
    <w:rsid w:val="00CD2906"/>
    <w:rsid w:val="00CD2E8F"/>
    <w:rsid w:val="00CD4432"/>
    <w:rsid w:val="00CD5982"/>
    <w:rsid w:val="00CD646F"/>
    <w:rsid w:val="00CD74EC"/>
    <w:rsid w:val="00CD761E"/>
    <w:rsid w:val="00CD778C"/>
    <w:rsid w:val="00CD77FE"/>
    <w:rsid w:val="00CE47B6"/>
    <w:rsid w:val="00CE5D57"/>
    <w:rsid w:val="00CE7CF8"/>
    <w:rsid w:val="00CF0277"/>
    <w:rsid w:val="00CF037D"/>
    <w:rsid w:val="00CF2EFB"/>
    <w:rsid w:val="00CF3B70"/>
    <w:rsid w:val="00CF42C0"/>
    <w:rsid w:val="00CF473C"/>
    <w:rsid w:val="00CF50E5"/>
    <w:rsid w:val="00CF5178"/>
    <w:rsid w:val="00CF565F"/>
    <w:rsid w:val="00CF56D8"/>
    <w:rsid w:val="00CF5F28"/>
    <w:rsid w:val="00CF6051"/>
    <w:rsid w:val="00CF6927"/>
    <w:rsid w:val="00CF6ACA"/>
    <w:rsid w:val="00D0027D"/>
    <w:rsid w:val="00D00E10"/>
    <w:rsid w:val="00D01C0A"/>
    <w:rsid w:val="00D02798"/>
    <w:rsid w:val="00D037E0"/>
    <w:rsid w:val="00D045AB"/>
    <w:rsid w:val="00D045D2"/>
    <w:rsid w:val="00D04DD8"/>
    <w:rsid w:val="00D050CA"/>
    <w:rsid w:val="00D05DA4"/>
    <w:rsid w:val="00D05E78"/>
    <w:rsid w:val="00D0741B"/>
    <w:rsid w:val="00D102D4"/>
    <w:rsid w:val="00D1130C"/>
    <w:rsid w:val="00D11C1D"/>
    <w:rsid w:val="00D11DC6"/>
    <w:rsid w:val="00D12384"/>
    <w:rsid w:val="00D12953"/>
    <w:rsid w:val="00D13355"/>
    <w:rsid w:val="00D149C8"/>
    <w:rsid w:val="00D14AE5"/>
    <w:rsid w:val="00D153C1"/>
    <w:rsid w:val="00D16100"/>
    <w:rsid w:val="00D1657F"/>
    <w:rsid w:val="00D17380"/>
    <w:rsid w:val="00D178A3"/>
    <w:rsid w:val="00D17CB4"/>
    <w:rsid w:val="00D17E6D"/>
    <w:rsid w:val="00D202CE"/>
    <w:rsid w:val="00D203E9"/>
    <w:rsid w:val="00D20A1A"/>
    <w:rsid w:val="00D20FE9"/>
    <w:rsid w:val="00D212D4"/>
    <w:rsid w:val="00D21663"/>
    <w:rsid w:val="00D22742"/>
    <w:rsid w:val="00D22F1D"/>
    <w:rsid w:val="00D235C6"/>
    <w:rsid w:val="00D236F8"/>
    <w:rsid w:val="00D23FAD"/>
    <w:rsid w:val="00D23FC9"/>
    <w:rsid w:val="00D24163"/>
    <w:rsid w:val="00D24BDB"/>
    <w:rsid w:val="00D254E0"/>
    <w:rsid w:val="00D25618"/>
    <w:rsid w:val="00D257BB"/>
    <w:rsid w:val="00D25B6D"/>
    <w:rsid w:val="00D25CB9"/>
    <w:rsid w:val="00D25DC2"/>
    <w:rsid w:val="00D270CB"/>
    <w:rsid w:val="00D2732B"/>
    <w:rsid w:val="00D27741"/>
    <w:rsid w:val="00D27D30"/>
    <w:rsid w:val="00D305EC"/>
    <w:rsid w:val="00D30D81"/>
    <w:rsid w:val="00D30FDA"/>
    <w:rsid w:val="00D32A90"/>
    <w:rsid w:val="00D334FE"/>
    <w:rsid w:val="00D3360B"/>
    <w:rsid w:val="00D339CF"/>
    <w:rsid w:val="00D344BD"/>
    <w:rsid w:val="00D3479D"/>
    <w:rsid w:val="00D34B16"/>
    <w:rsid w:val="00D350CC"/>
    <w:rsid w:val="00D358A0"/>
    <w:rsid w:val="00D35B85"/>
    <w:rsid w:val="00D408EA"/>
    <w:rsid w:val="00D40A0C"/>
    <w:rsid w:val="00D40ECC"/>
    <w:rsid w:val="00D421F0"/>
    <w:rsid w:val="00D44613"/>
    <w:rsid w:val="00D4463A"/>
    <w:rsid w:val="00D453EB"/>
    <w:rsid w:val="00D459B7"/>
    <w:rsid w:val="00D45AEF"/>
    <w:rsid w:val="00D4637C"/>
    <w:rsid w:val="00D46700"/>
    <w:rsid w:val="00D4671F"/>
    <w:rsid w:val="00D468AC"/>
    <w:rsid w:val="00D506A7"/>
    <w:rsid w:val="00D51590"/>
    <w:rsid w:val="00D52542"/>
    <w:rsid w:val="00D5329B"/>
    <w:rsid w:val="00D539C8"/>
    <w:rsid w:val="00D53DE5"/>
    <w:rsid w:val="00D53E60"/>
    <w:rsid w:val="00D5485E"/>
    <w:rsid w:val="00D55902"/>
    <w:rsid w:val="00D56672"/>
    <w:rsid w:val="00D56DE3"/>
    <w:rsid w:val="00D570BC"/>
    <w:rsid w:val="00D573EA"/>
    <w:rsid w:val="00D579A6"/>
    <w:rsid w:val="00D57C00"/>
    <w:rsid w:val="00D60995"/>
    <w:rsid w:val="00D60D2B"/>
    <w:rsid w:val="00D60F2C"/>
    <w:rsid w:val="00D616F3"/>
    <w:rsid w:val="00D61A22"/>
    <w:rsid w:val="00D61D9E"/>
    <w:rsid w:val="00D6300D"/>
    <w:rsid w:val="00D631D2"/>
    <w:rsid w:val="00D637D9"/>
    <w:rsid w:val="00D65126"/>
    <w:rsid w:val="00D65658"/>
    <w:rsid w:val="00D657C3"/>
    <w:rsid w:val="00D65906"/>
    <w:rsid w:val="00D66DC1"/>
    <w:rsid w:val="00D66EF0"/>
    <w:rsid w:val="00D66F25"/>
    <w:rsid w:val="00D66FC5"/>
    <w:rsid w:val="00D6741D"/>
    <w:rsid w:val="00D677C4"/>
    <w:rsid w:val="00D679C2"/>
    <w:rsid w:val="00D7095B"/>
    <w:rsid w:val="00D720BD"/>
    <w:rsid w:val="00D720F1"/>
    <w:rsid w:val="00D7252F"/>
    <w:rsid w:val="00D743C8"/>
    <w:rsid w:val="00D745C7"/>
    <w:rsid w:val="00D75C7B"/>
    <w:rsid w:val="00D76F19"/>
    <w:rsid w:val="00D774C7"/>
    <w:rsid w:val="00D77840"/>
    <w:rsid w:val="00D77EFF"/>
    <w:rsid w:val="00D8088C"/>
    <w:rsid w:val="00D814E9"/>
    <w:rsid w:val="00D8167D"/>
    <w:rsid w:val="00D81873"/>
    <w:rsid w:val="00D81B81"/>
    <w:rsid w:val="00D81CC4"/>
    <w:rsid w:val="00D82B6C"/>
    <w:rsid w:val="00D82C72"/>
    <w:rsid w:val="00D82EE9"/>
    <w:rsid w:val="00D83A2E"/>
    <w:rsid w:val="00D8453D"/>
    <w:rsid w:val="00D84D5F"/>
    <w:rsid w:val="00D84F3B"/>
    <w:rsid w:val="00D854A2"/>
    <w:rsid w:val="00D85BA2"/>
    <w:rsid w:val="00D85DC3"/>
    <w:rsid w:val="00D8604D"/>
    <w:rsid w:val="00D86721"/>
    <w:rsid w:val="00D867F6"/>
    <w:rsid w:val="00D86957"/>
    <w:rsid w:val="00D86A93"/>
    <w:rsid w:val="00D86AD5"/>
    <w:rsid w:val="00D86C5D"/>
    <w:rsid w:val="00D878CF"/>
    <w:rsid w:val="00D905A3"/>
    <w:rsid w:val="00D90A72"/>
    <w:rsid w:val="00D90D40"/>
    <w:rsid w:val="00D91111"/>
    <w:rsid w:val="00D917C7"/>
    <w:rsid w:val="00D919A1"/>
    <w:rsid w:val="00D91CA2"/>
    <w:rsid w:val="00D92719"/>
    <w:rsid w:val="00D92844"/>
    <w:rsid w:val="00D92A52"/>
    <w:rsid w:val="00D92A5C"/>
    <w:rsid w:val="00D92CB8"/>
    <w:rsid w:val="00D92D7A"/>
    <w:rsid w:val="00D93440"/>
    <w:rsid w:val="00D93789"/>
    <w:rsid w:val="00D94248"/>
    <w:rsid w:val="00D95300"/>
    <w:rsid w:val="00D9555F"/>
    <w:rsid w:val="00D95C9B"/>
    <w:rsid w:val="00D95D9F"/>
    <w:rsid w:val="00D962ED"/>
    <w:rsid w:val="00D96631"/>
    <w:rsid w:val="00D96B28"/>
    <w:rsid w:val="00D96D87"/>
    <w:rsid w:val="00D9716B"/>
    <w:rsid w:val="00DA00FE"/>
    <w:rsid w:val="00DA0AB4"/>
    <w:rsid w:val="00DA0D97"/>
    <w:rsid w:val="00DA10B6"/>
    <w:rsid w:val="00DA12F4"/>
    <w:rsid w:val="00DA249E"/>
    <w:rsid w:val="00DA2A68"/>
    <w:rsid w:val="00DA2AFF"/>
    <w:rsid w:val="00DA2B04"/>
    <w:rsid w:val="00DA2F07"/>
    <w:rsid w:val="00DA3563"/>
    <w:rsid w:val="00DA3752"/>
    <w:rsid w:val="00DA53C9"/>
    <w:rsid w:val="00DA5DB6"/>
    <w:rsid w:val="00DA5DC0"/>
    <w:rsid w:val="00DA62C1"/>
    <w:rsid w:val="00DA7691"/>
    <w:rsid w:val="00DB0054"/>
    <w:rsid w:val="00DB05AE"/>
    <w:rsid w:val="00DB0BE6"/>
    <w:rsid w:val="00DB1105"/>
    <w:rsid w:val="00DB15A8"/>
    <w:rsid w:val="00DB1681"/>
    <w:rsid w:val="00DB1D0E"/>
    <w:rsid w:val="00DB2561"/>
    <w:rsid w:val="00DB2595"/>
    <w:rsid w:val="00DB27E4"/>
    <w:rsid w:val="00DB319B"/>
    <w:rsid w:val="00DB5F9C"/>
    <w:rsid w:val="00DB645B"/>
    <w:rsid w:val="00DB65C0"/>
    <w:rsid w:val="00DB6E6B"/>
    <w:rsid w:val="00DB74B1"/>
    <w:rsid w:val="00DC031E"/>
    <w:rsid w:val="00DC144A"/>
    <w:rsid w:val="00DC181C"/>
    <w:rsid w:val="00DC2440"/>
    <w:rsid w:val="00DC2A42"/>
    <w:rsid w:val="00DC30F3"/>
    <w:rsid w:val="00DC3CF5"/>
    <w:rsid w:val="00DC40C3"/>
    <w:rsid w:val="00DC4278"/>
    <w:rsid w:val="00DC4A83"/>
    <w:rsid w:val="00DC5EC6"/>
    <w:rsid w:val="00DC6C22"/>
    <w:rsid w:val="00DC73BC"/>
    <w:rsid w:val="00DD1814"/>
    <w:rsid w:val="00DD1D70"/>
    <w:rsid w:val="00DD1F39"/>
    <w:rsid w:val="00DD2D6E"/>
    <w:rsid w:val="00DD33A0"/>
    <w:rsid w:val="00DD3AC2"/>
    <w:rsid w:val="00DD3C69"/>
    <w:rsid w:val="00DD3D9A"/>
    <w:rsid w:val="00DD5C09"/>
    <w:rsid w:val="00DD5DE2"/>
    <w:rsid w:val="00DD7653"/>
    <w:rsid w:val="00DD790D"/>
    <w:rsid w:val="00DE0A40"/>
    <w:rsid w:val="00DE0ED7"/>
    <w:rsid w:val="00DE15FD"/>
    <w:rsid w:val="00DE1653"/>
    <w:rsid w:val="00DE2D8D"/>
    <w:rsid w:val="00DE371F"/>
    <w:rsid w:val="00DE5A75"/>
    <w:rsid w:val="00DE6364"/>
    <w:rsid w:val="00DE6929"/>
    <w:rsid w:val="00DE7D7D"/>
    <w:rsid w:val="00DF04C3"/>
    <w:rsid w:val="00DF06B7"/>
    <w:rsid w:val="00DF0E04"/>
    <w:rsid w:val="00DF210C"/>
    <w:rsid w:val="00DF457B"/>
    <w:rsid w:val="00DF4EB5"/>
    <w:rsid w:val="00DF53AF"/>
    <w:rsid w:val="00DF53B7"/>
    <w:rsid w:val="00DF5957"/>
    <w:rsid w:val="00DF655F"/>
    <w:rsid w:val="00DF66AF"/>
    <w:rsid w:val="00DF759D"/>
    <w:rsid w:val="00DF7BAE"/>
    <w:rsid w:val="00E00910"/>
    <w:rsid w:val="00E01802"/>
    <w:rsid w:val="00E01EFB"/>
    <w:rsid w:val="00E0216B"/>
    <w:rsid w:val="00E04357"/>
    <w:rsid w:val="00E04835"/>
    <w:rsid w:val="00E04F3F"/>
    <w:rsid w:val="00E0546F"/>
    <w:rsid w:val="00E05BA4"/>
    <w:rsid w:val="00E05EE8"/>
    <w:rsid w:val="00E06CC5"/>
    <w:rsid w:val="00E06DA8"/>
    <w:rsid w:val="00E079C3"/>
    <w:rsid w:val="00E07EB2"/>
    <w:rsid w:val="00E10BC8"/>
    <w:rsid w:val="00E10CC0"/>
    <w:rsid w:val="00E112A5"/>
    <w:rsid w:val="00E1170A"/>
    <w:rsid w:val="00E12D3B"/>
    <w:rsid w:val="00E13BD4"/>
    <w:rsid w:val="00E13EE0"/>
    <w:rsid w:val="00E14BEC"/>
    <w:rsid w:val="00E15A39"/>
    <w:rsid w:val="00E15C8F"/>
    <w:rsid w:val="00E15DAA"/>
    <w:rsid w:val="00E17FC4"/>
    <w:rsid w:val="00E21A3F"/>
    <w:rsid w:val="00E21B67"/>
    <w:rsid w:val="00E222A4"/>
    <w:rsid w:val="00E22C20"/>
    <w:rsid w:val="00E22CF5"/>
    <w:rsid w:val="00E23E08"/>
    <w:rsid w:val="00E23EBF"/>
    <w:rsid w:val="00E24459"/>
    <w:rsid w:val="00E246D4"/>
    <w:rsid w:val="00E24EB2"/>
    <w:rsid w:val="00E25F5E"/>
    <w:rsid w:val="00E2648E"/>
    <w:rsid w:val="00E26F87"/>
    <w:rsid w:val="00E30017"/>
    <w:rsid w:val="00E3015C"/>
    <w:rsid w:val="00E3066D"/>
    <w:rsid w:val="00E3127B"/>
    <w:rsid w:val="00E32B75"/>
    <w:rsid w:val="00E33154"/>
    <w:rsid w:val="00E33BEE"/>
    <w:rsid w:val="00E33ECB"/>
    <w:rsid w:val="00E34364"/>
    <w:rsid w:val="00E34719"/>
    <w:rsid w:val="00E34AC2"/>
    <w:rsid w:val="00E372AE"/>
    <w:rsid w:val="00E372F7"/>
    <w:rsid w:val="00E37331"/>
    <w:rsid w:val="00E3786F"/>
    <w:rsid w:val="00E40217"/>
    <w:rsid w:val="00E40560"/>
    <w:rsid w:val="00E40A2D"/>
    <w:rsid w:val="00E42AE6"/>
    <w:rsid w:val="00E42EA1"/>
    <w:rsid w:val="00E43872"/>
    <w:rsid w:val="00E43C57"/>
    <w:rsid w:val="00E43D91"/>
    <w:rsid w:val="00E448D4"/>
    <w:rsid w:val="00E44AE9"/>
    <w:rsid w:val="00E451D7"/>
    <w:rsid w:val="00E451F3"/>
    <w:rsid w:val="00E473F1"/>
    <w:rsid w:val="00E50005"/>
    <w:rsid w:val="00E5009F"/>
    <w:rsid w:val="00E50881"/>
    <w:rsid w:val="00E50972"/>
    <w:rsid w:val="00E52193"/>
    <w:rsid w:val="00E528E8"/>
    <w:rsid w:val="00E536D9"/>
    <w:rsid w:val="00E53F17"/>
    <w:rsid w:val="00E5432C"/>
    <w:rsid w:val="00E5483C"/>
    <w:rsid w:val="00E54BB4"/>
    <w:rsid w:val="00E54D53"/>
    <w:rsid w:val="00E554E8"/>
    <w:rsid w:val="00E55FA0"/>
    <w:rsid w:val="00E57523"/>
    <w:rsid w:val="00E57CCC"/>
    <w:rsid w:val="00E61786"/>
    <w:rsid w:val="00E61894"/>
    <w:rsid w:val="00E62214"/>
    <w:rsid w:val="00E6245C"/>
    <w:rsid w:val="00E62C34"/>
    <w:rsid w:val="00E62D90"/>
    <w:rsid w:val="00E63140"/>
    <w:rsid w:val="00E633DC"/>
    <w:rsid w:val="00E634D6"/>
    <w:rsid w:val="00E63548"/>
    <w:rsid w:val="00E63749"/>
    <w:rsid w:val="00E63AE1"/>
    <w:rsid w:val="00E64BA0"/>
    <w:rsid w:val="00E6543D"/>
    <w:rsid w:val="00E655E2"/>
    <w:rsid w:val="00E65CD8"/>
    <w:rsid w:val="00E66603"/>
    <w:rsid w:val="00E66618"/>
    <w:rsid w:val="00E705B2"/>
    <w:rsid w:val="00E711EA"/>
    <w:rsid w:val="00E71387"/>
    <w:rsid w:val="00E715D0"/>
    <w:rsid w:val="00E7198D"/>
    <w:rsid w:val="00E71F7F"/>
    <w:rsid w:val="00E72066"/>
    <w:rsid w:val="00E72357"/>
    <w:rsid w:val="00E733BD"/>
    <w:rsid w:val="00E735A9"/>
    <w:rsid w:val="00E735FE"/>
    <w:rsid w:val="00E73ACF"/>
    <w:rsid w:val="00E73E12"/>
    <w:rsid w:val="00E7460C"/>
    <w:rsid w:val="00E74ECC"/>
    <w:rsid w:val="00E7627E"/>
    <w:rsid w:val="00E76D8A"/>
    <w:rsid w:val="00E776F0"/>
    <w:rsid w:val="00E80073"/>
    <w:rsid w:val="00E80640"/>
    <w:rsid w:val="00E80C02"/>
    <w:rsid w:val="00E8157E"/>
    <w:rsid w:val="00E815FC"/>
    <w:rsid w:val="00E81736"/>
    <w:rsid w:val="00E81ED7"/>
    <w:rsid w:val="00E82586"/>
    <w:rsid w:val="00E826C4"/>
    <w:rsid w:val="00E82F1F"/>
    <w:rsid w:val="00E83A20"/>
    <w:rsid w:val="00E84C24"/>
    <w:rsid w:val="00E84C52"/>
    <w:rsid w:val="00E84D69"/>
    <w:rsid w:val="00E850C3"/>
    <w:rsid w:val="00E85333"/>
    <w:rsid w:val="00E85C7C"/>
    <w:rsid w:val="00E86488"/>
    <w:rsid w:val="00E86EA4"/>
    <w:rsid w:val="00E90228"/>
    <w:rsid w:val="00E907B2"/>
    <w:rsid w:val="00E907F4"/>
    <w:rsid w:val="00E9145C"/>
    <w:rsid w:val="00E93827"/>
    <w:rsid w:val="00E95BB8"/>
    <w:rsid w:val="00E95F4E"/>
    <w:rsid w:val="00E96556"/>
    <w:rsid w:val="00E96E5D"/>
    <w:rsid w:val="00E9798A"/>
    <w:rsid w:val="00E979F7"/>
    <w:rsid w:val="00EA0665"/>
    <w:rsid w:val="00EA1477"/>
    <w:rsid w:val="00EA1ACA"/>
    <w:rsid w:val="00EA1D58"/>
    <w:rsid w:val="00EA3000"/>
    <w:rsid w:val="00EA3179"/>
    <w:rsid w:val="00EA3185"/>
    <w:rsid w:val="00EA3725"/>
    <w:rsid w:val="00EA3936"/>
    <w:rsid w:val="00EA3AAF"/>
    <w:rsid w:val="00EA3F05"/>
    <w:rsid w:val="00EA513F"/>
    <w:rsid w:val="00EA5961"/>
    <w:rsid w:val="00EA5CD1"/>
    <w:rsid w:val="00EA5E2A"/>
    <w:rsid w:val="00EA6253"/>
    <w:rsid w:val="00EA6D84"/>
    <w:rsid w:val="00EA7710"/>
    <w:rsid w:val="00EA7D38"/>
    <w:rsid w:val="00EB0731"/>
    <w:rsid w:val="00EB0E62"/>
    <w:rsid w:val="00EB1015"/>
    <w:rsid w:val="00EB19BD"/>
    <w:rsid w:val="00EB2020"/>
    <w:rsid w:val="00EB27D5"/>
    <w:rsid w:val="00EB28E9"/>
    <w:rsid w:val="00EB29BC"/>
    <w:rsid w:val="00EB2E09"/>
    <w:rsid w:val="00EB336B"/>
    <w:rsid w:val="00EB3653"/>
    <w:rsid w:val="00EB45FA"/>
    <w:rsid w:val="00EB578A"/>
    <w:rsid w:val="00EB5D47"/>
    <w:rsid w:val="00EB607F"/>
    <w:rsid w:val="00EB6AC8"/>
    <w:rsid w:val="00EB6AFD"/>
    <w:rsid w:val="00EB6C7D"/>
    <w:rsid w:val="00EB70E5"/>
    <w:rsid w:val="00EB7AC2"/>
    <w:rsid w:val="00EB7C8E"/>
    <w:rsid w:val="00EC02BE"/>
    <w:rsid w:val="00EC02E7"/>
    <w:rsid w:val="00EC146E"/>
    <w:rsid w:val="00EC1B1A"/>
    <w:rsid w:val="00EC35DE"/>
    <w:rsid w:val="00EC53E6"/>
    <w:rsid w:val="00EC543A"/>
    <w:rsid w:val="00EC5975"/>
    <w:rsid w:val="00EC59C7"/>
    <w:rsid w:val="00EC5CEA"/>
    <w:rsid w:val="00EC6130"/>
    <w:rsid w:val="00EC6766"/>
    <w:rsid w:val="00EC6B27"/>
    <w:rsid w:val="00EC6BF6"/>
    <w:rsid w:val="00EC7AE3"/>
    <w:rsid w:val="00EC7E08"/>
    <w:rsid w:val="00ED009A"/>
    <w:rsid w:val="00ED0F4E"/>
    <w:rsid w:val="00ED129B"/>
    <w:rsid w:val="00ED1FF7"/>
    <w:rsid w:val="00ED2563"/>
    <w:rsid w:val="00ED2A4C"/>
    <w:rsid w:val="00ED39A8"/>
    <w:rsid w:val="00ED4371"/>
    <w:rsid w:val="00ED4EF1"/>
    <w:rsid w:val="00ED683E"/>
    <w:rsid w:val="00ED6AAB"/>
    <w:rsid w:val="00ED6DFC"/>
    <w:rsid w:val="00ED75CF"/>
    <w:rsid w:val="00ED762B"/>
    <w:rsid w:val="00ED7FAA"/>
    <w:rsid w:val="00EE0614"/>
    <w:rsid w:val="00EE067C"/>
    <w:rsid w:val="00EE1275"/>
    <w:rsid w:val="00EE1774"/>
    <w:rsid w:val="00EE1D7D"/>
    <w:rsid w:val="00EE2031"/>
    <w:rsid w:val="00EE2D3E"/>
    <w:rsid w:val="00EE35DE"/>
    <w:rsid w:val="00EE4924"/>
    <w:rsid w:val="00EE50AF"/>
    <w:rsid w:val="00EE715E"/>
    <w:rsid w:val="00EE754A"/>
    <w:rsid w:val="00EE79B0"/>
    <w:rsid w:val="00EE7A5E"/>
    <w:rsid w:val="00EF039F"/>
    <w:rsid w:val="00EF0757"/>
    <w:rsid w:val="00EF11CE"/>
    <w:rsid w:val="00EF13FE"/>
    <w:rsid w:val="00EF2143"/>
    <w:rsid w:val="00EF256E"/>
    <w:rsid w:val="00EF3159"/>
    <w:rsid w:val="00EF384D"/>
    <w:rsid w:val="00EF3946"/>
    <w:rsid w:val="00EF4528"/>
    <w:rsid w:val="00EF4569"/>
    <w:rsid w:val="00EF47C0"/>
    <w:rsid w:val="00EF4B37"/>
    <w:rsid w:val="00EF4F18"/>
    <w:rsid w:val="00EF4F51"/>
    <w:rsid w:val="00EF60F3"/>
    <w:rsid w:val="00EF6960"/>
    <w:rsid w:val="00EF74D6"/>
    <w:rsid w:val="00EF7D4C"/>
    <w:rsid w:val="00EF7E66"/>
    <w:rsid w:val="00F0088A"/>
    <w:rsid w:val="00F023D5"/>
    <w:rsid w:val="00F02E7D"/>
    <w:rsid w:val="00F02FEC"/>
    <w:rsid w:val="00F03706"/>
    <w:rsid w:val="00F0492C"/>
    <w:rsid w:val="00F062AC"/>
    <w:rsid w:val="00F06404"/>
    <w:rsid w:val="00F0650B"/>
    <w:rsid w:val="00F068A0"/>
    <w:rsid w:val="00F070A4"/>
    <w:rsid w:val="00F0745D"/>
    <w:rsid w:val="00F076DB"/>
    <w:rsid w:val="00F10C63"/>
    <w:rsid w:val="00F112AD"/>
    <w:rsid w:val="00F115CA"/>
    <w:rsid w:val="00F121CB"/>
    <w:rsid w:val="00F12787"/>
    <w:rsid w:val="00F136A0"/>
    <w:rsid w:val="00F152AB"/>
    <w:rsid w:val="00F15BE9"/>
    <w:rsid w:val="00F166FC"/>
    <w:rsid w:val="00F17101"/>
    <w:rsid w:val="00F175F6"/>
    <w:rsid w:val="00F177DC"/>
    <w:rsid w:val="00F17AC1"/>
    <w:rsid w:val="00F2092E"/>
    <w:rsid w:val="00F20A25"/>
    <w:rsid w:val="00F20D6E"/>
    <w:rsid w:val="00F21433"/>
    <w:rsid w:val="00F225F8"/>
    <w:rsid w:val="00F226E6"/>
    <w:rsid w:val="00F22810"/>
    <w:rsid w:val="00F23521"/>
    <w:rsid w:val="00F2359F"/>
    <w:rsid w:val="00F25573"/>
    <w:rsid w:val="00F25733"/>
    <w:rsid w:val="00F25A5B"/>
    <w:rsid w:val="00F25E05"/>
    <w:rsid w:val="00F263C6"/>
    <w:rsid w:val="00F26D1B"/>
    <w:rsid w:val="00F26F08"/>
    <w:rsid w:val="00F2710C"/>
    <w:rsid w:val="00F274F9"/>
    <w:rsid w:val="00F277BA"/>
    <w:rsid w:val="00F301B4"/>
    <w:rsid w:val="00F30D23"/>
    <w:rsid w:val="00F314CA"/>
    <w:rsid w:val="00F31F31"/>
    <w:rsid w:val="00F335E8"/>
    <w:rsid w:val="00F34F34"/>
    <w:rsid w:val="00F35350"/>
    <w:rsid w:val="00F35720"/>
    <w:rsid w:val="00F35D14"/>
    <w:rsid w:val="00F35E37"/>
    <w:rsid w:val="00F36CF6"/>
    <w:rsid w:val="00F37737"/>
    <w:rsid w:val="00F4022D"/>
    <w:rsid w:val="00F40BDA"/>
    <w:rsid w:val="00F419C8"/>
    <w:rsid w:val="00F41C30"/>
    <w:rsid w:val="00F4235A"/>
    <w:rsid w:val="00F42F73"/>
    <w:rsid w:val="00F4352C"/>
    <w:rsid w:val="00F435DD"/>
    <w:rsid w:val="00F43806"/>
    <w:rsid w:val="00F44523"/>
    <w:rsid w:val="00F4480D"/>
    <w:rsid w:val="00F44A54"/>
    <w:rsid w:val="00F469AF"/>
    <w:rsid w:val="00F46DC9"/>
    <w:rsid w:val="00F47051"/>
    <w:rsid w:val="00F47DFA"/>
    <w:rsid w:val="00F5078F"/>
    <w:rsid w:val="00F56757"/>
    <w:rsid w:val="00F602BE"/>
    <w:rsid w:val="00F61083"/>
    <w:rsid w:val="00F6156A"/>
    <w:rsid w:val="00F61830"/>
    <w:rsid w:val="00F61D5C"/>
    <w:rsid w:val="00F61F2B"/>
    <w:rsid w:val="00F632F0"/>
    <w:rsid w:val="00F6359C"/>
    <w:rsid w:val="00F6508F"/>
    <w:rsid w:val="00F650C6"/>
    <w:rsid w:val="00F663AA"/>
    <w:rsid w:val="00F6654F"/>
    <w:rsid w:val="00F66D3C"/>
    <w:rsid w:val="00F670C5"/>
    <w:rsid w:val="00F671E1"/>
    <w:rsid w:val="00F672F3"/>
    <w:rsid w:val="00F67E52"/>
    <w:rsid w:val="00F70280"/>
    <w:rsid w:val="00F717A9"/>
    <w:rsid w:val="00F717D7"/>
    <w:rsid w:val="00F72893"/>
    <w:rsid w:val="00F72F75"/>
    <w:rsid w:val="00F744CB"/>
    <w:rsid w:val="00F74885"/>
    <w:rsid w:val="00F75D7F"/>
    <w:rsid w:val="00F77215"/>
    <w:rsid w:val="00F776C9"/>
    <w:rsid w:val="00F77C20"/>
    <w:rsid w:val="00F77DAA"/>
    <w:rsid w:val="00F808C8"/>
    <w:rsid w:val="00F81447"/>
    <w:rsid w:val="00F822A5"/>
    <w:rsid w:val="00F82F71"/>
    <w:rsid w:val="00F8319D"/>
    <w:rsid w:val="00F83BF7"/>
    <w:rsid w:val="00F852AC"/>
    <w:rsid w:val="00F85FAF"/>
    <w:rsid w:val="00F86205"/>
    <w:rsid w:val="00F8670F"/>
    <w:rsid w:val="00F86F97"/>
    <w:rsid w:val="00F87873"/>
    <w:rsid w:val="00F8797F"/>
    <w:rsid w:val="00F90368"/>
    <w:rsid w:val="00F90801"/>
    <w:rsid w:val="00F90CEE"/>
    <w:rsid w:val="00F90FD1"/>
    <w:rsid w:val="00F91066"/>
    <w:rsid w:val="00F918D6"/>
    <w:rsid w:val="00F919BB"/>
    <w:rsid w:val="00F928A7"/>
    <w:rsid w:val="00F92EBB"/>
    <w:rsid w:val="00F930EF"/>
    <w:rsid w:val="00F93FC4"/>
    <w:rsid w:val="00F94661"/>
    <w:rsid w:val="00F94832"/>
    <w:rsid w:val="00F948B1"/>
    <w:rsid w:val="00F94D42"/>
    <w:rsid w:val="00F951A8"/>
    <w:rsid w:val="00F95EBE"/>
    <w:rsid w:val="00F973B8"/>
    <w:rsid w:val="00FA074C"/>
    <w:rsid w:val="00FA0BE6"/>
    <w:rsid w:val="00FA0C0F"/>
    <w:rsid w:val="00FA1715"/>
    <w:rsid w:val="00FA189F"/>
    <w:rsid w:val="00FA2EB3"/>
    <w:rsid w:val="00FA33EA"/>
    <w:rsid w:val="00FA3B31"/>
    <w:rsid w:val="00FA48EA"/>
    <w:rsid w:val="00FA4E6A"/>
    <w:rsid w:val="00FA6021"/>
    <w:rsid w:val="00FA6785"/>
    <w:rsid w:val="00FA6E71"/>
    <w:rsid w:val="00FA7041"/>
    <w:rsid w:val="00FA74B4"/>
    <w:rsid w:val="00FB1AF5"/>
    <w:rsid w:val="00FB1F32"/>
    <w:rsid w:val="00FB38C1"/>
    <w:rsid w:val="00FB42BB"/>
    <w:rsid w:val="00FB4749"/>
    <w:rsid w:val="00FB496B"/>
    <w:rsid w:val="00FB4EEC"/>
    <w:rsid w:val="00FB50B9"/>
    <w:rsid w:val="00FB518D"/>
    <w:rsid w:val="00FB5303"/>
    <w:rsid w:val="00FB5305"/>
    <w:rsid w:val="00FB5539"/>
    <w:rsid w:val="00FB55B0"/>
    <w:rsid w:val="00FB580A"/>
    <w:rsid w:val="00FB59A2"/>
    <w:rsid w:val="00FB5CDA"/>
    <w:rsid w:val="00FB5D0B"/>
    <w:rsid w:val="00FB6219"/>
    <w:rsid w:val="00FB6344"/>
    <w:rsid w:val="00FB67F7"/>
    <w:rsid w:val="00FC01E2"/>
    <w:rsid w:val="00FC02BF"/>
    <w:rsid w:val="00FC0BB0"/>
    <w:rsid w:val="00FC1594"/>
    <w:rsid w:val="00FC18C6"/>
    <w:rsid w:val="00FC2AA2"/>
    <w:rsid w:val="00FC2BFC"/>
    <w:rsid w:val="00FC2FEF"/>
    <w:rsid w:val="00FC44FC"/>
    <w:rsid w:val="00FC4E0A"/>
    <w:rsid w:val="00FC507A"/>
    <w:rsid w:val="00FC5721"/>
    <w:rsid w:val="00FC5786"/>
    <w:rsid w:val="00FC7057"/>
    <w:rsid w:val="00FC70C1"/>
    <w:rsid w:val="00FC7C5E"/>
    <w:rsid w:val="00FD0107"/>
    <w:rsid w:val="00FD0552"/>
    <w:rsid w:val="00FD0A0B"/>
    <w:rsid w:val="00FD0AA0"/>
    <w:rsid w:val="00FD0C2B"/>
    <w:rsid w:val="00FD1AC8"/>
    <w:rsid w:val="00FD1F7B"/>
    <w:rsid w:val="00FD1FFB"/>
    <w:rsid w:val="00FD2A36"/>
    <w:rsid w:val="00FD2D70"/>
    <w:rsid w:val="00FD39BC"/>
    <w:rsid w:val="00FD45B6"/>
    <w:rsid w:val="00FD4C9C"/>
    <w:rsid w:val="00FD5B9A"/>
    <w:rsid w:val="00FD5BAB"/>
    <w:rsid w:val="00FD6621"/>
    <w:rsid w:val="00FD6F48"/>
    <w:rsid w:val="00FD7256"/>
    <w:rsid w:val="00FE058D"/>
    <w:rsid w:val="00FE05FB"/>
    <w:rsid w:val="00FE2FFD"/>
    <w:rsid w:val="00FE369C"/>
    <w:rsid w:val="00FE415C"/>
    <w:rsid w:val="00FE45FA"/>
    <w:rsid w:val="00FE477F"/>
    <w:rsid w:val="00FE4CEE"/>
    <w:rsid w:val="00FE53AC"/>
    <w:rsid w:val="00FE57B6"/>
    <w:rsid w:val="00FE675A"/>
    <w:rsid w:val="00FE6F80"/>
    <w:rsid w:val="00FE78F3"/>
    <w:rsid w:val="00FF0141"/>
    <w:rsid w:val="00FF1535"/>
    <w:rsid w:val="00FF309C"/>
    <w:rsid w:val="00FF3DCD"/>
    <w:rsid w:val="00FF4AD0"/>
    <w:rsid w:val="00FF51E9"/>
    <w:rsid w:val="00FF5849"/>
    <w:rsid w:val="00FF58D1"/>
    <w:rsid w:val="00FF5CDC"/>
    <w:rsid w:val="00FF66B1"/>
    <w:rsid w:val="00FF6FAA"/>
    <w:rsid w:val="00FF771D"/>
    <w:rsid w:val="00FF77B0"/>
    <w:rsid w:val="015E0632"/>
    <w:rsid w:val="01C35271"/>
    <w:rsid w:val="0233386D"/>
    <w:rsid w:val="02D47275"/>
    <w:rsid w:val="03341722"/>
    <w:rsid w:val="035373A7"/>
    <w:rsid w:val="039A4DF7"/>
    <w:rsid w:val="03D31A9F"/>
    <w:rsid w:val="04504BAA"/>
    <w:rsid w:val="046E1FF1"/>
    <w:rsid w:val="04A465CA"/>
    <w:rsid w:val="04F23586"/>
    <w:rsid w:val="052971A9"/>
    <w:rsid w:val="05823D6E"/>
    <w:rsid w:val="05A625A8"/>
    <w:rsid w:val="05AF3B52"/>
    <w:rsid w:val="05F23A3F"/>
    <w:rsid w:val="062E0F1B"/>
    <w:rsid w:val="068A7901"/>
    <w:rsid w:val="068B011B"/>
    <w:rsid w:val="0701218C"/>
    <w:rsid w:val="07163134"/>
    <w:rsid w:val="07FC66F3"/>
    <w:rsid w:val="08000695"/>
    <w:rsid w:val="087F3808"/>
    <w:rsid w:val="09673E3C"/>
    <w:rsid w:val="09795283"/>
    <w:rsid w:val="09D7375B"/>
    <w:rsid w:val="0A8F788E"/>
    <w:rsid w:val="0AB42BCD"/>
    <w:rsid w:val="0AFD710E"/>
    <w:rsid w:val="0B730E8D"/>
    <w:rsid w:val="0BFE1539"/>
    <w:rsid w:val="0C037342"/>
    <w:rsid w:val="0C3628D7"/>
    <w:rsid w:val="0D386468"/>
    <w:rsid w:val="0D6E6CE6"/>
    <w:rsid w:val="0DA6583B"/>
    <w:rsid w:val="0E06452B"/>
    <w:rsid w:val="0E6F3E7F"/>
    <w:rsid w:val="0E87566C"/>
    <w:rsid w:val="0EE76E01"/>
    <w:rsid w:val="0F16079E"/>
    <w:rsid w:val="0F515E8B"/>
    <w:rsid w:val="0FF10C12"/>
    <w:rsid w:val="10026F41"/>
    <w:rsid w:val="10230F9F"/>
    <w:rsid w:val="10B9514E"/>
    <w:rsid w:val="10F66250"/>
    <w:rsid w:val="111B15B3"/>
    <w:rsid w:val="11FF551A"/>
    <w:rsid w:val="12004308"/>
    <w:rsid w:val="12187FE5"/>
    <w:rsid w:val="125A3535"/>
    <w:rsid w:val="12A52565"/>
    <w:rsid w:val="12B9104F"/>
    <w:rsid w:val="12CC61CB"/>
    <w:rsid w:val="12F22C87"/>
    <w:rsid w:val="12F2507E"/>
    <w:rsid w:val="13CF39F0"/>
    <w:rsid w:val="13EB2BD1"/>
    <w:rsid w:val="14C132DD"/>
    <w:rsid w:val="152534E9"/>
    <w:rsid w:val="17676502"/>
    <w:rsid w:val="177C59D8"/>
    <w:rsid w:val="17A96EB6"/>
    <w:rsid w:val="181C16C5"/>
    <w:rsid w:val="18381E21"/>
    <w:rsid w:val="18433A70"/>
    <w:rsid w:val="18695DE3"/>
    <w:rsid w:val="18A76A7E"/>
    <w:rsid w:val="18DC7075"/>
    <w:rsid w:val="190B50EC"/>
    <w:rsid w:val="193C52A5"/>
    <w:rsid w:val="195F062F"/>
    <w:rsid w:val="197F3B83"/>
    <w:rsid w:val="1A932AD1"/>
    <w:rsid w:val="1A9C29CA"/>
    <w:rsid w:val="1ABE094F"/>
    <w:rsid w:val="1ABF7F3C"/>
    <w:rsid w:val="1ADF74F2"/>
    <w:rsid w:val="1B7B6BE5"/>
    <w:rsid w:val="1BF635A4"/>
    <w:rsid w:val="1D0E6F59"/>
    <w:rsid w:val="1DA85478"/>
    <w:rsid w:val="1DD3548B"/>
    <w:rsid w:val="1DED21D8"/>
    <w:rsid w:val="1E187F6F"/>
    <w:rsid w:val="1E42335E"/>
    <w:rsid w:val="1E7256BD"/>
    <w:rsid w:val="1F0E3DA5"/>
    <w:rsid w:val="1F7F74E9"/>
    <w:rsid w:val="1FB2006F"/>
    <w:rsid w:val="1FDF707F"/>
    <w:rsid w:val="1FEE6323"/>
    <w:rsid w:val="208C5693"/>
    <w:rsid w:val="20AD2FE6"/>
    <w:rsid w:val="20CE49AC"/>
    <w:rsid w:val="217F21D3"/>
    <w:rsid w:val="21BF6A73"/>
    <w:rsid w:val="21C61BB0"/>
    <w:rsid w:val="21D96232"/>
    <w:rsid w:val="21ED35E0"/>
    <w:rsid w:val="21F54C6A"/>
    <w:rsid w:val="22347461"/>
    <w:rsid w:val="22564E6B"/>
    <w:rsid w:val="22C35EAF"/>
    <w:rsid w:val="22ED2A96"/>
    <w:rsid w:val="22F75C0D"/>
    <w:rsid w:val="230C5CE8"/>
    <w:rsid w:val="23E00F22"/>
    <w:rsid w:val="2432177F"/>
    <w:rsid w:val="244119C2"/>
    <w:rsid w:val="245060A9"/>
    <w:rsid w:val="24C20D54"/>
    <w:rsid w:val="25114177"/>
    <w:rsid w:val="25C96113"/>
    <w:rsid w:val="25F438A4"/>
    <w:rsid w:val="267F2377"/>
    <w:rsid w:val="26CC5F32"/>
    <w:rsid w:val="26EF746C"/>
    <w:rsid w:val="26FE258D"/>
    <w:rsid w:val="271D5F0A"/>
    <w:rsid w:val="276C144B"/>
    <w:rsid w:val="27C84E49"/>
    <w:rsid w:val="287D3B77"/>
    <w:rsid w:val="289D2085"/>
    <w:rsid w:val="28E86EA3"/>
    <w:rsid w:val="290B0DAB"/>
    <w:rsid w:val="290F7096"/>
    <w:rsid w:val="29DE6D2F"/>
    <w:rsid w:val="2A0428B2"/>
    <w:rsid w:val="2A1738F0"/>
    <w:rsid w:val="2AA74552"/>
    <w:rsid w:val="2AE6249D"/>
    <w:rsid w:val="2B0F6376"/>
    <w:rsid w:val="2B1A7EED"/>
    <w:rsid w:val="2B367DA6"/>
    <w:rsid w:val="2BAA0794"/>
    <w:rsid w:val="2C215763"/>
    <w:rsid w:val="2DCF44E2"/>
    <w:rsid w:val="2E1B296B"/>
    <w:rsid w:val="2E262354"/>
    <w:rsid w:val="2E552C39"/>
    <w:rsid w:val="2E796FD4"/>
    <w:rsid w:val="2F2F043A"/>
    <w:rsid w:val="30004E27"/>
    <w:rsid w:val="30757793"/>
    <w:rsid w:val="30843362"/>
    <w:rsid w:val="30F5600E"/>
    <w:rsid w:val="31223645"/>
    <w:rsid w:val="3254318D"/>
    <w:rsid w:val="326276D3"/>
    <w:rsid w:val="32E737F8"/>
    <w:rsid w:val="32EF20B2"/>
    <w:rsid w:val="334F49A5"/>
    <w:rsid w:val="337620FE"/>
    <w:rsid w:val="339A10EE"/>
    <w:rsid w:val="33B757FC"/>
    <w:rsid w:val="33B83430"/>
    <w:rsid w:val="33C644F5"/>
    <w:rsid w:val="343151CC"/>
    <w:rsid w:val="3437693D"/>
    <w:rsid w:val="35C91DF7"/>
    <w:rsid w:val="36623A07"/>
    <w:rsid w:val="3699568D"/>
    <w:rsid w:val="369E4368"/>
    <w:rsid w:val="36CA5847"/>
    <w:rsid w:val="36D15EEA"/>
    <w:rsid w:val="37141D64"/>
    <w:rsid w:val="371F2036"/>
    <w:rsid w:val="371F2103"/>
    <w:rsid w:val="372066CC"/>
    <w:rsid w:val="376E1D0B"/>
    <w:rsid w:val="38A7470F"/>
    <w:rsid w:val="38C26B8B"/>
    <w:rsid w:val="3A777A93"/>
    <w:rsid w:val="3A7E52C6"/>
    <w:rsid w:val="3A9F087F"/>
    <w:rsid w:val="3AA6016F"/>
    <w:rsid w:val="3AF236EA"/>
    <w:rsid w:val="3B273268"/>
    <w:rsid w:val="3B2D113B"/>
    <w:rsid w:val="3B4D6BB0"/>
    <w:rsid w:val="3B626996"/>
    <w:rsid w:val="3B787F67"/>
    <w:rsid w:val="3CB62E60"/>
    <w:rsid w:val="3D3B749E"/>
    <w:rsid w:val="3DA50B06"/>
    <w:rsid w:val="3DB03FCF"/>
    <w:rsid w:val="3DE851D4"/>
    <w:rsid w:val="3DFC38D5"/>
    <w:rsid w:val="3E442382"/>
    <w:rsid w:val="40270807"/>
    <w:rsid w:val="40BE1D68"/>
    <w:rsid w:val="417B086B"/>
    <w:rsid w:val="417C1216"/>
    <w:rsid w:val="41970A1B"/>
    <w:rsid w:val="41A5138A"/>
    <w:rsid w:val="41D775CC"/>
    <w:rsid w:val="423B7BF3"/>
    <w:rsid w:val="42B86E9B"/>
    <w:rsid w:val="431762B8"/>
    <w:rsid w:val="433F136A"/>
    <w:rsid w:val="4420585E"/>
    <w:rsid w:val="4427077C"/>
    <w:rsid w:val="448252F0"/>
    <w:rsid w:val="449C0CEB"/>
    <w:rsid w:val="455671BE"/>
    <w:rsid w:val="46D17A1A"/>
    <w:rsid w:val="47206CBE"/>
    <w:rsid w:val="47A65E5C"/>
    <w:rsid w:val="47C00CCC"/>
    <w:rsid w:val="47D66741"/>
    <w:rsid w:val="48194B54"/>
    <w:rsid w:val="48C60564"/>
    <w:rsid w:val="49042E3A"/>
    <w:rsid w:val="49494CF1"/>
    <w:rsid w:val="4AF72F6A"/>
    <w:rsid w:val="4BA257C5"/>
    <w:rsid w:val="4BD50ABE"/>
    <w:rsid w:val="4C001FDF"/>
    <w:rsid w:val="4C157E64"/>
    <w:rsid w:val="4D753864"/>
    <w:rsid w:val="4DC42B98"/>
    <w:rsid w:val="4EF061FF"/>
    <w:rsid w:val="4EF130C9"/>
    <w:rsid w:val="4F837241"/>
    <w:rsid w:val="4F9A62A6"/>
    <w:rsid w:val="50F32112"/>
    <w:rsid w:val="50FD41C8"/>
    <w:rsid w:val="514D61C2"/>
    <w:rsid w:val="518A6447"/>
    <w:rsid w:val="52293911"/>
    <w:rsid w:val="522B5E7C"/>
    <w:rsid w:val="523E5075"/>
    <w:rsid w:val="524A1938"/>
    <w:rsid w:val="531015B5"/>
    <w:rsid w:val="531558BC"/>
    <w:rsid w:val="53EB539E"/>
    <w:rsid w:val="5422054D"/>
    <w:rsid w:val="54A320E7"/>
    <w:rsid w:val="54C04FD4"/>
    <w:rsid w:val="54D11CCC"/>
    <w:rsid w:val="54F9545F"/>
    <w:rsid w:val="550B6A44"/>
    <w:rsid w:val="55120D38"/>
    <w:rsid w:val="553510E5"/>
    <w:rsid w:val="560826E9"/>
    <w:rsid w:val="56710C02"/>
    <w:rsid w:val="56CE6835"/>
    <w:rsid w:val="572A5C41"/>
    <w:rsid w:val="57580F21"/>
    <w:rsid w:val="58195C5D"/>
    <w:rsid w:val="58354E15"/>
    <w:rsid w:val="584136CB"/>
    <w:rsid w:val="58633B93"/>
    <w:rsid w:val="594554D5"/>
    <w:rsid w:val="59B73BAB"/>
    <w:rsid w:val="59C363FA"/>
    <w:rsid w:val="59E817EF"/>
    <w:rsid w:val="5A113609"/>
    <w:rsid w:val="5A8D349B"/>
    <w:rsid w:val="5ACA4DFD"/>
    <w:rsid w:val="5B0176E4"/>
    <w:rsid w:val="5B9A423C"/>
    <w:rsid w:val="5C4C2547"/>
    <w:rsid w:val="5D445AA3"/>
    <w:rsid w:val="5DA86043"/>
    <w:rsid w:val="5DB35BE5"/>
    <w:rsid w:val="5E714676"/>
    <w:rsid w:val="5E9D546B"/>
    <w:rsid w:val="5ED209B4"/>
    <w:rsid w:val="5FEE7A86"/>
    <w:rsid w:val="6031393B"/>
    <w:rsid w:val="612754C0"/>
    <w:rsid w:val="613A3445"/>
    <w:rsid w:val="6235591B"/>
    <w:rsid w:val="629C5F5A"/>
    <w:rsid w:val="62B17737"/>
    <w:rsid w:val="63415520"/>
    <w:rsid w:val="63624ED5"/>
    <w:rsid w:val="636B11B6"/>
    <w:rsid w:val="63EE6769"/>
    <w:rsid w:val="640F0BB9"/>
    <w:rsid w:val="649B069F"/>
    <w:rsid w:val="6562503C"/>
    <w:rsid w:val="65A3212B"/>
    <w:rsid w:val="65B80864"/>
    <w:rsid w:val="65E04D0C"/>
    <w:rsid w:val="667A5349"/>
    <w:rsid w:val="66FA7955"/>
    <w:rsid w:val="67A433A1"/>
    <w:rsid w:val="67AF37E7"/>
    <w:rsid w:val="67B5251D"/>
    <w:rsid w:val="67C365D4"/>
    <w:rsid w:val="67C712C0"/>
    <w:rsid w:val="6845252E"/>
    <w:rsid w:val="687716F6"/>
    <w:rsid w:val="690D143F"/>
    <w:rsid w:val="699772EE"/>
    <w:rsid w:val="69C40C1C"/>
    <w:rsid w:val="69CE6E87"/>
    <w:rsid w:val="69F23425"/>
    <w:rsid w:val="69F745C9"/>
    <w:rsid w:val="6A0359B4"/>
    <w:rsid w:val="6A114F5F"/>
    <w:rsid w:val="6A65190A"/>
    <w:rsid w:val="6B25645F"/>
    <w:rsid w:val="6B2A7FD0"/>
    <w:rsid w:val="6B6A4F70"/>
    <w:rsid w:val="6C040369"/>
    <w:rsid w:val="6C226ADF"/>
    <w:rsid w:val="6C87061E"/>
    <w:rsid w:val="6C8C6991"/>
    <w:rsid w:val="6CDB520D"/>
    <w:rsid w:val="6E3E1662"/>
    <w:rsid w:val="6E5164C4"/>
    <w:rsid w:val="6E7D3C18"/>
    <w:rsid w:val="6FEA4288"/>
    <w:rsid w:val="702713D4"/>
    <w:rsid w:val="70E01533"/>
    <w:rsid w:val="70E114A5"/>
    <w:rsid w:val="714E5FA0"/>
    <w:rsid w:val="71593474"/>
    <w:rsid w:val="717D653A"/>
    <w:rsid w:val="71BC1C54"/>
    <w:rsid w:val="721325B1"/>
    <w:rsid w:val="72B02765"/>
    <w:rsid w:val="7315786E"/>
    <w:rsid w:val="73170B64"/>
    <w:rsid w:val="73DE2356"/>
    <w:rsid w:val="744022AC"/>
    <w:rsid w:val="74FE27D6"/>
    <w:rsid w:val="752E3D92"/>
    <w:rsid w:val="756E3C30"/>
    <w:rsid w:val="76796366"/>
    <w:rsid w:val="76D90BB3"/>
    <w:rsid w:val="76EB7BDE"/>
    <w:rsid w:val="77505319"/>
    <w:rsid w:val="798372EA"/>
    <w:rsid w:val="79A61220"/>
    <w:rsid w:val="7A3A36CD"/>
    <w:rsid w:val="7A3F2C09"/>
    <w:rsid w:val="7A4153ED"/>
    <w:rsid w:val="7A4A160C"/>
    <w:rsid w:val="7ABD27F2"/>
    <w:rsid w:val="7AD91375"/>
    <w:rsid w:val="7B6028E4"/>
    <w:rsid w:val="7B7A36AA"/>
    <w:rsid w:val="7BF546E1"/>
    <w:rsid w:val="7C4D62CB"/>
    <w:rsid w:val="7C5424EB"/>
    <w:rsid w:val="7CB9570E"/>
    <w:rsid w:val="7E3037AE"/>
    <w:rsid w:val="7F0C2270"/>
    <w:rsid w:val="7FA60E27"/>
    <w:rsid w:val="7FE231C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iPriority="39" w:semiHidden="0" w:name="toc 2"/>
    <w:lsdException w:qFormat="1" w:uiPriority="39" w:semiHidden="0" w:name="toc 3"/>
    <w:lsdException w:qFormat="1" w:uiPriority="39" w:semiHidden="0" w:name="toc 4"/>
    <w:lsdException w:qFormat="1" w:uiPriority="39" w:semiHidden="0" w:name="toc 5"/>
    <w:lsdException w:qFormat="1" w:unhideWhenUsed="0" w:uiPriority="39" w:semiHidden="0" w:name="toc 6"/>
    <w:lsdException w:qFormat="1" w:uiPriority="39" w:semiHidden="0" w:name="toc 7"/>
    <w:lsdException w:qFormat="1" w:uiPriority="39" w:semiHidden="0" w:name="toc 8"/>
    <w:lsdException w:qFormat="1" w:uiPriority="39" w:semiHidden="0" w:name="toc 9"/>
    <w:lsdException w:qFormat="1" w:unhideWhenUsed="0" w:uiPriority="0" w:semiHidden="0" w:name="Normal Indent"/>
    <w:lsdException w:uiPriority="99"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nhideWhenUsed="0" w:uiPriority="0"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99"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uiPriority="99" w:name="Body Text First Indent 2"/>
    <w:lsdException w:uiPriority="99" w:name="Note Heading"/>
    <w:lsdException w:qFormat="1" w:unhideWhenUsed="0" w:uiPriority="0" w:semiHidden="0" w:name="Body Text 2"/>
    <w:lsdException w:uiPriority="99"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22" w:semiHidden="0" w:name="Strong"/>
    <w:lsdException w:qFormat="1" w:unhideWhenUsed="0" w:uiPriority="20" w:semiHidden="0" w:name="Emphasis"/>
    <w:lsdException w:qFormat="1" w:unhideWhenUsed="0" w:uiPriority="0" w:name="Document Map"/>
    <w:lsdException w:qFormat="1" w:unhideWhenUsed="0" w:uiPriority="0" w:semiHidden="0"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nhideWhenUsed="0" w:uiPriority="0" w:semiHidden="0" w:name="HTML Preformatted"/>
    <w:lsdException w:uiPriority="99" w:name="HTML Sample"/>
    <w:lsdException w:uiPriority="99" w:name="HTML Typewriter"/>
    <w:lsdException w:uiPriority="99"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50"/>
    <w:autoRedefine/>
    <w:qFormat/>
    <w:uiPriority w:val="0"/>
    <w:pPr>
      <w:keepNext/>
      <w:jc w:val="center"/>
      <w:outlineLvl w:val="0"/>
    </w:pPr>
    <w:rPr>
      <w:b/>
      <w:bCs/>
      <w:sz w:val="24"/>
      <w:szCs w:val="20"/>
    </w:rPr>
  </w:style>
  <w:style w:type="paragraph" w:styleId="4">
    <w:name w:val="heading 2"/>
    <w:basedOn w:val="1"/>
    <w:next w:val="1"/>
    <w:link w:val="51"/>
    <w:autoRedefine/>
    <w:qFormat/>
    <w:uiPriority w:val="0"/>
    <w:pPr>
      <w:keepNext/>
      <w:keepLines/>
      <w:spacing w:line="360" w:lineRule="auto"/>
      <w:outlineLvl w:val="1"/>
    </w:pPr>
    <w:rPr>
      <w:rFonts w:ascii="Arial" w:hAnsi="Arial" w:eastAsia="方正小标宋简体"/>
      <w:b/>
      <w:bCs/>
      <w:sz w:val="44"/>
      <w:szCs w:val="32"/>
    </w:rPr>
  </w:style>
  <w:style w:type="paragraph" w:styleId="5">
    <w:name w:val="heading 3"/>
    <w:basedOn w:val="1"/>
    <w:next w:val="1"/>
    <w:link w:val="52"/>
    <w:autoRedefine/>
    <w:qFormat/>
    <w:uiPriority w:val="0"/>
    <w:pPr>
      <w:keepNext/>
      <w:keepLines/>
      <w:spacing w:before="260" w:after="260" w:line="416" w:lineRule="auto"/>
      <w:outlineLvl w:val="2"/>
    </w:pPr>
    <w:rPr>
      <w:rFonts w:eastAsia="黑体"/>
      <w:b/>
      <w:bCs/>
      <w:sz w:val="32"/>
      <w:szCs w:val="32"/>
    </w:rPr>
  </w:style>
  <w:style w:type="paragraph" w:styleId="6">
    <w:name w:val="heading 4"/>
    <w:basedOn w:val="1"/>
    <w:next w:val="1"/>
    <w:link w:val="53"/>
    <w:autoRedefine/>
    <w:qFormat/>
    <w:uiPriority w:val="0"/>
    <w:pPr>
      <w:keepNext/>
      <w:keepLines/>
      <w:spacing w:before="280" w:after="290" w:line="376" w:lineRule="auto"/>
      <w:outlineLvl w:val="3"/>
    </w:pPr>
    <w:rPr>
      <w:rFonts w:ascii="Arial" w:hAnsi="Arial" w:eastAsia="黑体"/>
      <w:b/>
      <w:bCs/>
      <w:sz w:val="28"/>
      <w:szCs w:val="28"/>
    </w:rPr>
  </w:style>
  <w:style w:type="paragraph" w:styleId="7">
    <w:name w:val="heading 5"/>
    <w:basedOn w:val="1"/>
    <w:next w:val="1"/>
    <w:link w:val="54"/>
    <w:autoRedefine/>
    <w:qFormat/>
    <w:uiPriority w:val="0"/>
    <w:pPr>
      <w:keepNext/>
      <w:keepLines/>
      <w:adjustRightInd w:val="0"/>
      <w:spacing w:before="280" w:after="290" w:line="376" w:lineRule="atLeast"/>
      <w:jc w:val="left"/>
      <w:textAlignment w:val="baseline"/>
      <w:outlineLvl w:val="4"/>
    </w:pPr>
    <w:rPr>
      <w:b/>
      <w:bCs/>
      <w:kern w:val="0"/>
      <w:sz w:val="28"/>
      <w:szCs w:val="28"/>
    </w:rPr>
  </w:style>
  <w:style w:type="paragraph" w:styleId="8">
    <w:name w:val="heading 6"/>
    <w:basedOn w:val="1"/>
    <w:next w:val="1"/>
    <w:link w:val="55"/>
    <w:autoRedefine/>
    <w:qFormat/>
    <w:uiPriority w:val="0"/>
    <w:pPr>
      <w:keepNext/>
      <w:keepLines/>
      <w:adjustRightInd w:val="0"/>
      <w:spacing w:before="240" w:after="64" w:line="320" w:lineRule="atLeast"/>
      <w:jc w:val="left"/>
      <w:textAlignment w:val="baseline"/>
      <w:outlineLvl w:val="5"/>
    </w:pPr>
    <w:rPr>
      <w:rFonts w:ascii="Arial" w:hAnsi="Arial" w:eastAsia="黑体"/>
      <w:b/>
      <w:bCs/>
      <w:kern w:val="0"/>
      <w:sz w:val="24"/>
    </w:rPr>
  </w:style>
  <w:style w:type="paragraph" w:styleId="9">
    <w:name w:val="heading 7"/>
    <w:basedOn w:val="1"/>
    <w:next w:val="1"/>
    <w:link w:val="56"/>
    <w:autoRedefine/>
    <w:qFormat/>
    <w:uiPriority w:val="0"/>
    <w:pPr>
      <w:keepNext/>
      <w:keepLines/>
      <w:adjustRightInd w:val="0"/>
      <w:spacing w:before="240" w:after="64" w:line="320" w:lineRule="atLeast"/>
      <w:jc w:val="left"/>
      <w:textAlignment w:val="baseline"/>
      <w:outlineLvl w:val="6"/>
    </w:pPr>
    <w:rPr>
      <w:b/>
      <w:bCs/>
      <w:kern w:val="0"/>
      <w:sz w:val="24"/>
    </w:rPr>
  </w:style>
  <w:style w:type="paragraph" w:styleId="10">
    <w:name w:val="heading 8"/>
    <w:basedOn w:val="1"/>
    <w:next w:val="1"/>
    <w:link w:val="57"/>
    <w:autoRedefine/>
    <w:qFormat/>
    <w:uiPriority w:val="0"/>
    <w:pPr>
      <w:keepNext/>
      <w:keepLines/>
      <w:adjustRightInd w:val="0"/>
      <w:spacing w:before="240" w:after="64" w:line="320" w:lineRule="atLeast"/>
      <w:jc w:val="left"/>
      <w:textAlignment w:val="baseline"/>
      <w:outlineLvl w:val="7"/>
    </w:pPr>
    <w:rPr>
      <w:rFonts w:ascii="Arial" w:hAnsi="Arial" w:eastAsia="黑体"/>
      <w:kern w:val="0"/>
      <w:sz w:val="24"/>
    </w:rPr>
  </w:style>
  <w:style w:type="paragraph" w:styleId="11">
    <w:name w:val="heading 9"/>
    <w:basedOn w:val="1"/>
    <w:next w:val="1"/>
    <w:link w:val="58"/>
    <w:autoRedefine/>
    <w:qFormat/>
    <w:uiPriority w:val="0"/>
    <w:pPr>
      <w:keepNext/>
      <w:keepLines/>
      <w:adjustRightInd w:val="0"/>
      <w:spacing w:before="240" w:after="64" w:line="320" w:lineRule="atLeast"/>
      <w:jc w:val="left"/>
      <w:textAlignment w:val="baseline"/>
      <w:outlineLvl w:val="8"/>
    </w:pPr>
    <w:rPr>
      <w:rFonts w:ascii="Arial" w:hAnsi="Arial" w:eastAsia="黑体"/>
      <w:kern w:val="0"/>
      <w:szCs w:val="21"/>
    </w:rPr>
  </w:style>
  <w:style w:type="character" w:default="1" w:styleId="44">
    <w:name w:val="Default Paragraph Font"/>
    <w:autoRedefine/>
    <w:semiHidden/>
    <w:unhideWhenUsed/>
    <w:qFormat/>
    <w:uiPriority w:val="1"/>
  </w:style>
  <w:style w:type="table" w:default="1" w:styleId="42">
    <w:name w:val="Normal Table"/>
    <w:autoRedefine/>
    <w:semiHidden/>
    <w:unhideWhenUsed/>
    <w:qFormat/>
    <w:uiPriority w:val="99"/>
    <w:tblPr>
      <w:tblCellMar>
        <w:top w:w="0" w:type="dxa"/>
        <w:left w:w="108" w:type="dxa"/>
        <w:bottom w:w="0" w:type="dxa"/>
        <w:right w:w="108" w:type="dxa"/>
      </w:tblCellMar>
    </w:tblPr>
  </w:style>
  <w:style w:type="paragraph" w:styleId="2">
    <w:name w:val="Body Text First Indent"/>
    <w:basedOn w:val="1"/>
    <w:next w:val="1"/>
    <w:autoRedefine/>
    <w:qFormat/>
    <w:uiPriority w:val="0"/>
    <w:pPr>
      <w:ind w:firstLine="420" w:firstLineChars="100"/>
    </w:pPr>
    <w:rPr>
      <w:rFonts w:ascii="Calibri" w:hAnsi="Calibri"/>
      <w:szCs w:val="22"/>
    </w:rPr>
  </w:style>
  <w:style w:type="paragraph" w:styleId="12">
    <w:name w:val="toc 7"/>
    <w:basedOn w:val="1"/>
    <w:next w:val="1"/>
    <w:autoRedefine/>
    <w:unhideWhenUsed/>
    <w:qFormat/>
    <w:uiPriority w:val="39"/>
    <w:pPr>
      <w:ind w:left="2520" w:leftChars="1200"/>
    </w:pPr>
    <w:rPr>
      <w:rFonts w:asciiTheme="minorHAnsi" w:hAnsiTheme="minorHAnsi" w:eastAsiaTheme="minorEastAsia" w:cstheme="minorBidi"/>
      <w:szCs w:val="22"/>
    </w:rPr>
  </w:style>
  <w:style w:type="paragraph" w:styleId="13">
    <w:name w:val="Normal Indent"/>
    <w:basedOn w:val="1"/>
    <w:autoRedefine/>
    <w:qFormat/>
    <w:uiPriority w:val="0"/>
    <w:pPr>
      <w:widowControl/>
      <w:ind w:firstLine="420"/>
      <w:jc w:val="left"/>
    </w:pPr>
    <w:rPr>
      <w:kern w:val="0"/>
      <w:sz w:val="20"/>
      <w:szCs w:val="20"/>
    </w:rPr>
  </w:style>
  <w:style w:type="paragraph" w:styleId="14">
    <w:name w:val="Document Map"/>
    <w:basedOn w:val="1"/>
    <w:link w:val="82"/>
    <w:autoRedefine/>
    <w:semiHidden/>
    <w:qFormat/>
    <w:uiPriority w:val="0"/>
    <w:pPr>
      <w:shd w:val="clear" w:color="auto" w:fill="000080"/>
    </w:pPr>
  </w:style>
  <w:style w:type="paragraph" w:styleId="15">
    <w:name w:val="annotation text"/>
    <w:basedOn w:val="1"/>
    <w:link w:val="66"/>
    <w:autoRedefine/>
    <w:qFormat/>
    <w:uiPriority w:val="0"/>
    <w:pPr>
      <w:jc w:val="left"/>
    </w:pPr>
  </w:style>
  <w:style w:type="paragraph" w:styleId="16">
    <w:name w:val="Salutation"/>
    <w:basedOn w:val="1"/>
    <w:next w:val="1"/>
    <w:link w:val="71"/>
    <w:autoRedefine/>
    <w:qFormat/>
    <w:uiPriority w:val="0"/>
    <w:rPr>
      <w:rFonts w:ascii="仿宋_GB2312" w:eastAsia="仿宋_GB2312"/>
      <w:sz w:val="24"/>
    </w:rPr>
  </w:style>
  <w:style w:type="paragraph" w:styleId="17">
    <w:name w:val="Body Text"/>
    <w:basedOn w:val="1"/>
    <w:next w:val="1"/>
    <w:link w:val="60"/>
    <w:autoRedefine/>
    <w:qFormat/>
    <w:uiPriority w:val="99"/>
    <w:pPr>
      <w:spacing w:after="120"/>
    </w:pPr>
  </w:style>
  <w:style w:type="paragraph" w:styleId="18">
    <w:name w:val="Body Text Indent"/>
    <w:basedOn w:val="1"/>
    <w:link w:val="63"/>
    <w:autoRedefine/>
    <w:qFormat/>
    <w:uiPriority w:val="0"/>
    <w:pPr>
      <w:spacing w:after="120"/>
      <w:ind w:left="420" w:leftChars="200"/>
    </w:pPr>
  </w:style>
  <w:style w:type="paragraph" w:styleId="19">
    <w:name w:val="Block Text"/>
    <w:basedOn w:val="1"/>
    <w:autoRedefine/>
    <w:qFormat/>
    <w:uiPriority w:val="0"/>
    <w:pPr>
      <w:ind w:left="1171" w:right="91" w:hanging="1080"/>
    </w:pPr>
    <w:rPr>
      <w:rFonts w:eastAsia="楷体_GB2312"/>
      <w:szCs w:val="20"/>
    </w:rPr>
  </w:style>
  <w:style w:type="paragraph" w:styleId="20">
    <w:name w:val="toc 5"/>
    <w:basedOn w:val="1"/>
    <w:next w:val="1"/>
    <w:autoRedefine/>
    <w:unhideWhenUsed/>
    <w:qFormat/>
    <w:uiPriority w:val="39"/>
    <w:pPr>
      <w:adjustRightInd w:val="0"/>
      <w:snapToGrid w:val="0"/>
      <w:spacing w:line="360" w:lineRule="auto"/>
      <w:ind w:left="150" w:leftChars="150"/>
    </w:pPr>
    <w:rPr>
      <w:rFonts w:asciiTheme="minorHAnsi" w:hAnsiTheme="minorHAnsi" w:eastAsiaTheme="minorEastAsia" w:cstheme="minorBidi"/>
      <w:sz w:val="28"/>
      <w:szCs w:val="22"/>
    </w:rPr>
  </w:style>
  <w:style w:type="paragraph" w:styleId="21">
    <w:name w:val="toc 3"/>
    <w:basedOn w:val="1"/>
    <w:next w:val="1"/>
    <w:autoRedefine/>
    <w:unhideWhenUsed/>
    <w:qFormat/>
    <w:uiPriority w:val="39"/>
    <w:pPr>
      <w:adjustRightInd w:val="0"/>
      <w:snapToGrid w:val="0"/>
      <w:spacing w:line="360" w:lineRule="auto"/>
      <w:ind w:left="50" w:leftChars="50"/>
    </w:pPr>
    <w:rPr>
      <w:rFonts w:eastAsiaTheme="minorEastAsia"/>
      <w:b/>
      <w:sz w:val="28"/>
    </w:rPr>
  </w:style>
  <w:style w:type="paragraph" w:styleId="22">
    <w:name w:val="Plain Text"/>
    <w:basedOn w:val="1"/>
    <w:link w:val="65"/>
    <w:autoRedefine/>
    <w:qFormat/>
    <w:uiPriority w:val="0"/>
    <w:rPr>
      <w:rFonts w:ascii="宋体" w:hAnsi="Courier New" w:cs="Courier New"/>
      <w:szCs w:val="21"/>
    </w:rPr>
  </w:style>
  <w:style w:type="paragraph" w:styleId="23">
    <w:name w:val="toc 8"/>
    <w:basedOn w:val="1"/>
    <w:next w:val="1"/>
    <w:autoRedefine/>
    <w:unhideWhenUsed/>
    <w:qFormat/>
    <w:uiPriority w:val="39"/>
    <w:pPr>
      <w:ind w:left="2940" w:leftChars="1400"/>
    </w:pPr>
    <w:rPr>
      <w:rFonts w:asciiTheme="minorHAnsi" w:hAnsiTheme="minorHAnsi" w:eastAsiaTheme="minorEastAsia" w:cstheme="minorBidi"/>
      <w:szCs w:val="22"/>
    </w:rPr>
  </w:style>
  <w:style w:type="paragraph" w:styleId="24">
    <w:name w:val="Date"/>
    <w:basedOn w:val="1"/>
    <w:next w:val="1"/>
    <w:link w:val="76"/>
    <w:autoRedefine/>
    <w:qFormat/>
    <w:uiPriority w:val="0"/>
    <w:rPr>
      <w:sz w:val="24"/>
      <w:szCs w:val="20"/>
    </w:rPr>
  </w:style>
  <w:style w:type="paragraph" w:styleId="25">
    <w:name w:val="Body Text Indent 2"/>
    <w:basedOn w:val="1"/>
    <w:link w:val="73"/>
    <w:autoRedefine/>
    <w:qFormat/>
    <w:uiPriority w:val="0"/>
    <w:pPr>
      <w:spacing w:after="120" w:line="480" w:lineRule="auto"/>
      <w:ind w:left="420" w:leftChars="200"/>
    </w:pPr>
  </w:style>
  <w:style w:type="paragraph" w:styleId="26">
    <w:name w:val="Balloon Text"/>
    <w:basedOn w:val="1"/>
    <w:link w:val="90"/>
    <w:autoRedefine/>
    <w:qFormat/>
    <w:uiPriority w:val="0"/>
    <w:rPr>
      <w:sz w:val="18"/>
      <w:szCs w:val="18"/>
    </w:rPr>
  </w:style>
  <w:style w:type="paragraph" w:styleId="27">
    <w:name w:val="footer"/>
    <w:basedOn w:val="1"/>
    <w:link w:val="61"/>
    <w:autoRedefine/>
    <w:qFormat/>
    <w:uiPriority w:val="99"/>
    <w:pPr>
      <w:tabs>
        <w:tab w:val="center" w:pos="4153"/>
        <w:tab w:val="right" w:pos="8306"/>
      </w:tabs>
      <w:snapToGrid w:val="0"/>
      <w:jc w:val="left"/>
    </w:pPr>
    <w:rPr>
      <w:sz w:val="18"/>
      <w:szCs w:val="18"/>
    </w:rPr>
  </w:style>
  <w:style w:type="paragraph" w:styleId="28">
    <w:name w:val="header"/>
    <w:basedOn w:val="1"/>
    <w:link w:val="62"/>
    <w:autoRedefine/>
    <w:qFormat/>
    <w:uiPriority w:val="0"/>
    <w:pPr>
      <w:pBdr>
        <w:bottom w:val="single" w:color="auto" w:sz="6" w:space="1"/>
      </w:pBdr>
      <w:tabs>
        <w:tab w:val="center" w:pos="4153"/>
        <w:tab w:val="right" w:pos="8306"/>
      </w:tabs>
      <w:snapToGrid w:val="0"/>
      <w:jc w:val="center"/>
    </w:pPr>
    <w:rPr>
      <w:sz w:val="18"/>
      <w:szCs w:val="18"/>
    </w:rPr>
  </w:style>
  <w:style w:type="paragraph" w:styleId="29">
    <w:name w:val="toc 1"/>
    <w:basedOn w:val="1"/>
    <w:next w:val="1"/>
    <w:autoRedefine/>
    <w:qFormat/>
    <w:uiPriority w:val="39"/>
    <w:pPr>
      <w:spacing w:line="360" w:lineRule="auto"/>
      <w:jc w:val="left"/>
    </w:pPr>
    <w:rPr>
      <w:rFonts w:eastAsia="黑体" w:asciiTheme="minorEastAsia" w:hAnsiTheme="minorEastAsia"/>
      <w:sz w:val="32"/>
      <w:szCs w:val="21"/>
    </w:rPr>
  </w:style>
  <w:style w:type="paragraph" w:styleId="30">
    <w:name w:val="toc 4"/>
    <w:basedOn w:val="1"/>
    <w:next w:val="1"/>
    <w:autoRedefine/>
    <w:unhideWhenUsed/>
    <w:qFormat/>
    <w:uiPriority w:val="39"/>
    <w:pPr>
      <w:adjustRightInd w:val="0"/>
      <w:snapToGrid w:val="0"/>
      <w:spacing w:line="360" w:lineRule="auto"/>
      <w:ind w:left="100" w:leftChars="100"/>
    </w:pPr>
    <w:rPr>
      <w:rFonts w:asciiTheme="minorHAnsi" w:hAnsiTheme="minorHAnsi" w:eastAsiaTheme="minorEastAsia" w:cstheme="minorBidi"/>
      <w:sz w:val="28"/>
      <w:szCs w:val="22"/>
    </w:rPr>
  </w:style>
  <w:style w:type="paragraph" w:styleId="31">
    <w:name w:val="Subtitle"/>
    <w:basedOn w:val="1"/>
    <w:next w:val="1"/>
    <w:link w:val="143"/>
    <w:autoRedefine/>
    <w:qFormat/>
    <w:uiPriority w:val="0"/>
    <w:pPr>
      <w:spacing w:before="240" w:after="60" w:line="312" w:lineRule="auto"/>
      <w:jc w:val="center"/>
      <w:outlineLvl w:val="1"/>
    </w:pPr>
    <w:rPr>
      <w:rFonts w:ascii="等线 Light" w:hAnsi="等线 Light"/>
      <w:b/>
      <w:bCs/>
      <w:kern w:val="28"/>
      <w:sz w:val="32"/>
      <w:szCs w:val="32"/>
    </w:rPr>
  </w:style>
  <w:style w:type="paragraph" w:styleId="32">
    <w:name w:val="toc 6"/>
    <w:basedOn w:val="1"/>
    <w:next w:val="1"/>
    <w:autoRedefine/>
    <w:qFormat/>
    <w:uiPriority w:val="39"/>
    <w:pPr>
      <w:ind w:left="2100"/>
    </w:pPr>
    <w:rPr>
      <w:szCs w:val="20"/>
    </w:rPr>
  </w:style>
  <w:style w:type="paragraph" w:styleId="33">
    <w:name w:val="Body Text Indent 3"/>
    <w:basedOn w:val="1"/>
    <w:link w:val="75"/>
    <w:autoRedefine/>
    <w:qFormat/>
    <w:uiPriority w:val="0"/>
    <w:pPr>
      <w:spacing w:after="120"/>
      <w:ind w:left="420" w:leftChars="200"/>
    </w:pPr>
    <w:rPr>
      <w:sz w:val="16"/>
      <w:szCs w:val="16"/>
    </w:rPr>
  </w:style>
  <w:style w:type="paragraph" w:styleId="34">
    <w:name w:val="toc 2"/>
    <w:basedOn w:val="1"/>
    <w:next w:val="1"/>
    <w:autoRedefine/>
    <w:unhideWhenUsed/>
    <w:qFormat/>
    <w:uiPriority w:val="39"/>
    <w:pPr>
      <w:spacing w:line="360" w:lineRule="auto"/>
    </w:pPr>
    <w:rPr>
      <w:rFonts w:eastAsiaTheme="minorEastAsia"/>
      <w:b/>
      <w:sz w:val="28"/>
    </w:rPr>
  </w:style>
  <w:style w:type="paragraph" w:styleId="35">
    <w:name w:val="toc 9"/>
    <w:basedOn w:val="1"/>
    <w:next w:val="1"/>
    <w:autoRedefine/>
    <w:unhideWhenUsed/>
    <w:qFormat/>
    <w:uiPriority w:val="39"/>
    <w:pPr>
      <w:ind w:left="3360" w:leftChars="1600"/>
    </w:pPr>
    <w:rPr>
      <w:rFonts w:asciiTheme="minorHAnsi" w:hAnsiTheme="minorHAnsi" w:eastAsiaTheme="minorEastAsia" w:cstheme="minorBidi"/>
      <w:szCs w:val="22"/>
    </w:rPr>
  </w:style>
  <w:style w:type="paragraph" w:styleId="36">
    <w:name w:val="Body Text 2"/>
    <w:basedOn w:val="1"/>
    <w:link w:val="72"/>
    <w:autoRedefine/>
    <w:qFormat/>
    <w:uiPriority w:val="0"/>
    <w:pPr>
      <w:spacing w:after="120" w:line="480" w:lineRule="auto"/>
    </w:pPr>
  </w:style>
  <w:style w:type="paragraph" w:styleId="37">
    <w:name w:val="HTML Preformatted"/>
    <w:basedOn w:val="1"/>
    <w:link w:val="70"/>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w:hAnsi="Arial" w:cs="Arial"/>
      <w:kern w:val="0"/>
      <w:sz w:val="24"/>
    </w:rPr>
  </w:style>
  <w:style w:type="paragraph" w:styleId="38">
    <w:name w:val="Normal (Web)"/>
    <w:basedOn w:val="1"/>
    <w:autoRedefine/>
    <w:qFormat/>
    <w:uiPriority w:val="99"/>
    <w:pPr>
      <w:widowControl/>
      <w:spacing w:before="100" w:beforeAutospacing="1" w:after="100" w:afterAutospacing="1"/>
      <w:jc w:val="left"/>
    </w:pPr>
    <w:rPr>
      <w:rFonts w:ascii="宋体" w:hAnsi="宋体" w:cs="宋体"/>
      <w:kern w:val="0"/>
      <w:sz w:val="24"/>
    </w:rPr>
  </w:style>
  <w:style w:type="paragraph" w:styleId="39">
    <w:name w:val="index 1"/>
    <w:basedOn w:val="1"/>
    <w:next w:val="1"/>
    <w:autoRedefine/>
    <w:qFormat/>
    <w:uiPriority w:val="0"/>
    <w:pPr>
      <w:spacing w:line="220" w:lineRule="exact"/>
      <w:jc w:val="center"/>
    </w:pPr>
    <w:rPr>
      <w:rFonts w:ascii="仿宋_GB2312" w:eastAsia="仿宋_GB2312"/>
      <w:szCs w:val="20"/>
    </w:rPr>
  </w:style>
  <w:style w:type="paragraph" w:styleId="40">
    <w:name w:val="Title"/>
    <w:basedOn w:val="1"/>
    <w:link w:val="107"/>
    <w:autoRedefine/>
    <w:qFormat/>
    <w:uiPriority w:val="0"/>
    <w:pPr>
      <w:jc w:val="center"/>
      <w:outlineLvl w:val="0"/>
    </w:pPr>
    <w:rPr>
      <w:rFonts w:asciiTheme="minorHAnsi" w:hAnsiTheme="minorHAnsi" w:eastAsiaTheme="minorEastAsia" w:cstheme="minorBidi"/>
      <w:b/>
      <w:sz w:val="32"/>
      <w:szCs w:val="22"/>
    </w:rPr>
  </w:style>
  <w:style w:type="paragraph" w:styleId="41">
    <w:name w:val="annotation subject"/>
    <w:basedOn w:val="15"/>
    <w:next w:val="15"/>
    <w:link w:val="89"/>
    <w:autoRedefine/>
    <w:qFormat/>
    <w:uiPriority w:val="0"/>
    <w:rPr>
      <w:b/>
      <w:bCs/>
    </w:rPr>
  </w:style>
  <w:style w:type="table" w:styleId="43">
    <w:name w:val="Table Grid"/>
    <w:basedOn w:val="42"/>
    <w:autoRedefine/>
    <w:qFormat/>
    <w:uiPriority w:val="0"/>
    <w:pPr>
      <w:widowControl w:val="0"/>
      <w:jc w:val="both"/>
    </w:pPr>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45">
    <w:name w:val="Strong"/>
    <w:autoRedefine/>
    <w:qFormat/>
    <w:uiPriority w:val="22"/>
    <w:rPr>
      <w:b/>
      <w:bCs/>
    </w:rPr>
  </w:style>
  <w:style w:type="character" w:styleId="46">
    <w:name w:val="page number"/>
    <w:basedOn w:val="44"/>
    <w:autoRedefine/>
    <w:qFormat/>
    <w:uiPriority w:val="0"/>
  </w:style>
  <w:style w:type="character" w:styleId="47">
    <w:name w:val="FollowedHyperlink"/>
    <w:autoRedefine/>
    <w:qFormat/>
    <w:uiPriority w:val="0"/>
    <w:rPr>
      <w:color w:val="800080"/>
      <w:u w:val="single"/>
    </w:rPr>
  </w:style>
  <w:style w:type="character" w:styleId="48">
    <w:name w:val="Hyperlink"/>
    <w:autoRedefine/>
    <w:qFormat/>
    <w:uiPriority w:val="99"/>
    <w:rPr>
      <w:color w:val="136EC2"/>
      <w:u w:val="single"/>
    </w:rPr>
  </w:style>
  <w:style w:type="character" w:styleId="49">
    <w:name w:val="annotation reference"/>
    <w:autoRedefine/>
    <w:qFormat/>
    <w:uiPriority w:val="0"/>
    <w:rPr>
      <w:sz w:val="21"/>
      <w:szCs w:val="21"/>
    </w:rPr>
  </w:style>
  <w:style w:type="character" w:customStyle="1" w:styleId="50">
    <w:name w:val="标题 1 字符1"/>
    <w:basedOn w:val="44"/>
    <w:link w:val="3"/>
    <w:autoRedefine/>
    <w:qFormat/>
    <w:uiPriority w:val="0"/>
    <w:rPr>
      <w:rFonts w:ascii="Times New Roman" w:hAnsi="Times New Roman" w:eastAsia="宋体" w:cs="Times New Roman"/>
      <w:b/>
      <w:bCs/>
      <w:sz w:val="24"/>
      <w:szCs w:val="20"/>
    </w:rPr>
  </w:style>
  <w:style w:type="character" w:customStyle="1" w:styleId="51">
    <w:name w:val="标题 2 字符1"/>
    <w:basedOn w:val="44"/>
    <w:link w:val="4"/>
    <w:autoRedefine/>
    <w:qFormat/>
    <w:uiPriority w:val="0"/>
    <w:rPr>
      <w:rFonts w:ascii="Arial" w:hAnsi="Arial" w:eastAsia="方正小标宋简体" w:cs="Times New Roman"/>
      <w:b/>
      <w:bCs/>
      <w:kern w:val="2"/>
      <w:sz w:val="44"/>
      <w:szCs w:val="32"/>
    </w:rPr>
  </w:style>
  <w:style w:type="character" w:customStyle="1" w:styleId="52">
    <w:name w:val="标题 3 字符"/>
    <w:basedOn w:val="44"/>
    <w:link w:val="5"/>
    <w:autoRedefine/>
    <w:qFormat/>
    <w:uiPriority w:val="0"/>
    <w:rPr>
      <w:rFonts w:ascii="Times New Roman" w:hAnsi="Times New Roman" w:eastAsia="黑体" w:cs="Times New Roman"/>
      <w:b/>
      <w:bCs/>
      <w:kern w:val="2"/>
      <w:sz w:val="32"/>
      <w:szCs w:val="32"/>
    </w:rPr>
  </w:style>
  <w:style w:type="character" w:customStyle="1" w:styleId="53">
    <w:name w:val="标题 4 字符1"/>
    <w:basedOn w:val="44"/>
    <w:link w:val="6"/>
    <w:autoRedefine/>
    <w:qFormat/>
    <w:uiPriority w:val="0"/>
    <w:rPr>
      <w:rFonts w:ascii="Arial" w:hAnsi="Arial" w:eastAsia="黑体" w:cs="Times New Roman"/>
      <w:b/>
      <w:bCs/>
      <w:sz w:val="28"/>
      <w:szCs w:val="28"/>
    </w:rPr>
  </w:style>
  <w:style w:type="character" w:customStyle="1" w:styleId="54">
    <w:name w:val="标题 5 字符"/>
    <w:basedOn w:val="44"/>
    <w:link w:val="7"/>
    <w:autoRedefine/>
    <w:qFormat/>
    <w:uiPriority w:val="0"/>
    <w:rPr>
      <w:rFonts w:ascii="Times New Roman" w:hAnsi="Times New Roman" w:eastAsia="宋体" w:cs="Times New Roman"/>
      <w:b/>
      <w:bCs/>
      <w:kern w:val="0"/>
      <w:sz w:val="28"/>
      <w:szCs w:val="28"/>
    </w:rPr>
  </w:style>
  <w:style w:type="character" w:customStyle="1" w:styleId="55">
    <w:name w:val="标题 6 字符"/>
    <w:basedOn w:val="44"/>
    <w:link w:val="8"/>
    <w:autoRedefine/>
    <w:qFormat/>
    <w:uiPriority w:val="0"/>
    <w:rPr>
      <w:rFonts w:ascii="Arial" w:hAnsi="Arial" w:eastAsia="黑体" w:cs="Times New Roman"/>
      <w:b/>
      <w:bCs/>
      <w:kern w:val="0"/>
      <w:sz w:val="24"/>
      <w:szCs w:val="24"/>
    </w:rPr>
  </w:style>
  <w:style w:type="character" w:customStyle="1" w:styleId="56">
    <w:name w:val="标题 7 字符"/>
    <w:basedOn w:val="44"/>
    <w:link w:val="9"/>
    <w:autoRedefine/>
    <w:qFormat/>
    <w:uiPriority w:val="0"/>
    <w:rPr>
      <w:rFonts w:ascii="Times New Roman" w:hAnsi="Times New Roman" w:eastAsia="宋体" w:cs="Times New Roman"/>
      <w:b/>
      <w:bCs/>
      <w:kern w:val="0"/>
      <w:sz w:val="24"/>
      <w:szCs w:val="24"/>
    </w:rPr>
  </w:style>
  <w:style w:type="character" w:customStyle="1" w:styleId="57">
    <w:name w:val="标题 8 字符"/>
    <w:basedOn w:val="44"/>
    <w:link w:val="10"/>
    <w:autoRedefine/>
    <w:qFormat/>
    <w:uiPriority w:val="0"/>
    <w:rPr>
      <w:rFonts w:ascii="Arial" w:hAnsi="Arial" w:eastAsia="黑体" w:cs="Times New Roman"/>
      <w:kern w:val="0"/>
      <w:sz w:val="24"/>
      <w:szCs w:val="24"/>
    </w:rPr>
  </w:style>
  <w:style w:type="character" w:customStyle="1" w:styleId="58">
    <w:name w:val="标题 9 字符"/>
    <w:basedOn w:val="44"/>
    <w:link w:val="11"/>
    <w:autoRedefine/>
    <w:qFormat/>
    <w:uiPriority w:val="0"/>
    <w:rPr>
      <w:rFonts w:ascii="Arial" w:hAnsi="Arial" w:eastAsia="黑体" w:cs="Times New Roman"/>
      <w:kern w:val="0"/>
      <w:szCs w:val="21"/>
    </w:rPr>
  </w:style>
  <w:style w:type="paragraph" w:customStyle="1" w:styleId="59">
    <w:name w:val="表格内容"/>
    <w:basedOn w:val="17"/>
    <w:autoRedefine/>
    <w:qFormat/>
    <w:uiPriority w:val="0"/>
    <w:pPr>
      <w:suppressLineNumbers/>
      <w:suppressAutoHyphens/>
      <w:jc w:val="left"/>
    </w:pPr>
    <w:rPr>
      <w:rFonts w:cs="Tahoma"/>
      <w:kern w:val="0"/>
      <w:sz w:val="24"/>
    </w:rPr>
  </w:style>
  <w:style w:type="character" w:customStyle="1" w:styleId="60">
    <w:name w:val="正文文本 字符1"/>
    <w:basedOn w:val="44"/>
    <w:link w:val="17"/>
    <w:autoRedefine/>
    <w:qFormat/>
    <w:uiPriority w:val="0"/>
    <w:rPr>
      <w:rFonts w:ascii="Times New Roman" w:hAnsi="Times New Roman" w:eastAsia="宋体" w:cs="Times New Roman"/>
      <w:szCs w:val="24"/>
    </w:rPr>
  </w:style>
  <w:style w:type="character" w:customStyle="1" w:styleId="61">
    <w:name w:val="页脚 字符1"/>
    <w:basedOn w:val="44"/>
    <w:link w:val="27"/>
    <w:autoRedefine/>
    <w:qFormat/>
    <w:uiPriority w:val="99"/>
    <w:rPr>
      <w:rFonts w:ascii="Times New Roman" w:hAnsi="Times New Roman" w:eastAsia="宋体" w:cs="Times New Roman"/>
      <w:sz w:val="18"/>
      <w:szCs w:val="18"/>
    </w:rPr>
  </w:style>
  <w:style w:type="character" w:customStyle="1" w:styleId="62">
    <w:name w:val="页眉 字符1"/>
    <w:basedOn w:val="44"/>
    <w:link w:val="28"/>
    <w:autoRedefine/>
    <w:qFormat/>
    <w:uiPriority w:val="99"/>
    <w:rPr>
      <w:rFonts w:ascii="Times New Roman" w:hAnsi="Times New Roman" w:eastAsia="宋体" w:cs="Times New Roman"/>
      <w:sz w:val="18"/>
      <w:szCs w:val="18"/>
    </w:rPr>
  </w:style>
  <w:style w:type="character" w:customStyle="1" w:styleId="63">
    <w:name w:val="正文文本缩进 字符1"/>
    <w:basedOn w:val="44"/>
    <w:link w:val="18"/>
    <w:autoRedefine/>
    <w:qFormat/>
    <w:uiPriority w:val="0"/>
    <w:rPr>
      <w:rFonts w:ascii="Times New Roman" w:hAnsi="Times New Roman" w:eastAsia="宋体" w:cs="Times New Roman"/>
      <w:szCs w:val="24"/>
    </w:rPr>
  </w:style>
  <w:style w:type="paragraph" w:customStyle="1" w:styleId="64">
    <w:name w:val="Char Char Char Char Char Char Char"/>
    <w:basedOn w:val="1"/>
    <w:autoRedefine/>
    <w:qFormat/>
    <w:uiPriority w:val="0"/>
    <w:pPr>
      <w:snapToGrid w:val="0"/>
      <w:spacing w:line="360" w:lineRule="auto"/>
      <w:ind w:firstLine="200" w:firstLineChars="200"/>
    </w:pPr>
    <w:rPr>
      <w:rFonts w:eastAsia="仿宋_GB2312"/>
      <w:sz w:val="24"/>
    </w:rPr>
  </w:style>
  <w:style w:type="character" w:customStyle="1" w:styleId="65">
    <w:name w:val="纯文本 字符1"/>
    <w:basedOn w:val="44"/>
    <w:link w:val="22"/>
    <w:autoRedefine/>
    <w:qFormat/>
    <w:uiPriority w:val="0"/>
    <w:rPr>
      <w:rFonts w:ascii="宋体" w:hAnsi="Courier New" w:eastAsia="宋体" w:cs="Courier New"/>
      <w:szCs w:val="21"/>
    </w:rPr>
  </w:style>
  <w:style w:type="character" w:customStyle="1" w:styleId="66">
    <w:name w:val="批注文字 字符1"/>
    <w:basedOn w:val="44"/>
    <w:link w:val="15"/>
    <w:autoRedefine/>
    <w:qFormat/>
    <w:uiPriority w:val="0"/>
    <w:rPr>
      <w:rFonts w:ascii="Times New Roman" w:hAnsi="Times New Roman" w:eastAsia="宋体" w:cs="Times New Roman"/>
      <w:szCs w:val="24"/>
    </w:rPr>
  </w:style>
  <w:style w:type="paragraph" w:customStyle="1" w:styleId="67">
    <w:name w:val="Char Char Char Char Char Char Char1"/>
    <w:basedOn w:val="1"/>
    <w:autoRedefine/>
    <w:qFormat/>
    <w:uiPriority w:val="0"/>
    <w:pPr>
      <w:snapToGrid w:val="0"/>
      <w:spacing w:line="360" w:lineRule="auto"/>
      <w:ind w:firstLine="200" w:firstLineChars="200"/>
    </w:pPr>
    <w:rPr>
      <w:rFonts w:eastAsia="仿宋_GB2312"/>
      <w:sz w:val="24"/>
    </w:rPr>
  </w:style>
  <w:style w:type="paragraph" w:customStyle="1" w:styleId="68">
    <w:name w:val="Char Char Char"/>
    <w:basedOn w:val="1"/>
    <w:autoRedefine/>
    <w:qFormat/>
    <w:uiPriority w:val="0"/>
    <w:rPr>
      <w:rFonts w:ascii="宋体" w:hAnsi="宋体"/>
      <w:b/>
      <w:sz w:val="28"/>
      <w:szCs w:val="28"/>
    </w:rPr>
  </w:style>
  <w:style w:type="paragraph" w:customStyle="1" w:styleId="69">
    <w:name w:val="Char Char1 Char Char Char Char Char Char Char Char Char Char Char Char Char Char Char"/>
    <w:basedOn w:val="1"/>
    <w:autoRedefine/>
    <w:qFormat/>
    <w:uiPriority w:val="0"/>
    <w:pPr>
      <w:widowControl/>
      <w:spacing w:after="160" w:line="240" w:lineRule="exact"/>
      <w:jc w:val="left"/>
    </w:pPr>
    <w:rPr>
      <w:rFonts w:ascii="Verdana" w:hAnsi="Verdana"/>
      <w:kern w:val="0"/>
      <w:sz w:val="20"/>
      <w:szCs w:val="20"/>
      <w:lang w:eastAsia="en-US"/>
    </w:rPr>
  </w:style>
  <w:style w:type="character" w:customStyle="1" w:styleId="70">
    <w:name w:val="HTML 预设格式 字符"/>
    <w:basedOn w:val="44"/>
    <w:link w:val="37"/>
    <w:autoRedefine/>
    <w:qFormat/>
    <w:uiPriority w:val="0"/>
    <w:rPr>
      <w:rFonts w:ascii="Arial" w:hAnsi="Arial" w:eastAsia="宋体" w:cs="Arial"/>
      <w:kern w:val="0"/>
      <w:sz w:val="24"/>
      <w:szCs w:val="24"/>
    </w:rPr>
  </w:style>
  <w:style w:type="character" w:customStyle="1" w:styleId="71">
    <w:name w:val="称呼 字符"/>
    <w:basedOn w:val="44"/>
    <w:link w:val="16"/>
    <w:autoRedefine/>
    <w:qFormat/>
    <w:uiPriority w:val="0"/>
    <w:rPr>
      <w:rFonts w:ascii="仿宋_GB2312" w:hAnsi="Times New Roman" w:eastAsia="仿宋_GB2312" w:cs="Times New Roman"/>
      <w:sz w:val="24"/>
      <w:szCs w:val="24"/>
    </w:rPr>
  </w:style>
  <w:style w:type="character" w:customStyle="1" w:styleId="72">
    <w:name w:val="正文文本 2 字符1"/>
    <w:basedOn w:val="44"/>
    <w:link w:val="36"/>
    <w:autoRedefine/>
    <w:qFormat/>
    <w:uiPriority w:val="0"/>
    <w:rPr>
      <w:rFonts w:ascii="Times New Roman" w:hAnsi="Times New Roman" w:eastAsia="宋体" w:cs="Times New Roman"/>
      <w:szCs w:val="24"/>
    </w:rPr>
  </w:style>
  <w:style w:type="character" w:customStyle="1" w:styleId="73">
    <w:name w:val="正文文本缩进 2 字符1"/>
    <w:basedOn w:val="44"/>
    <w:link w:val="25"/>
    <w:autoRedefine/>
    <w:qFormat/>
    <w:uiPriority w:val="0"/>
    <w:rPr>
      <w:rFonts w:ascii="Times New Roman" w:hAnsi="Times New Roman" w:eastAsia="宋体" w:cs="Times New Roman"/>
      <w:szCs w:val="24"/>
    </w:rPr>
  </w:style>
  <w:style w:type="paragraph" w:customStyle="1" w:styleId="74">
    <w:name w:val="Char"/>
    <w:basedOn w:val="1"/>
    <w:autoRedefine/>
    <w:qFormat/>
    <w:uiPriority w:val="0"/>
    <w:pPr>
      <w:tabs>
        <w:tab w:val="left" w:pos="360"/>
      </w:tabs>
      <w:ind w:left="360" w:hanging="360" w:hangingChars="200"/>
    </w:pPr>
    <w:rPr>
      <w:sz w:val="24"/>
    </w:rPr>
  </w:style>
  <w:style w:type="character" w:customStyle="1" w:styleId="75">
    <w:name w:val="正文文本缩进 3 字符"/>
    <w:basedOn w:val="44"/>
    <w:link w:val="33"/>
    <w:autoRedefine/>
    <w:qFormat/>
    <w:uiPriority w:val="0"/>
    <w:rPr>
      <w:rFonts w:ascii="Times New Roman" w:hAnsi="Times New Roman" w:eastAsia="宋体" w:cs="Times New Roman"/>
      <w:sz w:val="16"/>
      <w:szCs w:val="16"/>
    </w:rPr>
  </w:style>
  <w:style w:type="character" w:customStyle="1" w:styleId="76">
    <w:name w:val="日期 字符"/>
    <w:basedOn w:val="44"/>
    <w:link w:val="24"/>
    <w:autoRedefine/>
    <w:qFormat/>
    <w:uiPriority w:val="0"/>
    <w:rPr>
      <w:rFonts w:ascii="Times New Roman" w:hAnsi="Times New Roman" w:eastAsia="宋体" w:cs="Times New Roman"/>
      <w:sz w:val="24"/>
      <w:szCs w:val="20"/>
    </w:rPr>
  </w:style>
  <w:style w:type="paragraph" w:customStyle="1" w:styleId="77">
    <w:name w:val="样式1"/>
    <w:basedOn w:val="1"/>
    <w:link w:val="109"/>
    <w:autoRedefine/>
    <w:qFormat/>
    <w:uiPriority w:val="0"/>
    <w:pPr>
      <w:tabs>
        <w:tab w:val="left" w:pos="360"/>
      </w:tabs>
      <w:adjustRightInd w:val="0"/>
      <w:ind w:left="360" w:hanging="360"/>
      <w:textAlignment w:val="baseline"/>
    </w:pPr>
    <w:rPr>
      <w:rFonts w:ascii="宋体" w:hAnsi="宋体"/>
      <w:kern w:val="0"/>
      <w:szCs w:val="21"/>
    </w:rPr>
  </w:style>
  <w:style w:type="character" w:customStyle="1" w:styleId="78">
    <w:name w:val="p0 Char"/>
    <w:link w:val="79"/>
    <w:autoRedefine/>
    <w:qFormat/>
    <w:uiPriority w:val="0"/>
    <w:rPr>
      <w:rFonts w:eastAsia="宋体"/>
      <w:szCs w:val="21"/>
    </w:rPr>
  </w:style>
  <w:style w:type="paragraph" w:customStyle="1" w:styleId="79">
    <w:name w:val="p0"/>
    <w:basedOn w:val="1"/>
    <w:link w:val="78"/>
    <w:autoRedefine/>
    <w:qFormat/>
    <w:uiPriority w:val="0"/>
    <w:pPr>
      <w:widowControl/>
    </w:pPr>
    <w:rPr>
      <w:rFonts w:asciiTheme="minorHAnsi" w:hAnsiTheme="minorHAnsi" w:cstheme="minorBidi"/>
      <w:szCs w:val="21"/>
    </w:rPr>
  </w:style>
  <w:style w:type="paragraph" w:customStyle="1" w:styleId="80">
    <w:name w:val="Char11"/>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81">
    <w:name w:val="Char Char1 Char Char Char Char Char1 Char Char Char Char"/>
    <w:basedOn w:val="14"/>
    <w:autoRedefine/>
    <w:qFormat/>
    <w:uiPriority w:val="0"/>
    <w:rPr>
      <w:rFonts w:ascii="Tahoma" w:hAnsi="Tahoma"/>
    </w:rPr>
  </w:style>
  <w:style w:type="character" w:customStyle="1" w:styleId="82">
    <w:name w:val="文档结构图 字符1"/>
    <w:basedOn w:val="44"/>
    <w:link w:val="14"/>
    <w:autoRedefine/>
    <w:semiHidden/>
    <w:qFormat/>
    <w:uiPriority w:val="0"/>
    <w:rPr>
      <w:rFonts w:ascii="Times New Roman" w:hAnsi="Times New Roman" w:eastAsia="宋体" w:cs="Times New Roman"/>
      <w:szCs w:val="24"/>
      <w:shd w:val="clear" w:color="auto" w:fill="000080"/>
    </w:rPr>
  </w:style>
  <w:style w:type="paragraph" w:customStyle="1" w:styleId="83">
    <w:name w:val="样式 样式 样式 样式 标题 2 + 宋体 五号 非加粗 黑色 + 段前: 6 磅 段后: 0 磅 行距: 单倍行距 + 段前:..."/>
    <w:basedOn w:val="1"/>
    <w:autoRedefine/>
    <w:qFormat/>
    <w:uiPriority w:val="0"/>
    <w:pPr>
      <w:keepNext/>
      <w:keepLines/>
      <w:tabs>
        <w:tab w:val="left" w:pos="840"/>
      </w:tabs>
      <w:adjustRightInd w:val="0"/>
      <w:spacing w:before="240"/>
      <w:ind w:left="840" w:hanging="420"/>
      <w:jc w:val="left"/>
      <w:textAlignment w:val="baseline"/>
      <w:outlineLvl w:val="1"/>
    </w:pPr>
    <w:rPr>
      <w:rFonts w:ascii="宋体" w:hAnsi="宋体"/>
      <w:b/>
      <w:bCs/>
      <w:color w:val="000000"/>
      <w:kern w:val="0"/>
      <w:szCs w:val="20"/>
    </w:rPr>
  </w:style>
  <w:style w:type="paragraph" w:customStyle="1" w:styleId="84">
    <w:name w:val="Char1"/>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85">
    <w:name w:val="Default"/>
    <w:autoRedefine/>
    <w:qFormat/>
    <w:uiPriority w:val="0"/>
    <w:pPr>
      <w:widowControl w:val="0"/>
      <w:autoSpaceDE w:val="0"/>
      <w:autoSpaceDN w:val="0"/>
      <w:adjustRightInd w:val="0"/>
    </w:pPr>
    <w:rPr>
      <w:rFonts w:ascii="黑体" w:hAnsi="Times New Roman" w:eastAsia="黑体" w:cs="Times New Roman"/>
      <w:lang w:val="en-US" w:eastAsia="zh-CN" w:bidi="ar-SA"/>
    </w:rPr>
  </w:style>
  <w:style w:type="paragraph" w:customStyle="1" w:styleId="86">
    <w:name w:val="1"/>
    <w:basedOn w:val="1"/>
    <w:autoRedefine/>
    <w:qFormat/>
    <w:uiPriority w:val="0"/>
    <w:pPr>
      <w:spacing w:afterLines="50" w:line="360" w:lineRule="auto"/>
    </w:pPr>
    <w:rPr>
      <w:rFonts w:ascii="宋体" w:hAnsi="宋体"/>
      <w:b/>
      <w:sz w:val="30"/>
      <w:szCs w:val="21"/>
    </w:rPr>
  </w:style>
  <w:style w:type="paragraph" w:customStyle="1" w:styleId="87">
    <w:name w:val="样式 标题 2 + 宋体 五号 行距: 单倍行距"/>
    <w:basedOn w:val="4"/>
    <w:autoRedefine/>
    <w:qFormat/>
    <w:uiPriority w:val="0"/>
    <w:pPr>
      <w:tabs>
        <w:tab w:val="left" w:pos="2175"/>
      </w:tabs>
      <w:adjustRightInd w:val="0"/>
      <w:spacing w:before="260" w:after="260" w:line="240" w:lineRule="auto"/>
      <w:ind w:left="2175" w:hanging="1275"/>
      <w:jc w:val="left"/>
      <w:textAlignment w:val="baseline"/>
    </w:pPr>
    <w:rPr>
      <w:rFonts w:ascii="宋体" w:hAnsi="宋体"/>
      <w:kern w:val="0"/>
      <w:sz w:val="21"/>
      <w:szCs w:val="20"/>
    </w:rPr>
  </w:style>
  <w:style w:type="paragraph" w:customStyle="1" w:styleId="88">
    <w:name w:val="标题 1 +"/>
    <w:basedOn w:val="3"/>
    <w:next w:val="1"/>
    <w:autoRedefine/>
    <w:qFormat/>
    <w:uiPriority w:val="0"/>
    <w:pPr>
      <w:keepLines/>
      <w:spacing w:line="600" w:lineRule="auto"/>
    </w:pPr>
    <w:rPr>
      <w:rFonts w:eastAsia="黑体"/>
      <w:kern w:val="0"/>
      <w:sz w:val="32"/>
      <w:szCs w:val="32"/>
    </w:rPr>
  </w:style>
  <w:style w:type="character" w:customStyle="1" w:styleId="89">
    <w:name w:val="批注主题 字符1"/>
    <w:basedOn w:val="66"/>
    <w:link w:val="41"/>
    <w:autoRedefine/>
    <w:qFormat/>
    <w:uiPriority w:val="0"/>
    <w:rPr>
      <w:rFonts w:ascii="Times New Roman" w:hAnsi="Times New Roman" w:eastAsia="宋体" w:cs="Times New Roman"/>
      <w:b/>
      <w:bCs/>
      <w:szCs w:val="24"/>
    </w:rPr>
  </w:style>
  <w:style w:type="character" w:customStyle="1" w:styleId="90">
    <w:name w:val="批注框文本 字符1"/>
    <w:basedOn w:val="44"/>
    <w:link w:val="26"/>
    <w:autoRedefine/>
    <w:qFormat/>
    <w:uiPriority w:val="0"/>
    <w:rPr>
      <w:rFonts w:ascii="Times New Roman" w:hAnsi="Times New Roman" w:eastAsia="宋体" w:cs="Times New Roman"/>
      <w:sz w:val="18"/>
      <w:szCs w:val="18"/>
    </w:rPr>
  </w:style>
  <w:style w:type="paragraph" w:customStyle="1" w:styleId="91">
    <w:name w:val="样式 标题 2 + Times New Roman 四号 非加粗 段前: 5 磅 段后: 0 磅 行距: 固定值 20..."/>
    <w:basedOn w:val="4"/>
    <w:autoRedefine/>
    <w:qFormat/>
    <w:uiPriority w:val="0"/>
    <w:pPr>
      <w:spacing w:before="100" w:line="400" w:lineRule="exact"/>
    </w:pPr>
    <w:rPr>
      <w:rFonts w:ascii="Times New Roman" w:hAnsi="Times New Roman" w:eastAsia="黑体"/>
      <w:b w:val="0"/>
      <w:bCs w:val="0"/>
      <w:sz w:val="28"/>
      <w:szCs w:val="20"/>
    </w:rPr>
  </w:style>
  <w:style w:type="paragraph" w:customStyle="1" w:styleId="92">
    <w:name w:val="p15"/>
    <w:basedOn w:val="1"/>
    <w:autoRedefine/>
    <w:qFormat/>
    <w:uiPriority w:val="0"/>
    <w:pPr>
      <w:widowControl/>
      <w:spacing w:line="220" w:lineRule="atLeast"/>
      <w:jc w:val="center"/>
    </w:pPr>
    <w:rPr>
      <w:rFonts w:ascii="仿宋_GB2312" w:hAnsi="宋体" w:eastAsia="仿宋_GB2312" w:cs="宋体"/>
      <w:kern w:val="0"/>
      <w:szCs w:val="21"/>
    </w:rPr>
  </w:style>
  <w:style w:type="paragraph" w:customStyle="1" w:styleId="93">
    <w:name w:val="Char1 Char Char Char 字元 Char Char 字元 Char 字元 Char1 Char Char Char"/>
    <w:basedOn w:val="1"/>
    <w:autoRedefine/>
    <w:qFormat/>
    <w:uiPriority w:val="0"/>
    <w:rPr>
      <w:szCs w:val="20"/>
    </w:rPr>
  </w:style>
  <w:style w:type="paragraph" w:customStyle="1" w:styleId="94">
    <w:name w:val="p16"/>
    <w:basedOn w:val="1"/>
    <w:autoRedefine/>
    <w:qFormat/>
    <w:uiPriority w:val="0"/>
    <w:pPr>
      <w:widowControl/>
      <w:jc w:val="left"/>
    </w:pPr>
    <w:rPr>
      <w:kern w:val="0"/>
      <w:szCs w:val="21"/>
    </w:rPr>
  </w:style>
  <w:style w:type="paragraph" w:customStyle="1" w:styleId="95">
    <w:name w:val="xl31"/>
    <w:basedOn w:val="1"/>
    <w:autoRedefine/>
    <w:qFormat/>
    <w:uiPriority w:val="0"/>
    <w:pPr>
      <w:widowControl/>
      <w:pBdr>
        <w:left w:val="single" w:color="auto" w:sz="4" w:space="0"/>
        <w:right w:val="single" w:color="auto" w:sz="4" w:space="0"/>
      </w:pBdr>
      <w:spacing w:before="100" w:beforeAutospacing="1" w:after="100" w:afterAutospacing="1"/>
      <w:jc w:val="center"/>
      <w:textAlignment w:val="center"/>
    </w:pPr>
    <w:rPr>
      <w:rFonts w:ascii="宋体" w:hAnsi="宋体"/>
      <w:kern w:val="0"/>
      <w:sz w:val="24"/>
    </w:rPr>
  </w:style>
  <w:style w:type="paragraph" w:customStyle="1" w:styleId="96">
    <w:name w:val="Blockquote"/>
    <w:basedOn w:val="1"/>
    <w:autoRedefine/>
    <w:qFormat/>
    <w:uiPriority w:val="0"/>
    <w:pPr>
      <w:autoSpaceDE w:val="0"/>
      <w:autoSpaceDN w:val="0"/>
      <w:adjustRightInd w:val="0"/>
      <w:spacing w:before="100" w:after="100"/>
      <w:ind w:left="360" w:right="360"/>
      <w:jc w:val="left"/>
    </w:pPr>
    <w:rPr>
      <w:kern w:val="0"/>
      <w:sz w:val="24"/>
      <w:szCs w:val="20"/>
    </w:rPr>
  </w:style>
  <w:style w:type="paragraph" w:customStyle="1" w:styleId="97">
    <w:name w:val="Char Char"/>
    <w:basedOn w:val="1"/>
    <w:autoRedefine/>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98">
    <w:name w:val="xl25"/>
    <w:basedOn w:val="1"/>
    <w:autoRedefine/>
    <w:qFormat/>
    <w:uiPriority w:val="0"/>
    <w:pPr>
      <w:widowControl/>
      <w:pBdr>
        <w:left w:val="single" w:color="auto" w:sz="4" w:space="0"/>
        <w:bottom w:val="single" w:color="auto" w:sz="4" w:space="0"/>
        <w:right w:val="double" w:color="auto" w:sz="6" w:space="0"/>
      </w:pBdr>
      <w:spacing w:before="100" w:beforeAutospacing="1" w:after="100" w:afterAutospacing="1"/>
      <w:jc w:val="center"/>
    </w:pPr>
    <w:rPr>
      <w:rFonts w:ascii="Arial Unicode MS" w:hAnsi="Arial Unicode MS" w:eastAsia="Arial Unicode MS" w:cs="Arial Unicode MS"/>
      <w:kern w:val="0"/>
      <w:sz w:val="24"/>
    </w:rPr>
  </w:style>
  <w:style w:type="paragraph" w:customStyle="1" w:styleId="99">
    <w:name w:val="Char Char Char1 Char"/>
    <w:basedOn w:val="1"/>
    <w:autoRedefine/>
    <w:qFormat/>
    <w:uiPriority w:val="0"/>
    <w:pPr>
      <w:tabs>
        <w:tab w:val="left" w:pos="360"/>
      </w:tabs>
      <w:snapToGrid w:val="0"/>
      <w:spacing w:line="360" w:lineRule="auto"/>
    </w:pPr>
    <w:rPr>
      <w:rFonts w:eastAsia="仿宋_GB2312" w:cs="宋体"/>
      <w:sz w:val="24"/>
    </w:rPr>
  </w:style>
  <w:style w:type="paragraph" w:styleId="100">
    <w:name w:val="List Paragraph"/>
    <w:basedOn w:val="1"/>
    <w:link w:val="106"/>
    <w:autoRedefine/>
    <w:qFormat/>
    <w:uiPriority w:val="34"/>
    <w:pPr>
      <w:ind w:firstLine="420" w:firstLineChars="200"/>
    </w:pPr>
  </w:style>
  <w:style w:type="character" w:customStyle="1" w:styleId="101">
    <w:name w:val="fontstyle01"/>
    <w:basedOn w:val="44"/>
    <w:autoRedefine/>
    <w:qFormat/>
    <w:uiPriority w:val="0"/>
    <w:rPr>
      <w:rFonts w:hint="eastAsia" w:ascii="宋体" w:hAnsi="宋体" w:eastAsia="宋体"/>
      <w:color w:val="000000"/>
      <w:sz w:val="24"/>
      <w:szCs w:val="24"/>
    </w:rPr>
  </w:style>
  <w:style w:type="character" w:customStyle="1" w:styleId="102">
    <w:name w:val="fontstyle11"/>
    <w:basedOn w:val="44"/>
    <w:autoRedefine/>
    <w:qFormat/>
    <w:uiPriority w:val="0"/>
    <w:rPr>
      <w:rFonts w:hint="default" w:ascii="TimesNewRomanPSMT" w:hAnsi="TimesNewRomanPSMT"/>
      <w:color w:val="000000"/>
      <w:sz w:val="24"/>
      <w:szCs w:val="24"/>
    </w:rPr>
  </w:style>
  <w:style w:type="paragraph" w:customStyle="1" w:styleId="103">
    <w:name w:val="TOC 标题1"/>
    <w:basedOn w:val="3"/>
    <w:next w:val="1"/>
    <w:autoRedefine/>
    <w:semiHidden/>
    <w:unhideWhenUsed/>
    <w:qFormat/>
    <w:uiPriority w:val="39"/>
    <w:pPr>
      <w:keepLines/>
      <w:widowControl/>
      <w:spacing w:before="480" w:line="276" w:lineRule="auto"/>
      <w:jc w:val="left"/>
      <w:outlineLvl w:val="9"/>
    </w:pPr>
    <w:rPr>
      <w:rFonts w:asciiTheme="majorHAnsi" w:hAnsiTheme="majorHAnsi" w:eastAsiaTheme="majorEastAsia" w:cstheme="majorBidi"/>
      <w:color w:val="2F5597" w:themeColor="accent1" w:themeShade="BF"/>
      <w:kern w:val="0"/>
      <w:sz w:val="28"/>
      <w:szCs w:val="28"/>
    </w:rPr>
  </w:style>
  <w:style w:type="character" w:customStyle="1" w:styleId="104">
    <w:name w:val="fontstyle21"/>
    <w:basedOn w:val="44"/>
    <w:autoRedefine/>
    <w:qFormat/>
    <w:uiPriority w:val="0"/>
    <w:rPr>
      <w:rFonts w:hint="eastAsia" w:ascii="宋体" w:hAnsi="宋体" w:eastAsia="宋体"/>
      <w:color w:val="993300"/>
      <w:sz w:val="24"/>
      <w:szCs w:val="24"/>
    </w:rPr>
  </w:style>
  <w:style w:type="character" w:customStyle="1" w:styleId="105">
    <w:name w:val="fontstyle31"/>
    <w:basedOn w:val="44"/>
    <w:autoRedefine/>
    <w:qFormat/>
    <w:uiPriority w:val="0"/>
    <w:rPr>
      <w:rFonts w:hint="default" w:ascii="Arial" w:hAnsi="Arial" w:cs="Arial"/>
      <w:color w:val="993300"/>
      <w:sz w:val="24"/>
      <w:szCs w:val="24"/>
    </w:rPr>
  </w:style>
  <w:style w:type="character" w:customStyle="1" w:styleId="106">
    <w:name w:val="列出段落 字符"/>
    <w:link w:val="100"/>
    <w:autoRedefine/>
    <w:qFormat/>
    <w:uiPriority w:val="0"/>
    <w:rPr>
      <w:rFonts w:ascii="Times New Roman" w:hAnsi="Times New Roman" w:eastAsia="宋体" w:cs="Times New Roman"/>
      <w:szCs w:val="24"/>
    </w:rPr>
  </w:style>
  <w:style w:type="character" w:customStyle="1" w:styleId="107">
    <w:name w:val="标题 字符1"/>
    <w:link w:val="40"/>
    <w:autoRedefine/>
    <w:qFormat/>
    <w:uiPriority w:val="0"/>
    <w:rPr>
      <w:b/>
      <w:sz w:val="32"/>
    </w:rPr>
  </w:style>
  <w:style w:type="character" w:customStyle="1" w:styleId="108">
    <w:name w:val="标题 Char1"/>
    <w:basedOn w:val="44"/>
    <w:autoRedefine/>
    <w:qFormat/>
    <w:uiPriority w:val="10"/>
    <w:rPr>
      <w:rFonts w:eastAsia="宋体" w:asciiTheme="majorHAnsi" w:hAnsiTheme="majorHAnsi" w:cstheme="majorBidi"/>
      <w:b/>
      <w:bCs/>
      <w:sz w:val="32"/>
      <w:szCs w:val="32"/>
    </w:rPr>
  </w:style>
  <w:style w:type="character" w:customStyle="1" w:styleId="109">
    <w:name w:val="样式1 Char Char"/>
    <w:link w:val="77"/>
    <w:autoRedefine/>
    <w:qFormat/>
    <w:uiPriority w:val="0"/>
    <w:rPr>
      <w:rFonts w:ascii="宋体" w:hAnsi="宋体" w:eastAsia="宋体" w:cs="Times New Roman"/>
      <w:kern w:val="0"/>
      <w:szCs w:val="21"/>
    </w:rPr>
  </w:style>
  <w:style w:type="character" w:customStyle="1" w:styleId="110">
    <w:name w:val="纯文本 Char1"/>
    <w:autoRedefine/>
    <w:semiHidden/>
    <w:qFormat/>
    <w:locked/>
    <w:uiPriority w:val="0"/>
    <w:rPr>
      <w:rFonts w:ascii="宋体" w:hAnsi="Courier New" w:eastAsia="宋体" w:cs="Courier New"/>
      <w:kern w:val="2"/>
      <w:sz w:val="21"/>
      <w:szCs w:val="21"/>
      <w:lang w:val="en-US" w:eastAsia="zh-CN" w:bidi="ar-SA"/>
    </w:rPr>
  </w:style>
  <w:style w:type="paragraph" w:customStyle="1" w:styleId="111">
    <w:name w:val="正文文字缩进"/>
    <w:autoRedefine/>
    <w:qFormat/>
    <w:uiPriority w:val="0"/>
    <w:pPr>
      <w:spacing w:line="351" w:lineRule="atLeast"/>
      <w:ind w:firstLine="555"/>
      <w:textAlignment w:val="baseline"/>
    </w:pPr>
    <w:rPr>
      <w:rFonts w:ascii="Times New Roman" w:hAnsi="Times New Roman" w:eastAsia="宋体" w:cs="Times New Roman"/>
      <w:color w:val="000000"/>
      <w:sz w:val="28"/>
      <w:lang w:val="en-US" w:eastAsia="zh-CN" w:bidi="ar-SA"/>
    </w:rPr>
  </w:style>
  <w:style w:type="character" w:customStyle="1" w:styleId="112">
    <w:name w:val="批注文字 字符"/>
    <w:autoRedefine/>
    <w:qFormat/>
    <w:uiPriority w:val="0"/>
    <w:rPr>
      <w:sz w:val="24"/>
      <w:szCs w:val="24"/>
    </w:rPr>
  </w:style>
  <w:style w:type="character" w:customStyle="1" w:styleId="113">
    <w:name w:val="纯文本 字符"/>
    <w:autoRedefine/>
    <w:qFormat/>
    <w:locked/>
    <w:uiPriority w:val="0"/>
    <w:rPr>
      <w:rFonts w:ascii="宋体" w:hAnsi="Courier New" w:eastAsia="宋体" w:cs="Courier New"/>
      <w:kern w:val="2"/>
      <w:sz w:val="24"/>
      <w:szCs w:val="21"/>
      <w:lang w:val="en-US" w:eastAsia="zh-CN" w:bidi="ar-SA"/>
    </w:rPr>
  </w:style>
  <w:style w:type="paragraph" w:customStyle="1" w:styleId="114">
    <w:name w:val="列出段落1"/>
    <w:basedOn w:val="1"/>
    <w:autoRedefine/>
    <w:qFormat/>
    <w:uiPriority w:val="0"/>
    <w:pPr>
      <w:ind w:firstLine="420" w:firstLineChars="200"/>
    </w:pPr>
    <w:rPr>
      <w:kern w:val="0"/>
      <w:sz w:val="24"/>
    </w:rPr>
  </w:style>
  <w:style w:type="character" w:customStyle="1" w:styleId="115">
    <w:name w:val="标题 1 字符"/>
    <w:autoRedefine/>
    <w:qFormat/>
    <w:uiPriority w:val="0"/>
    <w:rPr>
      <w:b/>
      <w:bCs/>
      <w:kern w:val="44"/>
      <w:sz w:val="44"/>
      <w:szCs w:val="44"/>
    </w:rPr>
  </w:style>
  <w:style w:type="character" w:customStyle="1" w:styleId="116">
    <w:name w:val="标题 2 字符"/>
    <w:autoRedefine/>
    <w:qFormat/>
    <w:uiPriority w:val="0"/>
    <w:rPr>
      <w:rFonts w:ascii="Arial" w:hAnsi="Arial" w:eastAsia="黑体"/>
      <w:b/>
      <w:sz w:val="32"/>
    </w:rPr>
  </w:style>
  <w:style w:type="character" w:customStyle="1" w:styleId="117">
    <w:name w:val="标题 4 字符"/>
    <w:autoRedefine/>
    <w:qFormat/>
    <w:uiPriority w:val="0"/>
    <w:rPr>
      <w:rFonts w:ascii="Arial" w:hAnsi="Arial" w:eastAsia="黑体" w:cs="Arial"/>
      <w:b/>
      <w:bCs/>
      <w:kern w:val="2"/>
      <w:sz w:val="28"/>
      <w:szCs w:val="28"/>
    </w:rPr>
  </w:style>
  <w:style w:type="character" w:customStyle="1" w:styleId="118">
    <w:name w:val="文档结构图 字符"/>
    <w:autoRedefine/>
    <w:semiHidden/>
    <w:qFormat/>
    <w:uiPriority w:val="0"/>
    <w:rPr>
      <w:sz w:val="24"/>
      <w:szCs w:val="24"/>
      <w:shd w:val="clear" w:color="auto" w:fill="000080"/>
    </w:rPr>
  </w:style>
  <w:style w:type="character" w:customStyle="1" w:styleId="119">
    <w:name w:val="正文文本 字符"/>
    <w:autoRedefine/>
    <w:qFormat/>
    <w:uiPriority w:val="99"/>
    <w:rPr>
      <w:sz w:val="21"/>
      <w:szCs w:val="24"/>
    </w:rPr>
  </w:style>
  <w:style w:type="character" w:customStyle="1" w:styleId="120">
    <w:name w:val="正文文本缩进 字符"/>
    <w:autoRedefine/>
    <w:qFormat/>
    <w:uiPriority w:val="0"/>
    <w:rPr>
      <w:sz w:val="24"/>
      <w:szCs w:val="24"/>
    </w:rPr>
  </w:style>
  <w:style w:type="character" w:customStyle="1" w:styleId="121">
    <w:name w:val="正文文本缩进 2 字符"/>
    <w:autoRedefine/>
    <w:qFormat/>
    <w:uiPriority w:val="0"/>
    <w:rPr>
      <w:sz w:val="24"/>
      <w:szCs w:val="24"/>
    </w:rPr>
  </w:style>
  <w:style w:type="character" w:customStyle="1" w:styleId="122">
    <w:name w:val="批注框文本 字符"/>
    <w:autoRedefine/>
    <w:qFormat/>
    <w:locked/>
    <w:uiPriority w:val="0"/>
    <w:rPr>
      <w:rFonts w:cs="Times New Roman"/>
      <w:sz w:val="18"/>
      <w:szCs w:val="18"/>
    </w:rPr>
  </w:style>
  <w:style w:type="character" w:customStyle="1" w:styleId="123">
    <w:name w:val="页脚 字符"/>
    <w:autoRedefine/>
    <w:qFormat/>
    <w:locked/>
    <w:uiPriority w:val="99"/>
    <w:rPr>
      <w:rFonts w:cs="Times New Roman"/>
      <w:sz w:val="18"/>
      <w:szCs w:val="18"/>
    </w:rPr>
  </w:style>
  <w:style w:type="character" w:customStyle="1" w:styleId="124">
    <w:name w:val="页眉 字符"/>
    <w:autoRedefine/>
    <w:qFormat/>
    <w:locked/>
    <w:uiPriority w:val="0"/>
    <w:rPr>
      <w:rFonts w:cs="Times New Roman"/>
      <w:sz w:val="18"/>
      <w:szCs w:val="18"/>
    </w:rPr>
  </w:style>
  <w:style w:type="paragraph" w:customStyle="1" w:styleId="125">
    <w:name w:val="_Style 122"/>
    <w:basedOn w:val="1"/>
    <w:next w:val="1"/>
    <w:autoRedefine/>
    <w:qFormat/>
    <w:uiPriority w:val="39"/>
    <w:pPr>
      <w:ind w:left="420" w:leftChars="200"/>
    </w:pPr>
    <w:rPr>
      <w:kern w:val="0"/>
      <w:sz w:val="24"/>
    </w:rPr>
  </w:style>
  <w:style w:type="character" w:customStyle="1" w:styleId="126">
    <w:name w:val="正文文本 2 字符"/>
    <w:autoRedefine/>
    <w:qFormat/>
    <w:uiPriority w:val="0"/>
    <w:rPr>
      <w:sz w:val="21"/>
      <w:szCs w:val="24"/>
    </w:rPr>
  </w:style>
  <w:style w:type="character" w:customStyle="1" w:styleId="127">
    <w:name w:val="标题 字符"/>
    <w:autoRedefine/>
    <w:qFormat/>
    <w:uiPriority w:val="0"/>
    <w:rPr>
      <w:rFonts w:ascii="Calibri Light" w:hAnsi="Calibri Light"/>
      <w:b/>
      <w:bCs/>
      <w:kern w:val="2"/>
      <w:sz w:val="32"/>
      <w:szCs w:val="32"/>
    </w:rPr>
  </w:style>
  <w:style w:type="character" w:customStyle="1" w:styleId="128">
    <w:name w:val="apple-style-span"/>
    <w:autoRedefine/>
    <w:qFormat/>
    <w:uiPriority w:val="0"/>
  </w:style>
  <w:style w:type="character" w:customStyle="1" w:styleId="129">
    <w:name w:val="样式 (中文) 仿宋_GB2312 三号"/>
    <w:autoRedefine/>
    <w:qFormat/>
    <w:uiPriority w:val="0"/>
    <w:rPr>
      <w:rFonts w:hint="eastAsia" w:ascii="仿宋_GB2312" w:eastAsia="仿宋_GB2312"/>
      <w:sz w:val="32"/>
    </w:rPr>
  </w:style>
  <w:style w:type="character" w:customStyle="1" w:styleId="130">
    <w:name w:val="1111111199999 Char"/>
    <w:link w:val="131"/>
    <w:autoRedefine/>
    <w:qFormat/>
    <w:locked/>
    <w:uiPriority w:val="0"/>
    <w:rPr>
      <w:sz w:val="21"/>
    </w:rPr>
  </w:style>
  <w:style w:type="paragraph" w:customStyle="1" w:styleId="131">
    <w:name w:val="1111111199999"/>
    <w:basedOn w:val="1"/>
    <w:link w:val="130"/>
    <w:autoRedefine/>
    <w:qFormat/>
    <w:uiPriority w:val="0"/>
    <w:pPr>
      <w:widowControl/>
      <w:spacing w:beforeLines="50" w:line="240" w:lineRule="exact"/>
      <w:ind w:firstLine="514" w:firstLineChars="214"/>
      <w:jc w:val="left"/>
    </w:pPr>
    <w:rPr>
      <w:rFonts w:asciiTheme="minorHAnsi" w:hAnsiTheme="minorHAnsi" w:eastAsiaTheme="minorEastAsia" w:cstheme="minorBidi"/>
      <w:kern w:val="0"/>
      <w:szCs w:val="20"/>
    </w:rPr>
  </w:style>
  <w:style w:type="character" w:customStyle="1" w:styleId="132">
    <w:name w:val="Char Char3"/>
    <w:autoRedefine/>
    <w:qFormat/>
    <w:locked/>
    <w:uiPriority w:val="0"/>
    <w:rPr>
      <w:rFonts w:ascii="宋体" w:hAnsi="宋体" w:eastAsia="宋体"/>
      <w:sz w:val="18"/>
      <w:szCs w:val="18"/>
      <w:lang w:val="en-US" w:eastAsia="zh-CN" w:bidi="ar-SA"/>
    </w:rPr>
  </w:style>
  <w:style w:type="character" w:customStyle="1" w:styleId="133">
    <w:name w:val="Char Char4"/>
    <w:autoRedefine/>
    <w:qFormat/>
    <w:locked/>
    <w:uiPriority w:val="0"/>
    <w:rPr>
      <w:rFonts w:ascii="宋体" w:hAnsi="Courier New" w:eastAsia="宋体"/>
      <w:kern w:val="2"/>
      <w:sz w:val="21"/>
      <w:lang w:bidi="ar-SA"/>
    </w:rPr>
  </w:style>
  <w:style w:type="character" w:customStyle="1" w:styleId="134">
    <w:name w:val="List Paragraph Char"/>
    <w:link w:val="135"/>
    <w:autoRedefine/>
    <w:qFormat/>
    <w:locked/>
    <w:uiPriority w:val="0"/>
    <w:rPr>
      <w:rFonts w:ascii="Calibri" w:hAnsi="Calibri"/>
      <w:sz w:val="22"/>
      <w:lang w:eastAsia="en-US"/>
    </w:rPr>
  </w:style>
  <w:style w:type="paragraph" w:customStyle="1" w:styleId="135">
    <w:name w:val="列出段落111"/>
    <w:basedOn w:val="1"/>
    <w:link w:val="134"/>
    <w:autoRedefine/>
    <w:qFormat/>
    <w:uiPriority w:val="0"/>
    <w:pPr>
      <w:widowControl/>
      <w:ind w:left="720" w:firstLine="360"/>
      <w:jc w:val="left"/>
    </w:pPr>
    <w:rPr>
      <w:rFonts w:ascii="Calibri" w:hAnsi="Calibri" w:eastAsiaTheme="minorEastAsia" w:cstheme="minorBidi"/>
      <w:kern w:val="0"/>
      <w:sz w:val="22"/>
      <w:szCs w:val="20"/>
      <w:lang w:eastAsia="en-US"/>
    </w:rPr>
  </w:style>
  <w:style w:type="paragraph" w:customStyle="1" w:styleId="136">
    <w:name w:val="列出段落11"/>
    <w:basedOn w:val="1"/>
    <w:autoRedefine/>
    <w:qFormat/>
    <w:uiPriority w:val="0"/>
    <w:pPr>
      <w:widowControl/>
      <w:spacing w:line="351" w:lineRule="atLeast"/>
      <w:ind w:firstLine="420" w:firstLineChars="200"/>
      <w:textAlignment w:val="baseline"/>
    </w:pPr>
    <w:rPr>
      <w:color w:val="000000"/>
      <w:kern w:val="0"/>
      <w:sz w:val="20"/>
      <w:szCs w:val="20"/>
      <w:lang w:val="zh-CN"/>
    </w:rPr>
  </w:style>
  <w:style w:type="paragraph" w:customStyle="1" w:styleId="137">
    <w:name w:val="Char Char Char Char"/>
    <w:basedOn w:val="1"/>
    <w:autoRedefine/>
    <w:qFormat/>
    <w:uiPriority w:val="0"/>
    <w:rPr>
      <w:sz w:val="24"/>
      <w:szCs w:val="36"/>
    </w:rPr>
  </w:style>
  <w:style w:type="paragraph" w:customStyle="1" w:styleId="138">
    <w:name w:val="列出段落12"/>
    <w:basedOn w:val="1"/>
    <w:autoRedefine/>
    <w:qFormat/>
    <w:uiPriority w:val="0"/>
    <w:pPr>
      <w:widowControl/>
      <w:ind w:left="720" w:firstLine="360"/>
      <w:jc w:val="left"/>
    </w:pPr>
    <w:rPr>
      <w:rFonts w:ascii="Calibri" w:hAnsi="Calibri"/>
      <w:kern w:val="0"/>
      <w:sz w:val="22"/>
      <w:szCs w:val="20"/>
      <w:lang w:eastAsia="en-US"/>
    </w:rPr>
  </w:style>
  <w:style w:type="paragraph" w:customStyle="1" w:styleId="139">
    <w:name w:val="样式2"/>
    <w:basedOn w:val="3"/>
    <w:autoRedefine/>
    <w:qFormat/>
    <w:uiPriority w:val="0"/>
    <w:pPr>
      <w:keepLines/>
      <w:spacing w:before="340" w:after="330" w:line="640" w:lineRule="exact"/>
    </w:pPr>
    <w:rPr>
      <w:rFonts w:ascii="方正小标宋简体" w:hAnsi="华文中宋" w:eastAsia="方正小标宋简体"/>
      <w:b w:val="0"/>
      <w:kern w:val="44"/>
      <w:sz w:val="44"/>
      <w:szCs w:val="44"/>
    </w:rPr>
  </w:style>
  <w:style w:type="paragraph" w:customStyle="1" w:styleId="140">
    <w:name w:val="样式3"/>
    <w:basedOn w:val="3"/>
    <w:autoRedefine/>
    <w:qFormat/>
    <w:uiPriority w:val="0"/>
    <w:pPr>
      <w:keepLines/>
      <w:spacing w:before="340" w:after="330" w:line="640" w:lineRule="exact"/>
    </w:pPr>
    <w:rPr>
      <w:rFonts w:ascii="方正小标宋简体" w:hAnsi="华文中宋" w:eastAsia="方正小标宋简体"/>
      <w:b w:val="0"/>
      <w:kern w:val="44"/>
      <w:sz w:val="44"/>
      <w:szCs w:val="44"/>
    </w:rPr>
  </w:style>
  <w:style w:type="character" w:customStyle="1" w:styleId="141">
    <w:name w:val="批注主题 字符"/>
    <w:autoRedefine/>
    <w:qFormat/>
    <w:uiPriority w:val="0"/>
    <w:rPr>
      <w:b/>
      <w:bCs/>
      <w:sz w:val="24"/>
      <w:szCs w:val="24"/>
    </w:rPr>
  </w:style>
  <w:style w:type="character" w:customStyle="1" w:styleId="142">
    <w:name w:val="副标题 Char"/>
    <w:basedOn w:val="44"/>
    <w:autoRedefine/>
    <w:qFormat/>
    <w:uiPriority w:val="11"/>
    <w:rPr>
      <w:rFonts w:eastAsia="宋体" w:asciiTheme="majorHAnsi" w:hAnsiTheme="majorHAnsi" w:cstheme="majorBidi"/>
      <w:b/>
      <w:bCs/>
      <w:kern w:val="28"/>
      <w:sz w:val="32"/>
      <w:szCs w:val="32"/>
    </w:rPr>
  </w:style>
  <w:style w:type="character" w:customStyle="1" w:styleId="143">
    <w:name w:val="副标题 字符"/>
    <w:link w:val="31"/>
    <w:autoRedefine/>
    <w:qFormat/>
    <w:uiPriority w:val="0"/>
    <w:rPr>
      <w:rFonts w:ascii="等线 Light" w:hAnsi="等线 Light" w:eastAsia="宋体" w:cs="Times New Roman"/>
      <w:b/>
      <w:bCs/>
      <w:kern w:val="28"/>
      <w:sz w:val="32"/>
      <w:szCs w:val="32"/>
    </w:rPr>
  </w:style>
  <w:style w:type="character" w:customStyle="1" w:styleId="144">
    <w:name w:val="未处理的提及1"/>
    <w:basedOn w:val="44"/>
    <w:autoRedefine/>
    <w:semiHidden/>
    <w:unhideWhenUsed/>
    <w:qFormat/>
    <w:uiPriority w:val="99"/>
    <w:rPr>
      <w:color w:val="605E5C"/>
      <w:shd w:val="clear" w:color="auto" w:fill="E1DFDD"/>
    </w:rPr>
  </w:style>
  <w:style w:type="character" w:customStyle="1" w:styleId="145">
    <w:name w:val="未处理的提及2"/>
    <w:basedOn w:val="44"/>
    <w:autoRedefine/>
    <w:semiHidden/>
    <w:unhideWhenUsed/>
    <w:qFormat/>
    <w:uiPriority w:val="99"/>
    <w:rPr>
      <w:color w:val="605E5C"/>
      <w:shd w:val="clear" w:color="auto" w:fill="E1DFDD"/>
    </w:rPr>
  </w:style>
  <w:style w:type="paragraph" w:customStyle="1" w:styleId="146">
    <w:name w:val="修订1"/>
    <w:autoRedefine/>
    <w:hidden/>
    <w:unhideWhenUsed/>
    <w:qFormat/>
    <w:uiPriority w:val="99"/>
    <w:rPr>
      <w:rFonts w:ascii="Times New Roman" w:hAnsi="Times New Roman" w:eastAsia="宋体" w:cs="Times New Roman"/>
      <w:kern w:val="2"/>
      <w:sz w:val="21"/>
      <w:szCs w:val="24"/>
      <w:lang w:val="en-US" w:eastAsia="zh-CN" w:bidi="ar-SA"/>
    </w:rPr>
  </w:style>
  <w:style w:type="paragraph" w:customStyle="1" w:styleId="147">
    <w:name w:val="修订2"/>
    <w:autoRedefine/>
    <w:hidden/>
    <w:semiHidden/>
    <w:qFormat/>
    <w:uiPriority w:val="99"/>
    <w:rPr>
      <w:rFonts w:ascii="Times New Roman" w:hAnsi="Times New Roman" w:eastAsia="宋体" w:cs="Times New Roman"/>
      <w:kern w:val="2"/>
      <w:sz w:val="21"/>
      <w:szCs w:val="24"/>
      <w:lang w:val="en-US" w:eastAsia="zh-CN" w:bidi="ar-SA"/>
    </w:rPr>
  </w:style>
  <w:style w:type="character" w:customStyle="1" w:styleId="148">
    <w:name w:val="未处理的提及3"/>
    <w:basedOn w:val="44"/>
    <w:autoRedefine/>
    <w:semiHidden/>
    <w:unhideWhenUsed/>
    <w:qFormat/>
    <w:uiPriority w:val="99"/>
    <w:rPr>
      <w:color w:val="605E5C"/>
      <w:shd w:val="clear" w:color="auto" w:fill="E1DFDD"/>
    </w:rPr>
  </w:style>
  <w:style w:type="paragraph" w:customStyle="1" w:styleId="149">
    <w:name w:val="Revision"/>
    <w:autoRedefine/>
    <w:hidden/>
    <w:semiHidden/>
    <w:qFormat/>
    <w:uiPriority w:val="99"/>
    <w:rPr>
      <w:rFonts w:ascii="Times New Roman" w:hAnsi="Times New Roman" w:eastAsia="宋体" w:cs="Times New Roman"/>
      <w:kern w:val="2"/>
      <w:sz w:val="21"/>
      <w:szCs w:val="24"/>
      <w:lang w:val="en-US" w:eastAsia="zh-CN" w:bidi="ar-SA"/>
    </w:rPr>
  </w:style>
  <w:style w:type="paragraph" w:customStyle="1" w:styleId="150">
    <w:name w:val="TOC Heading"/>
    <w:basedOn w:val="3"/>
    <w:next w:val="1"/>
    <w:autoRedefine/>
    <w:unhideWhenUsed/>
    <w:qFormat/>
    <w:uiPriority w:val="39"/>
    <w:pPr>
      <w:keepLines/>
      <w:widowControl/>
      <w:spacing w:before="240" w:line="259" w:lineRule="auto"/>
      <w:jc w:val="left"/>
      <w:outlineLvl w:val="9"/>
    </w:pPr>
    <w:rPr>
      <w:rFonts w:asciiTheme="majorHAnsi" w:hAnsiTheme="majorHAnsi" w:eastAsiaTheme="majorEastAsia" w:cstheme="majorBidi"/>
      <w:b w:val="0"/>
      <w:bCs w:val="0"/>
      <w:color w:val="2F5597" w:themeColor="accent1" w:themeShade="BF"/>
      <w:kern w:val="0"/>
      <w:sz w:val="32"/>
      <w:szCs w:val="32"/>
    </w:rPr>
  </w:style>
  <w:style w:type="character" w:customStyle="1" w:styleId="151">
    <w:name w:val="Unresolved Mention"/>
    <w:basedOn w:val="44"/>
    <w:autoRedefine/>
    <w:semiHidden/>
    <w:unhideWhenUsed/>
    <w:qFormat/>
    <w:uiPriority w:val="99"/>
    <w:rPr>
      <w:color w:val="605E5C"/>
      <w:shd w:val="clear" w:color="auto" w:fill="E1DFDD"/>
    </w:rPr>
  </w:style>
  <w:style w:type="paragraph" w:customStyle="1" w:styleId="152">
    <w:name w:val="副标题（正）"/>
    <w:basedOn w:val="1"/>
    <w:next w:val="1"/>
    <w:autoRedefine/>
    <w:qFormat/>
    <w:uiPriority w:val="0"/>
    <w:pPr>
      <w:spacing w:line="360" w:lineRule="auto"/>
      <w:ind w:firstLine="0" w:firstLineChars="0"/>
      <w:jc w:val="center"/>
    </w:pPr>
    <w:rPr>
      <w:b/>
      <w:sz w:val="44"/>
    </w:rPr>
  </w:style>
  <w:style w:type="paragraph" w:customStyle="1" w:styleId="153">
    <w:name w:val="副标题（正））"/>
    <w:basedOn w:val="1"/>
    <w:next w:val="1"/>
    <w:autoRedefine/>
    <w:qFormat/>
    <w:uiPriority w:val="0"/>
    <w:pPr>
      <w:spacing w:line="360" w:lineRule="auto"/>
      <w:ind w:firstLine="0" w:firstLineChars="0"/>
      <w:jc w:val="center"/>
    </w:pPr>
    <w:rPr>
      <w:b/>
      <w:sz w:val="32"/>
    </w:rPr>
  </w:style>
  <w:style w:type="paragraph" w:customStyle="1" w:styleId="154">
    <w:name w:val="无缩进15"/>
    <w:basedOn w:val="1"/>
    <w:next w:val="1"/>
    <w:autoRedefine/>
    <w:qFormat/>
    <w:uiPriority w:val="0"/>
    <w:pPr>
      <w:spacing w:line="300" w:lineRule="exact"/>
      <w:ind w:firstLine="0" w:firstLineChars="0"/>
    </w:pPr>
  </w:style>
  <w:style w:type="paragraph" w:customStyle="1" w:styleId="155">
    <w:name w:val="表头（表下）"/>
    <w:basedOn w:val="1"/>
    <w:next w:val="1"/>
    <w:autoRedefine/>
    <w:qFormat/>
    <w:uiPriority w:val="0"/>
    <w:pPr>
      <w:spacing w:line="300" w:lineRule="exact"/>
      <w:ind w:firstLine="0" w:firstLineChars="0"/>
      <w:jc w:val="center"/>
    </w:pPr>
    <w:rPr>
      <w:b/>
    </w:rPr>
  </w:style>
  <w:style w:type="paragraph" w:customStyle="1" w:styleId="156">
    <w:name w:val="_Style 1"/>
    <w:basedOn w:val="1"/>
    <w:autoRedefine/>
    <w:qFormat/>
    <w:uiPriority w:val="0"/>
    <w:pPr>
      <w:ind w:firstLine="420" w:firstLineChars="200"/>
    </w:pPr>
    <w:rPr>
      <w:rFonts w:ascii="Calibri" w:hAnsi="Calibri"/>
      <w:kern w:val="2"/>
      <w:sz w:val="21"/>
      <w:szCs w:val="22"/>
    </w:rPr>
  </w:style>
</w:styles>
</file>

<file path=word/_rels/document.xml.rels><?xml version="1.0" encoding="UTF-8" standalone="yes"?>
<Relationships xmlns="http://schemas.openxmlformats.org/package/2006/relationships"><Relationship Id="rId9" Type="http://schemas.openxmlformats.org/officeDocument/2006/relationships/header" Target="header6.xml"/><Relationship Id="rId8" Type="http://schemas.openxmlformats.org/officeDocument/2006/relationships/header" Target="header5.xml"/><Relationship Id="rId7" Type="http://schemas.openxmlformats.org/officeDocument/2006/relationships/header" Target="header4.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0" Type="http://schemas.openxmlformats.org/officeDocument/2006/relationships/fontTable" Target="fontTable.xml"/><Relationship Id="rId3" Type="http://schemas.openxmlformats.org/officeDocument/2006/relationships/header" Target="header1.xml"/><Relationship Id="rId29" Type="http://schemas.openxmlformats.org/officeDocument/2006/relationships/customXml" Target="../customXml/item2.xml"/><Relationship Id="rId28" Type="http://schemas.openxmlformats.org/officeDocument/2006/relationships/numbering" Target="numbering.xml"/><Relationship Id="rId27" Type="http://schemas.openxmlformats.org/officeDocument/2006/relationships/customXml" Target="../customXml/item1.xml"/><Relationship Id="rId26" Type="http://schemas.openxmlformats.org/officeDocument/2006/relationships/theme" Target="theme/theme1.xml"/><Relationship Id="rId25" Type="http://schemas.openxmlformats.org/officeDocument/2006/relationships/header" Target="header19.xml"/><Relationship Id="rId24" Type="http://schemas.openxmlformats.org/officeDocument/2006/relationships/header" Target="header18.xml"/><Relationship Id="rId23" Type="http://schemas.openxmlformats.org/officeDocument/2006/relationships/header" Target="header17.xml"/><Relationship Id="rId22" Type="http://schemas.openxmlformats.org/officeDocument/2006/relationships/header" Target="header16.xml"/><Relationship Id="rId21" Type="http://schemas.openxmlformats.org/officeDocument/2006/relationships/footer" Target="footer4.xml"/><Relationship Id="rId20" Type="http://schemas.openxmlformats.org/officeDocument/2006/relationships/header" Target="header15.xml"/><Relationship Id="rId2" Type="http://schemas.openxmlformats.org/officeDocument/2006/relationships/settings" Target="settings.xml"/><Relationship Id="rId19" Type="http://schemas.openxmlformats.org/officeDocument/2006/relationships/footer" Target="footer3.xml"/><Relationship Id="rId18" Type="http://schemas.openxmlformats.org/officeDocument/2006/relationships/header" Target="header14.xml"/><Relationship Id="rId17" Type="http://schemas.openxmlformats.org/officeDocument/2006/relationships/header" Target="header13.xml"/><Relationship Id="rId16" Type="http://schemas.openxmlformats.org/officeDocument/2006/relationships/header" Target="header12.xml"/><Relationship Id="rId15" Type="http://schemas.openxmlformats.org/officeDocument/2006/relationships/header" Target="header11.xml"/><Relationship Id="rId14" Type="http://schemas.openxmlformats.org/officeDocument/2006/relationships/header" Target="header10.xml"/><Relationship Id="rId13" Type="http://schemas.openxmlformats.org/officeDocument/2006/relationships/header" Target="header9.xml"/><Relationship Id="rId12" Type="http://schemas.openxmlformats.org/officeDocument/2006/relationships/header" Target="header8.xml"/><Relationship Id="rId11" Type="http://schemas.openxmlformats.org/officeDocument/2006/relationships/header" Target="header7.xml"/><Relationship Id="rId10" Type="http://schemas.openxmlformats.org/officeDocument/2006/relationships/footer" Target="footer2.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ops>
  <customShpExts>
    <customShpInfo spid="_x0000_s2050"/>
    <customShpInfo spid="_x0000_s2049"/>
    <customShpInfo spid="_x0000_s1026" textRotate="1"/>
    <customShpInfo spid="_x0000_s2056"/>
    <customShpInfo spid="_x0000_s2055"/>
    <customShpInfo spid="_x0000_s2059"/>
    <customShpInfo spid="_x0000_s2058"/>
    <customShpInfo spid="_x0000_s2062"/>
    <customShpInfo spid="_x0000_s206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76BD3D8F-B87D-4E44-A964-C639EE126A34}">
  <ds:schemaRefs/>
</ds:datastoreItem>
</file>

<file path=docProps/app.xml><?xml version="1.0" encoding="utf-8"?>
<Properties xmlns="http://schemas.openxmlformats.org/officeDocument/2006/extended-properties" xmlns:vt="http://schemas.openxmlformats.org/officeDocument/2006/docPropsVTypes">
  <Template>Normal.dotm</Template>
  <Company>user</Company>
  <Pages>130</Pages>
  <Words>49071</Words>
  <Characters>51009</Characters>
  <Lines>377</Lines>
  <Paragraphs>106</Paragraphs>
  <TotalTime>17</TotalTime>
  <ScaleCrop>false</ScaleCrop>
  <LinksUpToDate>false</LinksUpToDate>
  <CharactersWithSpaces>56106</CharactersWithSpaces>
  <Application>WPS Office_12.1.0.18276_F1E327BC-269C-435d-A152-05C5408002CA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2022-08-25T03:15:00Z</dcterms:created>
  <dc:creator>admin</dc:creator>
  <cp:lastModifiedBy>A小小红</cp:lastModifiedBy>
  <cp:lastPrinted>2024-07-22T10:59:00Z</cp:lastPrinted>
  <dcterms:modified xsi:type="dcterms:W3CDTF">2024-10-25T03:39:06Z</dcterms:modified>
  <cp:revision>913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2052-12.1.0.18276</vt:lpwstr>
  </property>
  <property fmtid="{D5CDD505-2E9C-101B-9397-08002B2CF9AE}" pid="3" name="ICV">
    <vt:lpwstr>BD0B3B9A55F343F2B3E532F82AC4DE17_13</vt:lpwstr>
  </property>
</Properties>
</file>